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62E9" w14:paraId="604C06B0" w14:textId="77777777" w:rsidTr="0010095E">
        <w:trPr>
          <w:trHeight w:hRule="exact" w:val="1418"/>
        </w:trPr>
        <w:tc>
          <w:tcPr>
            <w:tcW w:w="6804" w:type="dxa"/>
            <w:shd w:val="clear" w:color="auto" w:fill="auto"/>
            <w:vAlign w:val="center"/>
          </w:tcPr>
          <w:p w14:paraId="3E95D280" w14:textId="77777777" w:rsidR="00751A4A" w:rsidRPr="008762E9" w:rsidRDefault="003D2EF5" w:rsidP="0010095E">
            <w:pPr>
              <w:pStyle w:val="EPName"/>
            </w:pPr>
            <w:r w:rsidRPr="008762E9">
              <w:t>Ευρωπαϊκό Κοινοβούλιο</w:t>
            </w:r>
          </w:p>
          <w:p w14:paraId="14B93D70" w14:textId="77777777" w:rsidR="00751A4A" w:rsidRPr="008762E9" w:rsidRDefault="005F1B17" w:rsidP="005F1B17">
            <w:pPr>
              <w:pStyle w:val="EPTerm"/>
              <w:rPr>
                <w:rStyle w:val="HideTWBExt"/>
                <w:noProof w:val="0"/>
                <w:vanish w:val="0"/>
                <w:color w:val="auto"/>
              </w:rPr>
            </w:pPr>
            <w:r w:rsidRPr="008762E9">
              <w:t>2024</w:t>
            </w:r>
            <w:r w:rsidR="00817416" w:rsidRPr="008762E9">
              <w:t>-202</w:t>
            </w:r>
            <w:r w:rsidRPr="008762E9">
              <w:t>9</w:t>
            </w:r>
          </w:p>
        </w:tc>
        <w:tc>
          <w:tcPr>
            <w:tcW w:w="2268" w:type="dxa"/>
            <w:shd w:val="clear" w:color="auto" w:fill="auto"/>
          </w:tcPr>
          <w:p w14:paraId="2176A95D" w14:textId="77777777" w:rsidR="00751A4A" w:rsidRPr="008762E9" w:rsidRDefault="00187494" w:rsidP="0010095E">
            <w:pPr>
              <w:pStyle w:val="EPLogo"/>
            </w:pPr>
            <w:r w:rsidRPr="008762E9">
              <w:rPr>
                <w:noProof/>
                <w:lang w:eastAsia="ja-JP"/>
              </w:rPr>
              <w:drawing>
                <wp:inline distT="0" distB="0" distL="0" distR="0" wp14:anchorId="4CDC6867" wp14:editId="3E9E12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A966BA" w14:textId="77777777" w:rsidR="00D058B8" w:rsidRPr="008762E9" w:rsidRDefault="00D058B8" w:rsidP="004C5D52">
      <w:pPr>
        <w:pStyle w:val="LineTop"/>
      </w:pPr>
    </w:p>
    <w:p w14:paraId="00D6D0C8" w14:textId="77777777" w:rsidR="00680577" w:rsidRPr="008762E9" w:rsidRDefault="003D2EF5" w:rsidP="00680577">
      <w:pPr>
        <w:pStyle w:val="EPBodyTA1"/>
      </w:pPr>
      <w:r w:rsidRPr="008762E9">
        <w:t>ΚΕΙΜΕΝΑ ΠΟΥ ΕΓΚΡΙΘΗΚΑΝ</w:t>
      </w:r>
    </w:p>
    <w:p w14:paraId="4C1428A6" w14:textId="77777777" w:rsidR="00D058B8" w:rsidRPr="008762E9" w:rsidRDefault="00D058B8" w:rsidP="00D058B8">
      <w:pPr>
        <w:pStyle w:val="LineBottom"/>
      </w:pPr>
    </w:p>
    <w:p w14:paraId="3C6857A6" w14:textId="77CC53EE" w:rsidR="003D2EF5" w:rsidRPr="008762E9" w:rsidRDefault="003D2EF5" w:rsidP="003D2EF5">
      <w:pPr>
        <w:pStyle w:val="ATHeading1"/>
      </w:pPr>
      <w:bookmarkStart w:id="0" w:name="TANumber"/>
      <w:r w:rsidRPr="008762E9">
        <w:t>P10_TA(2026)0</w:t>
      </w:r>
      <w:r w:rsidR="00D232BD" w:rsidRPr="008762E9">
        <w:t>245</w:t>
      </w:r>
      <w:bookmarkEnd w:id="0"/>
    </w:p>
    <w:p w14:paraId="09F75D77" w14:textId="3B371B38" w:rsidR="003D2EF5" w:rsidRPr="008762E9" w:rsidRDefault="00C04F2F" w:rsidP="00C04F2F">
      <w:pPr>
        <w:pStyle w:val="ATHeading2"/>
      </w:pPr>
      <w:bookmarkStart w:id="1" w:name="title"/>
      <w:r w:rsidRPr="008762E9">
        <w:rPr>
          <w:bCs/>
        </w:rPr>
        <w:t>Χρηματοδοτικές δραστηριότητες του Ομίλου της Ευρωπαϊκής Τράπεζας Επενδύσεων – ετήσια έκθεση 2025</w:t>
      </w:r>
      <w:bookmarkEnd w:id="1"/>
    </w:p>
    <w:p w14:paraId="71C94FC1" w14:textId="77777777" w:rsidR="003D2EF5" w:rsidRPr="008762E9" w:rsidRDefault="003D2EF5" w:rsidP="003D2EF5">
      <w:pPr>
        <w:rPr>
          <w:i/>
          <w:vanish/>
        </w:rPr>
      </w:pPr>
      <w:r w:rsidRPr="008762E9">
        <w:rPr>
          <w:i/>
        </w:rPr>
        <w:fldChar w:fldCharType="begin"/>
      </w:r>
      <w:r w:rsidRPr="008762E9">
        <w:rPr>
          <w:i/>
        </w:rPr>
        <w:instrText xml:space="preserve"> TC"(</w:instrText>
      </w:r>
      <w:bookmarkStart w:id="2" w:name="DocNumber"/>
      <w:r w:rsidRPr="008762E9">
        <w:rPr>
          <w:i/>
        </w:rPr>
        <w:instrText>A10-0170/2026</w:instrText>
      </w:r>
      <w:bookmarkEnd w:id="2"/>
      <w:r w:rsidRPr="008762E9">
        <w:rPr>
          <w:i/>
        </w:rPr>
        <w:instrText xml:space="preserve"> - Εισηγητής: Joachim Streit)"\l3 \n&gt; \* MERGEFORMAT </w:instrText>
      </w:r>
      <w:r w:rsidRPr="008762E9">
        <w:rPr>
          <w:i/>
        </w:rPr>
        <w:fldChar w:fldCharType="end"/>
      </w:r>
    </w:p>
    <w:p w14:paraId="5305A1CA" w14:textId="77777777" w:rsidR="003D2EF5" w:rsidRPr="008762E9" w:rsidRDefault="003D2EF5" w:rsidP="003D2EF5">
      <w:pPr>
        <w:rPr>
          <w:vanish/>
        </w:rPr>
      </w:pPr>
      <w:bookmarkStart w:id="3" w:name="Commission"/>
      <w:r w:rsidRPr="008762E9">
        <w:rPr>
          <w:vanish/>
        </w:rPr>
        <w:t>Επιτροπή Προϋπολογισμών</w:t>
      </w:r>
      <w:bookmarkEnd w:id="3"/>
    </w:p>
    <w:p w14:paraId="1A1C93D5" w14:textId="77777777" w:rsidR="003D2EF5" w:rsidRPr="008762E9" w:rsidRDefault="003D2EF5" w:rsidP="003D2EF5">
      <w:pPr>
        <w:rPr>
          <w:vanish/>
        </w:rPr>
      </w:pPr>
      <w:bookmarkStart w:id="4" w:name="PE"/>
      <w:r w:rsidRPr="008762E9">
        <w:rPr>
          <w:vanish/>
        </w:rPr>
        <w:t>PE784.507</w:t>
      </w:r>
      <w:bookmarkEnd w:id="4"/>
    </w:p>
    <w:p w14:paraId="556016DD" w14:textId="6FCB57A7" w:rsidR="003D2EF5" w:rsidRPr="008762E9" w:rsidRDefault="003D2EF5" w:rsidP="003D2EF5">
      <w:pPr>
        <w:pStyle w:val="ATHeading3"/>
      </w:pPr>
      <w:bookmarkStart w:id="5" w:name="Sujet"/>
      <w:r w:rsidRPr="008762E9">
        <w:t xml:space="preserve">Ψήφισμα του Ευρωπαϊκού Κοινοβουλίου της </w:t>
      </w:r>
      <w:r w:rsidR="00C04F2F" w:rsidRPr="008762E9">
        <w:t>7ης Ιουλίου</w:t>
      </w:r>
      <w:r w:rsidRPr="008762E9">
        <w:t xml:space="preserve"> 2026 σχετικά με τις χρηματοδοτικές δραστηριότητες του Ομίλου της Ευρωπαϊκής Τράπεζας Επενδύσεων – ετήσια έκθεση 2025</w:t>
      </w:r>
      <w:bookmarkEnd w:id="5"/>
      <w:r w:rsidRPr="008762E9">
        <w:t xml:space="preserve"> </w:t>
      </w:r>
      <w:bookmarkStart w:id="6" w:name="References"/>
      <w:r w:rsidRPr="008762E9">
        <w:t>(2025/2213(INI))</w:t>
      </w:r>
      <w:bookmarkEnd w:id="6"/>
    </w:p>
    <w:p w14:paraId="0D9EF590" w14:textId="77777777" w:rsidR="009B79FA" w:rsidRPr="008762E9" w:rsidRDefault="009B79FA" w:rsidP="009B79FA">
      <w:pPr>
        <w:pStyle w:val="NormalBold12a"/>
      </w:pPr>
    </w:p>
    <w:p w14:paraId="263F608B" w14:textId="77777777" w:rsidR="009B79FA" w:rsidRPr="008762E9" w:rsidRDefault="009B79FA" w:rsidP="009B79FA">
      <w:pPr>
        <w:pStyle w:val="Normal12"/>
      </w:pPr>
      <w:r w:rsidRPr="008762E9">
        <w:rPr>
          <w:i/>
        </w:rPr>
        <w:t>Το Ευρωπαϊκό Κοινοβούλιο</w:t>
      </w:r>
      <w:r w:rsidRPr="008762E9">
        <w:t>,</w:t>
      </w:r>
    </w:p>
    <w:p w14:paraId="6867760E" w14:textId="77777777" w:rsidR="009B79FA" w:rsidRPr="008762E9" w:rsidRDefault="009B79FA" w:rsidP="00C04F2F">
      <w:pPr>
        <w:pStyle w:val="NormalHanging"/>
        <w:widowControl/>
        <w:ind w:left="567" w:hanging="567"/>
      </w:pPr>
      <w:r w:rsidRPr="008762E9">
        <w:t>–</w:t>
      </w:r>
      <w:r w:rsidRPr="008762E9">
        <w:tab/>
        <w:t>έχοντας υπόψη τα άρθρα 2 και 3 της Συνθήκης για την Ευρωπαϊκή Ένωση,</w:t>
      </w:r>
    </w:p>
    <w:p w14:paraId="6428F4D0" w14:textId="77777777" w:rsidR="009B79FA" w:rsidRPr="008762E9" w:rsidRDefault="009B79FA" w:rsidP="00C04F2F">
      <w:pPr>
        <w:pStyle w:val="NormalHanging"/>
        <w:widowControl/>
        <w:ind w:left="567" w:hanging="567"/>
      </w:pPr>
      <w:r w:rsidRPr="008762E9">
        <w:t>–</w:t>
      </w:r>
      <w:r w:rsidRPr="008762E9">
        <w:tab/>
        <w:t>έχοντας υπόψη τα άρθρα 15, 126, 174, 175, 177, 208, 209, 271, 308 και 309 της Συνθήκης για τη λειτουργία της Ευρωπαϊκής Ένωσης και το πρωτόκολλο αριθ. 5 που προσαρτάται στις Συνθήκες περί του καταστατικού της Ευρωπαϊκής Τράπεζας Επενδύσεων (ΕΤΕπ),</w:t>
      </w:r>
    </w:p>
    <w:p w14:paraId="1244C7D3" w14:textId="7751ECA3" w:rsidR="009B79FA" w:rsidRPr="008762E9" w:rsidRDefault="009B79FA" w:rsidP="00C04F2F">
      <w:pPr>
        <w:pStyle w:val="NormalHanging"/>
        <w:widowControl/>
        <w:ind w:left="567" w:hanging="567"/>
      </w:pPr>
      <w:r w:rsidRPr="008762E9">
        <w:t>–</w:t>
      </w:r>
      <w:r w:rsidRPr="008762E9">
        <w:tab/>
        <w:t>έχοντας υπόψη τα άρθρα 41</w:t>
      </w:r>
      <w:r w:rsidR="00C04F2F" w:rsidRPr="008762E9">
        <w:t xml:space="preserve"> έως </w:t>
      </w:r>
      <w:r w:rsidRPr="008762E9">
        <w:t>43 της Συνθήκης περί ιδρύσεως της Ευρωπαϊκής Κοινότητας Ατομικής Ενεργείας,</w:t>
      </w:r>
    </w:p>
    <w:p w14:paraId="73B2B195" w14:textId="77777777" w:rsidR="009B79FA" w:rsidRPr="008762E9" w:rsidRDefault="009B79FA" w:rsidP="00C04F2F">
      <w:pPr>
        <w:pStyle w:val="NormalHanging"/>
        <w:widowControl/>
        <w:ind w:left="567" w:hanging="567"/>
      </w:pPr>
      <w:r w:rsidRPr="008762E9">
        <w:t>–</w:t>
      </w:r>
      <w:r w:rsidRPr="008762E9">
        <w:tab/>
        <w:t>έχοντας υπόψη το καταστατικό της ΕΤΕπ,</w:t>
      </w:r>
    </w:p>
    <w:p w14:paraId="2953895B" w14:textId="77777777" w:rsidR="009B79FA" w:rsidRPr="008762E9" w:rsidRDefault="009B79FA" w:rsidP="00C04F2F">
      <w:pPr>
        <w:pStyle w:val="NormalHanging"/>
        <w:widowControl/>
        <w:ind w:left="567" w:hanging="567"/>
      </w:pPr>
      <w:r w:rsidRPr="008762E9">
        <w:t>–</w:t>
      </w:r>
      <w:r w:rsidRPr="008762E9">
        <w:tab/>
        <w:t>έχοντας υπόψη το επιχειρησιακό σχέδιο του Ομίλου ΕΤΕπ για την περίοδο 2026-2028, της 29ης Ιανουαρίου 2026, και το επιχειρησιακό σχέδιο του Ομίλου ΕΤΕπ για την περίοδο 2025-2027, της 30ής Ιανουαρίου 2025,</w:t>
      </w:r>
    </w:p>
    <w:p w14:paraId="04C93504" w14:textId="77777777" w:rsidR="009B79FA" w:rsidRPr="008762E9" w:rsidRDefault="009B79FA" w:rsidP="00C04F2F">
      <w:pPr>
        <w:pStyle w:val="NormalHanging"/>
        <w:widowControl/>
        <w:ind w:left="567" w:hanging="567"/>
      </w:pPr>
      <w:r w:rsidRPr="008762E9">
        <w:t>–</w:t>
      </w:r>
      <w:r w:rsidRPr="008762E9">
        <w:tab/>
        <w:t>έχοντας υπόψη την έκθεση δραστηριοτήτων της ΕΤΕπ για το 2025 με τίτλο «</w:t>
      </w:r>
      <w:proofErr w:type="spellStart"/>
      <w:r w:rsidRPr="008762E9">
        <w:t>Powering</w:t>
      </w:r>
      <w:proofErr w:type="spellEnd"/>
      <w:r w:rsidRPr="008762E9">
        <w:t xml:space="preserve"> Europe», που δημοσιεύθηκε στις 29 Ιανουαρίου 2026,</w:t>
      </w:r>
    </w:p>
    <w:p w14:paraId="36037C79" w14:textId="77777777" w:rsidR="009B79FA" w:rsidRPr="008762E9" w:rsidRDefault="009B79FA" w:rsidP="00C04F2F">
      <w:pPr>
        <w:pStyle w:val="NormalHanging"/>
        <w:widowControl/>
        <w:ind w:left="567" w:hanging="567"/>
      </w:pPr>
      <w:r w:rsidRPr="008762E9">
        <w:t>–</w:t>
      </w:r>
      <w:r w:rsidRPr="008762E9">
        <w:tab/>
        <w:t>έχοντας υπόψη τις διαδικασίες δέουσας επιμέλειας της ΕΤΕπ για το περιβάλλον, το κλίμα και την κοινωνία, που δημοσιεύθηκαν στις 20 Οκτωβρίου 2025,</w:t>
      </w:r>
    </w:p>
    <w:p w14:paraId="3ECAF344" w14:textId="77777777" w:rsidR="009B79FA" w:rsidRPr="008762E9" w:rsidRDefault="009B79FA" w:rsidP="00C04F2F">
      <w:pPr>
        <w:pStyle w:val="NormalHanging"/>
        <w:widowControl/>
        <w:ind w:left="567" w:hanging="567"/>
      </w:pPr>
      <w:r w:rsidRPr="008762E9">
        <w:t>–</w:t>
      </w:r>
      <w:r w:rsidRPr="008762E9">
        <w:tab/>
        <w:t>έχοντας υπόψη τον στρατηγικό προσανατολισμό της «ΕΤΕπ στον κόσμο», που δημοσιεύθηκε στις 15 Οκτωβρίου 2025,</w:t>
      </w:r>
    </w:p>
    <w:p w14:paraId="0AE35238" w14:textId="77777777" w:rsidR="009B79FA" w:rsidRPr="008762E9" w:rsidRDefault="009B79FA" w:rsidP="00C04F2F">
      <w:pPr>
        <w:pStyle w:val="NormalHanging"/>
        <w:widowControl/>
        <w:ind w:left="567" w:hanging="567"/>
      </w:pPr>
      <w:r w:rsidRPr="008762E9">
        <w:lastRenderedPageBreak/>
        <w:t>–</w:t>
      </w:r>
      <w:r w:rsidRPr="008762E9">
        <w:tab/>
        <w:t xml:space="preserve">έχοντας υπόψη την Έρευνα Επενδύσεων της ΕΤΕπ 2025 με τίτλο «European Union – </w:t>
      </w:r>
      <w:proofErr w:type="spellStart"/>
      <w:r w:rsidRPr="008762E9">
        <w:t>Overview</w:t>
      </w:r>
      <w:proofErr w:type="spellEnd"/>
      <w:r w:rsidRPr="008762E9">
        <w:t>» (Ευρωπαϊκή Ένωση — Επισκόπηση), που δημοσιεύθηκε στις 14 Οκτωβρίου 2025,</w:t>
      </w:r>
    </w:p>
    <w:p w14:paraId="4DD5F201" w14:textId="77777777" w:rsidR="009B79FA" w:rsidRPr="008762E9" w:rsidRDefault="009B79FA" w:rsidP="00C04F2F">
      <w:pPr>
        <w:pStyle w:val="NormalHanging"/>
        <w:widowControl/>
        <w:ind w:left="567" w:hanging="567"/>
      </w:pPr>
      <w:r w:rsidRPr="008762E9">
        <w:t>–</w:t>
      </w:r>
      <w:r w:rsidRPr="008762E9">
        <w:tab/>
        <w:t>έχοντας υπόψη τη δημοσίευση της ΕΤΕπ με τίτλο «</w:t>
      </w:r>
      <w:proofErr w:type="spellStart"/>
      <w:r w:rsidRPr="008762E9">
        <w:t>Unlocking</w:t>
      </w:r>
      <w:proofErr w:type="spellEnd"/>
      <w:r w:rsidRPr="008762E9">
        <w:t xml:space="preserve"> </w:t>
      </w:r>
      <w:proofErr w:type="spellStart"/>
      <w:r w:rsidRPr="008762E9">
        <w:t>innovation</w:t>
      </w:r>
      <w:proofErr w:type="spellEnd"/>
      <w:r w:rsidRPr="008762E9">
        <w:t xml:space="preserve">: </w:t>
      </w:r>
      <w:proofErr w:type="spellStart"/>
      <w:r w:rsidRPr="008762E9">
        <w:t>Addressing</w:t>
      </w:r>
      <w:proofErr w:type="spellEnd"/>
      <w:r w:rsidRPr="008762E9">
        <w:t xml:space="preserve"> the </w:t>
      </w:r>
      <w:proofErr w:type="spellStart"/>
      <w:r w:rsidRPr="008762E9">
        <w:t>funding</w:t>
      </w:r>
      <w:proofErr w:type="spellEnd"/>
      <w:r w:rsidRPr="008762E9">
        <w:t xml:space="preserve"> </w:t>
      </w:r>
      <w:proofErr w:type="spellStart"/>
      <w:r w:rsidRPr="008762E9">
        <w:t>needs</w:t>
      </w:r>
      <w:proofErr w:type="spellEnd"/>
      <w:r w:rsidRPr="008762E9">
        <w:t xml:space="preserve"> of EU </w:t>
      </w:r>
      <w:proofErr w:type="spellStart"/>
      <w:r w:rsidRPr="008762E9">
        <w:t>technology</w:t>
      </w:r>
      <w:proofErr w:type="spellEnd"/>
      <w:r w:rsidRPr="008762E9">
        <w:t xml:space="preserve"> </w:t>
      </w:r>
      <w:proofErr w:type="spellStart"/>
      <w:r w:rsidRPr="008762E9">
        <w:t>infrastructures</w:t>
      </w:r>
      <w:proofErr w:type="spellEnd"/>
      <w:r w:rsidRPr="008762E9">
        <w:t>» (Απελευθέρωση της καινοτομίας: Αντιμετώπιση των χρηματοδοτικών αναγκών των τεχνολογικών υποδομών της ΕΕ), που δημοσιεύθηκε στις 15 Σεπτεμβρίου 2025,</w:t>
      </w:r>
    </w:p>
    <w:p w14:paraId="23B1EB07" w14:textId="77777777" w:rsidR="009B79FA" w:rsidRPr="008762E9" w:rsidRDefault="009B79FA" w:rsidP="00C04F2F">
      <w:pPr>
        <w:pStyle w:val="NormalHanging"/>
        <w:widowControl/>
        <w:ind w:left="567" w:hanging="567"/>
      </w:pPr>
      <w:r w:rsidRPr="008762E9">
        <w:t>–</w:t>
      </w:r>
      <w:r w:rsidRPr="008762E9">
        <w:tab/>
        <w:t>έχοντας υπόψη την έκθεση αξιολόγησης των πράξεων της ΕΤΕπ για το 2022 και το πρόγραμμα εργασίας 2023-2025, που δημοσιεύθηκαν στις 3 Μαρτίου 2023,</w:t>
      </w:r>
    </w:p>
    <w:p w14:paraId="7B923D23" w14:textId="77777777" w:rsidR="009B79FA" w:rsidRPr="008762E9" w:rsidRDefault="009B79FA" w:rsidP="00C04F2F">
      <w:pPr>
        <w:pStyle w:val="NormalHanging"/>
        <w:widowControl/>
        <w:ind w:left="567" w:hanging="567"/>
      </w:pPr>
      <w:r w:rsidRPr="008762E9">
        <w:t>–</w:t>
      </w:r>
      <w:r w:rsidRPr="008762E9">
        <w:tab/>
        <w:t>έχοντας υπόψη την πολιτική του μηχανισμού υποβολής καταγγελιών του Ομίλου ΕΤΕπ, που δημοσιεύθηκε στις 13 Νοεμβρίου 2018,</w:t>
      </w:r>
    </w:p>
    <w:p w14:paraId="34406080" w14:textId="77777777" w:rsidR="009B79FA" w:rsidRPr="008762E9" w:rsidRDefault="009B79FA" w:rsidP="00C04F2F">
      <w:pPr>
        <w:pStyle w:val="NormalHanging"/>
        <w:widowControl/>
        <w:ind w:left="567" w:hanging="567"/>
      </w:pPr>
      <w:r w:rsidRPr="008762E9">
        <w:t>–</w:t>
      </w:r>
      <w:r w:rsidRPr="008762E9">
        <w:tab/>
        <w:t xml:space="preserve">έχοντας υπόψη τη δημοσίευση της ΕΤΕπ, της 8ης Μαΐου 2023, με τίτλο «EIB </w:t>
      </w:r>
      <w:proofErr w:type="spellStart"/>
      <w:r w:rsidRPr="008762E9">
        <w:t>energy</w:t>
      </w:r>
      <w:proofErr w:type="spellEnd"/>
      <w:r w:rsidRPr="008762E9">
        <w:t xml:space="preserve"> </w:t>
      </w:r>
      <w:proofErr w:type="spellStart"/>
      <w:r w:rsidRPr="008762E9">
        <w:t>lending</w:t>
      </w:r>
      <w:proofErr w:type="spellEnd"/>
      <w:r w:rsidRPr="008762E9">
        <w:t xml:space="preserve"> </w:t>
      </w:r>
      <w:proofErr w:type="spellStart"/>
      <w:r w:rsidRPr="008762E9">
        <w:t>policy</w:t>
      </w:r>
      <w:proofErr w:type="spellEnd"/>
      <w:r w:rsidRPr="008762E9">
        <w:t>» (Πολιτική δανειοδότησης της ΕΤΕπ στον τομέα της ενέργειας),</w:t>
      </w:r>
    </w:p>
    <w:p w14:paraId="24C2E0D9" w14:textId="77777777" w:rsidR="009B79FA" w:rsidRPr="008762E9" w:rsidRDefault="009B79FA" w:rsidP="00C04F2F">
      <w:pPr>
        <w:pStyle w:val="NormalHanging"/>
        <w:widowControl/>
        <w:ind w:left="567" w:hanging="567"/>
      </w:pPr>
      <w:r w:rsidRPr="008762E9">
        <w:t>–</w:t>
      </w:r>
      <w:r w:rsidRPr="008762E9">
        <w:tab/>
        <w:t>έχοντας υπόψη τον χάρτη πορείας του Ομίλου ΕΤΕπ για την περίοδο 2021-2025, που εγκρίθηκε από το Διοικητικό Συμβούλιο της ΕΤΕπ στις 11 Νοεμβρίου 2020, τον χάρτη πορείας της κλιματικής τράπεζας – φάση 2, που δημοσιεύθηκε στις 3 Οκτωβρίου 2025 και τη στρατηγική της ΕΤΕπ για το κλίμα, που δημοσιεύθηκε στις 15 Νοεμβρίου 2020,</w:t>
      </w:r>
    </w:p>
    <w:p w14:paraId="6338B035" w14:textId="1CF01A5C" w:rsidR="009B79FA" w:rsidRPr="008762E9" w:rsidRDefault="009B79FA" w:rsidP="00C04F2F">
      <w:pPr>
        <w:pStyle w:val="NormalHanging"/>
        <w:widowControl/>
        <w:ind w:left="567" w:hanging="567"/>
      </w:pPr>
      <w:r w:rsidRPr="008762E9">
        <w:t>–</w:t>
      </w:r>
      <w:r w:rsidRPr="008762E9">
        <w:tab/>
        <w:t>έχοντας υπόψη τα περιβαλλοντικά και κοινωνικά πρότυπα της ΕΤΕπ, της 2ας</w:t>
      </w:r>
      <w:r w:rsidR="00C04F2F" w:rsidRPr="008762E9">
        <w:t> </w:t>
      </w:r>
      <w:r w:rsidRPr="008762E9">
        <w:t>Φεβρουαρίου 2022,</w:t>
      </w:r>
    </w:p>
    <w:p w14:paraId="10CCD71F" w14:textId="77777777" w:rsidR="009B79FA" w:rsidRPr="008762E9" w:rsidRDefault="009B79FA" w:rsidP="00C04F2F">
      <w:pPr>
        <w:pStyle w:val="NormalHanging"/>
        <w:widowControl/>
        <w:ind w:left="567" w:hanging="567"/>
      </w:pPr>
      <w:r w:rsidRPr="008762E9">
        <w:t>–</w:t>
      </w:r>
      <w:r w:rsidRPr="008762E9">
        <w:tab/>
        <w:t>έχοντας υπόψη το σχέδιο δράσης του Ομίλου ΕΤΕπ για οικονομικά προσιτή και βιώσιμη στέγαση,</w:t>
      </w:r>
    </w:p>
    <w:p w14:paraId="1D656906" w14:textId="77777777" w:rsidR="009B79FA" w:rsidRPr="008762E9" w:rsidRDefault="009B79FA" w:rsidP="00C04F2F">
      <w:pPr>
        <w:pStyle w:val="NormalHanging"/>
        <w:widowControl/>
        <w:ind w:left="567" w:hanging="567"/>
      </w:pPr>
      <w:r w:rsidRPr="008762E9">
        <w:t>–</w:t>
      </w:r>
      <w:r w:rsidRPr="008762E9">
        <w:tab/>
        <w:t xml:space="preserve">έχοντας υπόψη τη δημοσίευση της ΕΤΕπ, με τίτλο «EIB Global – </w:t>
      </w:r>
      <w:proofErr w:type="spellStart"/>
      <w:r w:rsidRPr="008762E9">
        <w:t>Partnerships</w:t>
      </w:r>
      <w:proofErr w:type="spellEnd"/>
      <w:r w:rsidRPr="008762E9">
        <w:t xml:space="preserve">, </w:t>
      </w:r>
      <w:proofErr w:type="spellStart"/>
      <w:r w:rsidRPr="008762E9">
        <w:t>People</w:t>
      </w:r>
      <w:proofErr w:type="spellEnd"/>
      <w:r w:rsidRPr="008762E9">
        <w:t xml:space="preserve">, </w:t>
      </w:r>
      <w:proofErr w:type="spellStart"/>
      <w:r w:rsidRPr="008762E9">
        <w:t>Impact</w:t>
      </w:r>
      <w:proofErr w:type="spellEnd"/>
      <w:r w:rsidRPr="008762E9">
        <w:t>» (Η ΕΤΕπ στον κόσμο — Εταιρικές σχέσεις, Άνθρωποι, Αντίκτυπος), που δημοσιεύθηκε στις 10 Φεβρουαρίου 2023,</w:t>
      </w:r>
    </w:p>
    <w:p w14:paraId="567ADDD3" w14:textId="77777777" w:rsidR="009B79FA" w:rsidRPr="008762E9" w:rsidRDefault="009B79FA" w:rsidP="00C04F2F">
      <w:pPr>
        <w:pStyle w:val="NormalHanging"/>
        <w:widowControl/>
        <w:ind w:left="567" w:hanging="567"/>
      </w:pPr>
      <w:r w:rsidRPr="008762E9">
        <w:t>–</w:t>
      </w:r>
      <w:r w:rsidRPr="008762E9">
        <w:tab/>
        <w:t>έχοντας υπόψη τη στρατηγική του Ομίλου ΕΤΕπ για την ισότητα των φύλων και την οικονομική χειραφέτηση των γυναικών, που δημοσιεύθηκε στις 6 Ιανουαρίου 2017, και το σχέδιο δράσης του Ομίλου ΕΤΕπ για θέματα φύλου III (2026-2030), που δημοσιεύθηκε στις 3 Μαρτίου 2026,</w:t>
      </w:r>
    </w:p>
    <w:p w14:paraId="429CCEE7" w14:textId="77777777" w:rsidR="009B79FA" w:rsidRPr="008762E9" w:rsidRDefault="009B79FA" w:rsidP="00C04F2F">
      <w:pPr>
        <w:pStyle w:val="NormalHanging"/>
        <w:widowControl/>
        <w:ind w:left="567" w:hanging="567"/>
      </w:pPr>
      <w:r w:rsidRPr="008762E9">
        <w:t>–</w:t>
      </w:r>
      <w:r w:rsidRPr="008762E9">
        <w:tab/>
        <w:t>έχοντας υπόψη τον κώδικα δεοντολογίας για το προσωπικό του Ομίλου ΕΤΕπ, που δημοσιεύθηκε στις 3 Φεβρουαρίου 2023,</w:t>
      </w:r>
    </w:p>
    <w:p w14:paraId="14BA594D" w14:textId="77777777" w:rsidR="009B79FA" w:rsidRPr="008762E9" w:rsidRDefault="009B79FA" w:rsidP="00C04F2F">
      <w:pPr>
        <w:pStyle w:val="NormalHanging"/>
        <w:widowControl/>
        <w:ind w:left="567" w:hanging="567"/>
      </w:pPr>
      <w:r w:rsidRPr="008762E9">
        <w:t>–</w:t>
      </w:r>
      <w:r w:rsidRPr="008762E9">
        <w:tab/>
        <w:t>έχοντας υπόψη τη δέσμη μέτρων αλληλεγγύης της ΕΤΕπ για την Ουκρανία, που εγκρίθηκε από το διοικητικό συμβούλιο της ΕΤΕπ στις 4 Μαρτίου 2022,</w:t>
      </w:r>
    </w:p>
    <w:p w14:paraId="4C00893B" w14:textId="0A8B1032" w:rsidR="009B79FA" w:rsidRPr="008762E9" w:rsidRDefault="009B79FA" w:rsidP="00C04F2F">
      <w:pPr>
        <w:pStyle w:val="NormalHanging"/>
        <w:widowControl/>
        <w:ind w:left="567" w:hanging="567"/>
      </w:pPr>
      <w:r w:rsidRPr="008762E9">
        <w:t>–</w:t>
      </w:r>
      <w:r w:rsidRPr="008762E9">
        <w:tab/>
        <w:t>έχοντας υπόψη την ανακοίνωση της Επιτροπής, της 29ης Ιανουαρίου 2025, με τίτλο «Πυξίδα Ανταγωνιστικότητας για την ΕΕ» (COM(2025)0030),</w:t>
      </w:r>
    </w:p>
    <w:p w14:paraId="4B9D875B" w14:textId="5E5A0CC9" w:rsidR="009B79FA" w:rsidRPr="008762E9" w:rsidRDefault="009B79FA" w:rsidP="00C04F2F">
      <w:pPr>
        <w:pStyle w:val="NormalHanging"/>
        <w:widowControl/>
        <w:ind w:left="567" w:hanging="567"/>
      </w:pPr>
      <w:r w:rsidRPr="008762E9">
        <w:t>–</w:t>
      </w:r>
      <w:r w:rsidRPr="008762E9">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14:paraId="755E8F9D" w14:textId="5E45C636" w:rsidR="009B79FA" w:rsidRPr="008762E9" w:rsidRDefault="009B79FA" w:rsidP="00C04F2F">
      <w:pPr>
        <w:pStyle w:val="NormalHanging"/>
        <w:widowControl/>
        <w:ind w:left="567" w:hanging="567"/>
      </w:pPr>
      <w:r w:rsidRPr="008762E9">
        <w:lastRenderedPageBreak/>
        <w:t>–</w:t>
      </w:r>
      <w:r w:rsidRPr="008762E9">
        <w:tab/>
        <w:t>έχοντας υπόψη την ανακοίνωση της Επιτροπής, της 26ης Φεβρουαρίου 2025, με τίτλο «Σχέδιο δράσης για οικονομικά προσιτή ενέργεια: Απελευθέρωση της πραγματικής αξίας της Ενεργειακής μας Ένωσης με σκοπό τη διασφάλιση οικονομικά προσιτής, αποδοτικής και καθαρής ενέργειας για όλους τους Ευρωπαίους</w:t>
      </w:r>
      <w:r w:rsidR="00D232BD" w:rsidRPr="008762E9">
        <w:t>»</w:t>
      </w:r>
      <w:r w:rsidRPr="008762E9">
        <w:t xml:space="preserve"> (COM(2025)0079),</w:t>
      </w:r>
    </w:p>
    <w:p w14:paraId="47B866E8" w14:textId="77777777" w:rsidR="009B79FA" w:rsidRPr="008762E9" w:rsidRDefault="009B79FA" w:rsidP="00C04F2F">
      <w:pPr>
        <w:pStyle w:val="NormalHanging"/>
        <w:widowControl/>
        <w:ind w:left="567" w:hanging="567"/>
      </w:pPr>
      <w:r w:rsidRPr="008762E9">
        <w:t>–</w:t>
      </w:r>
      <w:r w:rsidRPr="008762E9">
        <w:tab/>
        <w:t xml:space="preserve">έχοντας υπόψη την έκθεση του </w:t>
      </w:r>
      <w:proofErr w:type="spellStart"/>
      <w:r w:rsidRPr="008762E9">
        <w:t>Mario</w:t>
      </w:r>
      <w:proofErr w:type="spellEnd"/>
      <w:r w:rsidRPr="008762E9">
        <w:t xml:space="preserve"> </w:t>
      </w:r>
      <w:proofErr w:type="spellStart"/>
      <w:r w:rsidRPr="008762E9">
        <w:t>Draghi</w:t>
      </w:r>
      <w:proofErr w:type="spellEnd"/>
      <w:r w:rsidRPr="008762E9">
        <w:t>, της 9ης Σεπτεμβρίου 2024, με τίτλο «Το μέλλον της ευρωπαϊκής ανταγωνιστικότητας»,</w:t>
      </w:r>
    </w:p>
    <w:p w14:paraId="0850A947" w14:textId="4E8C6129" w:rsidR="009B79FA" w:rsidRPr="008762E9" w:rsidRDefault="009B79FA" w:rsidP="00C04F2F">
      <w:pPr>
        <w:pStyle w:val="NormalHanging"/>
        <w:widowControl/>
        <w:ind w:left="567" w:hanging="567"/>
      </w:pPr>
      <w:r w:rsidRPr="008762E9">
        <w:t>–</w:t>
      </w:r>
      <w:r w:rsidRPr="008762E9">
        <w:tab/>
        <w:t>έχοντας υπόψη την πρόταση της Επιτροπής, της 16ης Ιουλίου 2025, για κανονισμό του Ευρωπαϊκού Κοινοβουλίου και του Συμβουλίου σχετικά με τη σύσταση του Ευρωπαϊκού Ταμείου Ανταγωνιστικότητας (ΕΤΑ), συμπεριλαμβανομένου του ειδικού προγράμματος για δραστηριότητες έρευνας και καινοτομίας στον τομέα της άμυνας, την κατάργηση των κανονισμών (ΕΕ) 2021/522, (ΕΕ) 2021/694, (ΕΕ) 2021/697, (ΕΕ) 2021/783, την κατάργηση διατάξεων των κανονισμών (ΕΕ) 2021/696, (ΕΕ) 2023/588 και την τροποποίηση του κανονισμού (ΕΕ) (πρόγραμμα για την ευρωπαϊκή αμυντική βιομηχανία) (COM(2025)0555),</w:t>
      </w:r>
    </w:p>
    <w:p w14:paraId="197AB7DA" w14:textId="77777777" w:rsidR="009B79FA" w:rsidRPr="008762E9" w:rsidRDefault="009B79FA" w:rsidP="00C04F2F">
      <w:pPr>
        <w:pStyle w:val="NormalHanging"/>
        <w:widowControl/>
        <w:ind w:left="567" w:hanging="567"/>
      </w:pPr>
      <w:r w:rsidRPr="008762E9">
        <w:t>–</w:t>
      </w:r>
      <w:r w:rsidRPr="008762E9">
        <w:tab/>
        <w:t>έχοντας υπόψη την τριμερή συμφωνία μεταξύ της Επιτροπής, του Ευρωπαϊκού Ελεγκτικού Συνεδρίου και της Ευρωπαϊκής Τράπεζας Επενδύσεων, η οποία τέθηκε σε ισχύ τον Νοέμβριο 2021,</w:t>
      </w:r>
    </w:p>
    <w:p w14:paraId="13EBDC5F" w14:textId="77777777" w:rsidR="009B79FA" w:rsidRPr="008762E9" w:rsidRDefault="009B79FA" w:rsidP="00C04F2F">
      <w:pPr>
        <w:pStyle w:val="NormalHanging"/>
        <w:widowControl/>
        <w:ind w:left="567" w:hanging="567"/>
      </w:pPr>
      <w:r w:rsidRPr="008762E9">
        <w:t>–</w:t>
      </w:r>
      <w:r w:rsidRPr="008762E9">
        <w:tab/>
        <w:t>έχοντας υπόψη το άρθρο 55 του Κανονισμού του,</w:t>
      </w:r>
    </w:p>
    <w:p w14:paraId="5A71E880" w14:textId="77777777" w:rsidR="009B79FA" w:rsidRPr="008762E9" w:rsidRDefault="009B79FA" w:rsidP="00C04F2F">
      <w:pPr>
        <w:pStyle w:val="NormalHanging"/>
        <w:widowControl/>
        <w:ind w:left="567" w:hanging="567"/>
      </w:pPr>
      <w:r w:rsidRPr="008762E9">
        <w:t>–</w:t>
      </w:r>
      <w:r w:rsidRPr="008762E9">
        <w:tab/>
        <w:t>έχοντας υπόψη την έκθεση της Επιτροπής Προϋπολογισμών (A10-0170/2026),</w:t>
      </w:r>
    </w:p>
    <w:p w14:paraId="5EF154FC" w14:textId="616BB4B4" w:rsidR="009B79FA" w:rsidRPr="008762E9" w:rsidRDefault="009B79FA" w:rsidP="00C04F2F">
      <w:pPr>
        <w:pStyle w:val="NormalHanging"/>
        <w:widowControl/>
        <w:ind w:left="567" w:hanging="567"/>
      </w:pPr>
      <w:r w:rsidRPr="008762E9">
        <w:t>Α.</w:t>
      </w:r>
      <w:r w:rsidRPr="008762E9">
        <w:tab/>
        <w:t>λαμβάνοντας υπόψη ότι η ΕΤΕπ δηλώνει ότι οι συνολικές επενδύσεις της ανήλθαν στο επίπεδο ρεκόρ των 100 δισεκατομμυρίων EUR το 2025, σε σύγκριση με 89</w:t>
      </w:r>
      <w:r w:rsidR="00C04F2F" w:rsidRPr="008762E9">
        <w:t> </w:t>
      </w:r>
      <w:r w:rsidRPr="008762E9">
        <w:t>δισεκατομμύρια</w:t>
      </w:r>
      <w:r w:rsidR="00C04F2F" w:rsidRPr="008762E9">
        <w:t xml:space="preserve"> </w:t>
      </w:r>
      <w:r w:rsidRPr="008762E9">
        <w:t>EUR το 2024· λαμβάνοντας υπόψη ότι ο δείκτης μόχλευσης της ΕΤΕπ έχει αυξηθεί σε 290 %, παρέχοντας επιπλέον περιθώρια στην ΕΤΕπ να επενδύσει και να στηρίξει τις κοινές προτεραιότητες της ΕΕ·</w:t>
      </w:r>
    </w:p>
    <w:p w14:paraId="6B562342" w14:textId="77777777" w:rsidR="009B79FA" w:rsidRPr="008762E9" w:rsidRDefault="009B79FA" w:rsidP="00C04F2F">
      <w:pPr>
        <w:pStyle w:val="NormalHanging"/>
        <w:widowControl/>
        <w:ind w:left="567" w:hanging="567"/>
      </w:pPr>
      <w:r w:rsidRPr="008762E9">
        <w:t>Β.</w:t>
      </w:r>
      <w:r w:rsidRPr="008762E9">
        <w:tab/>
        <w:t>λαμβάνοντας υπόψη ότι η ΕΤΕπ συμβάλλει στην αντιμετώπιση των ανεπαρκειών της αγοράς και των επενδυτικών κενών με την κινητοποίηση ιδιωτικών κεφαλαίων, ενώ παράλληλα λειτουργεί ως χρηματοπιστωτικό ίδρυμα που βασίζεται στην αγορά έχοντας για θεμέλιο υγιείς τραπεζικές αρχές·</w:t>
      </w:r>
    </w:p>
    <w:p w14:paraId="62938167" w14:textId="77777777" w:rsidR="009B79FA" w:rsidRPr="008762E9" w:rsidRDefault="009B79FA" w:rsidP="00C04F2F">
      <w:pPr>
        <w:pStyle w:val="NormalHanging"/>
        <w:widowControl/>
        <w:ind w:left="567" w:hanging="567"/>
      </w:pPr>
      <w:r w:rsidRPr="008762E9">
        <w:t>Γ.</w:t>
      </w:r>
      <w:r w:rsidRPr="008762E9">
        <w:tab/>
        <w:t>λαμβάνοντας υπόψη ότι η ΕΤΕπ, η οποία αποτελεί αποκλειστική ιδιοκτησία των κρατών μελών, είναι επιφορτισμένη με την συμβολή στην επίτευξη των στόχων της Ένωσης, ιδίως στην ανάπτυξη της εσωτερικής αγοράς και στην ενίσχυση των δυνατοτήτων της Ένωσης όσον αφορά τη δημιουργία θέσεων εργασίας, την οικονομική ανάπτυξη, την ανταγωνιστικότητα και τη διττή μετάβαση· λαμβάνοντας υπόψη ότι αυτή η εντολή περιλαμβάνει επίσης την προώθηση των πολιτικών της Ένωσης σε τρίτες χώρες·</w:t>
      </w:r>
    </w:p>
    <w:p w14:paraId="4FD831F2" w14:textId="77777777" w:rsidR="009B79FA" w:rsidRPr="008762E9" w:rsidRDefault="009B79FA" w:rsidP="00C04F2F">
      <w:pPr>
        <w:pStyle w:val="Normal12a"/>
        <w:ind w:left="567" w:hanging="567"/>
      </w:pPr>
      <w:r w:rsidRPr="008762E9">
        <w:rPr>
          <w:b/>
          <w:i/>
        </w:rPr>
        <w:t>Γενικά</w:t>
      </w:r>
    </w:p>
    <w:p w14:paraId="3400EF7A" w14:textId="4923D8F9" w:rsidR="009B79FA" w:rsidRPr="008762E9" w:rsidRDefault="008762E9" w:rsidP="008762E9">
      <w:pPr>
        <w:pStyle w:val="NormalHanging12a"/>
        <w:ind w:left="570" w:hanging="570"/>
      </w:pPr>
      <w:r w:rsidRPr="008762E9">
        <w:t>1.</w:t>
      </w:r>
      <w:r w:rsidRPr="008762E9">
        <w:tab/>
      </w:r>
      <w:r w:rsidR="009B79FA" w:rsidRPr="008762E9">
        <w:t xml:space="preserve">εκφράζει την ικανοποίησή του για τον στρατηγικό χάρτη πορείας της ΕΤΕπ για την περίοδο 2024-2027, ο οποίος αποσκοπεί στην υποστήριξη των πολιτικών προτεραιοτήτων της ΕΕ, μεταξύ άλλων στην κινητοποίηση επενδύσεων για την ενίσχυση της οικονομικής και βιομηχανικής βάσης της Ευρώπης, τη στήριξη της καινοτομίας, της ανταγωνιστικότητας, των κρίσιμων τεχνολογιών, της ασφάλειας και της άμυνας, την τόνωση της βιώσιμης ανάπτυξης, της πράσινης και της ψηφιακής </w:t>
      </w:r>
      <w:r w:rsidR="009B79FA" w:rsidRPr="008762E9">
        <w:lastRenderedPageBreak/>
        <w:t>μετάβασης, της περιφερειακής ανάπτυξης, των σύγχρονων υποδομών ζωτικής σημασίας, συμπεριλαμβανομένων των κοινωνικών υποδομών όπως εκείνες για τη στέγαση, την παιδεία και την υγεία, και ενός ανθεκτικού και καινοτόμου γεωργικού τομέα, και τη στόχευση των ευρωπαϊκών ΜΜΕ και νεοφυών επιχειρήσεων, προωθώντας παράλληλα τις διεθνείς εταιρικές σχέσεις και την ολοκλήρωση της Ένωσης Αποταμιεύσεων και Επενδύσεων·</w:t>
      </w:r>
    </w:p>
    <w:p w14:paraId="22EFD7A4" w14:textId="06280A68" w:rsidR="009B79FA" w:rsidRPr="008762E9" w:rsidRDefault="008762E9" w:rsidP="008762E9">
      <w:pPr>
        <w:pStyle w:val="NormalHanging12a"/>
        <w:ind w:left="570" w:hanging="570"/>
      </w:pPr>
      <w:r w:rsidRPr="008762E9">
        <w:t>2.</w:t>
      </w:r>
      <w:r w:rsidRPr="008762E9">
        <w:tab/>
      </w:r>
      <w:r w:rsidR="009B79FA" w:rsidRPr="008762E9">
        <w:t>υπογραμμίζει ότι η ΕΤΕπ έχει ευθυγραμμιστεί στενά με τις ευρωπαϊκές προτεραιότητες με την πάροδο των ετών· εκφράζει την έντονη ικανοποίησή του για την αυξημένη ιεράρχηση των επενδύσεων που ενισχύουν την ανταγωνιστικότητα, τη βιομηχανική ανθεκτικότητα και την ασφάλεια της Ευρώπης, και ζητεί την ταχεία και αποτελεσματική υλοποίησή τους· υποστηρίζει τον ρόλο της ΕΤΕπ ως κλιματικής τράπεζας, επισημαίνοντας ότι η δράση για το κλίμα αποτελεί την κορυφαία στρατηγική προτεραιότητα του Ομίλου ΕΤΕπ για την περίοδο 2024-2027 καθώς περισσότερο από το 50 % των ετήσιων επενδύσεων διατίθενται για την πράσινη μετάβαση· ζητεί μεγαλύτερες επενδύσεις για προτεραιότητες που σχετίζονται με την ανταγωνιστικότητα, ιδίως για τις ΜΜΕ και τις νεοφυείς επιχειρήσεις, και για την επέκταση των καινοτόμων ευρωπαϊκών εταιρειών, δεδομένου του κρίσιμου ρόλου τους στη γεφύρωση του χάσματος ανταγωνιστικότητας της Ευρώπης· τονίζει την ανάγκη να διατηρήσει η ΕΤΕπ ένα ισορροπημένο χαρτοφυλάκιο, συμπεριλαμβανομένων της ασφάλειας και της άμυνας, του κλίματος, της ανταγωνιστικότητας, της συνοχής, της καινοτομίας, της συνεργασίας και της ανάπτυξης·</w:t>
      </w:r>
    </w:p>
    <w:p w14:paraId="66306A85" w14:textId="4D63BBCA" w:rsidR="009B79FA" w:rsidRPr="008762E9" w:rsidRDefault="008762E9" w:rsidP="008762E9">
      <w:pPr>
        <w:pStyle w:val="NormalHanging12a"/>
        <w:ind w:left="570" w:hanging="570"/>
      </w:pPr>
      <w:r w:rsidRPr="008762E9">
        <w:t>3.</w:t>
      </w:r>
      <w:r w:rsidRPr="008762E9">
        <w:tab/>
      </w:r>
      <w:r w:rsidR="009B79FA" w:rsidRPr="008762E9">
        <w:t>υπογραμμίζει ότι η ΕΤΕπ είναι αξιόπιστος παράγοντας στις διεθνείς χρηματοπιστωτικές αγορές όπως καταδεικνύεται από την πιστοληπτική της αξιολόγηση «ΑΑΑ»· τονίζει ότι η διατήρηση αυτής της αξιολόγησης είναι απαραίτητη για να μπορεί να αντλεί κεφάλαια με ευνοϊκούς όρους και ότι οποιαδήποτε υποβάθμιση θα αύξανε σημαντικά το κόστος χρηματοδότησης· καλεί την ΕΤΕπ να παρακολουθεί στενά τον αντίκτυπο που έχουν στην πιστοληπτική της αξιολόγηση «ΑΑΑ» οι διευρυμένες δραστηριότητές της στον τομέα της άμυνας·</w:t>
      </w:r>
    </w:p>
    <w:p w14:paraId="6A735624" w14:textId="05489AB5" w:rsidR="009B79FA" w:rsidRPr="008762E9" w:rsidRDefault="008762E9" w:rsidP="008762E9">
      <w:pPr>
        <w:pStyle w:val="NormalHanging12a"/>
        <w:ind w:left="570" w:hanging="570"/>
      </w:pPr>
      <w:r w:rsidRPr="008762E9">
        <w:t>4.</w:t>
      </w:r>
      <w:r w:rsidRPr="008762E9">
        <w:tab/>
      </w:r>
      <w:r w:rsidR="009B79FA" w:rsidRPr="008762E9">
        <w:t>τονίζει τον κομβικό ρόλο της ΕΤΕπ στην κινητοποίηση δημόσιας και ιδιωτικής χρηματοδότησης για την αντιμετώπιση των επενδυτικών κενών και την ενίσχυση της οικονομικής ανθεκτικότητας της Ένωσης σε ένα δύσκολο παγκόσμιο περιβάλλον· υπενθυμίζει ότι ο διασυνοριακός συντονισμός, η ολοκλήρωση της κεφαλαιαγοράς και η καλή λειτουργία της ενιαίας αγοράς είναι ουσιαστικής σημασίας· καλεί την Επιτροπή και την ΕΤΕπ να αξιοποιήσουν πλήρως το δυναμικό της ΕΤΕπ και να αποδεσμεύσουν τη χρηματοδότηση που απαιτείται για την πράσινη, την ψηφιακή και την κοινωνική μετάβαση·</w:t>
      </w:r>
    </w:p>
    <w:p w14:paraId="65BC9D82" w14:textId="14225CA3" w:rsidR="009B79FA" w:rsidRPr="008762E9" w:rsidRDefault="008762E9" w:rsidP="008762E9">
      <w:pPr>
        <w:pStyle w:val="NormalHanging12a"/>
        <w:ind w:left="570" w:hanging="570"/>
      </w:pPr>
      <w:r w:rsidRPr="008762E9">
        <w:t>5.</w:t>
      </w:r>
      <w:r w:rsidRPr="008762E9">
        <w:tab/>
      </w:r>
      <w:r w:rsidR="009B79FA" w:rsidRPr="008762E9">
        <w:t>υπογραμμίζει ότι η δράση σε επίπεδο ΕΕ θα πρέπει να συμπληρώνει, και όχι να παραγκωνίζει, τις επενδύσεις των κρατών μελών· ζητεί, ως εκ τούτου, επαρκή ευελιξία εντός του πλαισίου επιλεξιμότητας και αξιολόγησης της ΕΤΕπ για την κάλυψη των εθνικών και περιφερειακών επενδυτικών αναγκών· υπενθυμίζει ότι οι δημόσιες αναπτυξιακές τράπεζες και οργανισμοί θα πρέπει να ελαχιστοποιούν τον κίνδυνο βιώσιμων έργων όπου υπάρχουν κενά στην αγορά, χωρίς να υποκαθιστούν ιδιωτικά κεφάλαια· τονίζει περαιτέρω ότι η ΕΤΕπ θα πρέπει να διαδραματίσει καίριο ρόλο στη διευκόλυνση τόσο των εμπορικών όσο και των δημόσιων τραπεζών να επενδύσουν στον ευρωπαϊκό αμυντικό τομέα· σημειώνει ότι το πλαίσιο βιώσιμης χρηματοδότησης της ΕΕ δεν θέτει γενικούς περιορισμούς στις επενδύσεις στον τομέα της άμυνας·</w:t>
      </w:r>
    </w:p>
    <w:p w14:paraId="0FF37CCA" w14:textId="6168FF98" w:rsidR="009B79FA" w:rsidRPr="008762E9" w:rsidRDefault="008762E9" w:rsidP="008762E9">
      <w:pPr>
        <w:pStyle w:val="NormalHanging12a"/>
        <w:ind w:left="570" w:hanging="570"/>
      </w:pPr>
      <w:r w:rsidRPr="008762E9">
        <w:lastRenderedPageBreak/>
        <w:t>6.</w:t>
      </w:r>
      <w:r w:rsidRPr="008762E9">
        <w:tab/>
      </w:r>
      <w:r w:rsidR="009B79FA" w:rsidRPr="008762E9">
        <w:t>εκφράζει την ικανοποίησή του για την έκκληση για ενίσχυση της ΕΤΕπ στο επόμενο πολυετές δημοσιονομικό πλαίσιο ώστε να μπορέσει να παράσχει χρηματοδοτική στήριξη στις κοινές προτεραιότητες της ΕΕ, ιδίως στο πλαίσιο του InvestEU του ΕΤΑ, του Ταμείου «Παγκόσμια Ευρώπη», καθώς και μέσω χρηματοδοτικών μέσων και δημοσιονομικών εγγυήσεων που έχουν αποδειχθεί εξαιρετικά αποτελεσματικά για την προώθηση βασικών στόχων πολιτικής της ΕΕ· υπογραμμίζει ότι η ΕΤΕπ θα πρέπει να κινητοποιήσει επαρκή χρηματοδότηση, να διοχετεύσει ρευστότητα και να αυξήσει τη φιλοδοξία για τη στήριξη ιδιωτικών και δημόσιων επενδύσεων μέσω του InvestEU· ζητεί, σύμφωνα με την ενδιάμεση έκθεσή του σχετικά με το πολυετές δημοσιονομικό πλαίσιο για την περίοδο 2028 έως 2034, σημαντική ενίσχυση των επιτυχημένων προγραμμάτων της Ένωσης, όπως το InvestEU, και ενισχυμένη επενδυτική εταιρική σχέση με τον Όμιλο ΕΤΕπ, διασφαλίζοντας ότι κάθε ευρώ που δαπανάται σε επίπεδο Ένωσης χρησιμοποιείται με τον πλέον αποτελεσματικό και αποδοτικό τρόπο·</w:t>
      </w:r>
    </w:p>
    <w:p w14:paraId="0B070ED4" w14:textId="2B0106A7" w:rsidR="009B79FA" w:rsidRPr="008762E9" w:rsidRDefault="008762E9" w:rsidP="008762E9">
      <w:pPr>
        <w:pStyle w:val="NormalHanging12a"/>
        <w:ind w:left="570" w:hanging="570"/>
      </w:pPr>
      <w:r w:rsidRPr="008762E9">
        <w:t>7.</w:t>
      </w:r>
      <w:r w:rsidRPr="008762E9">
        <w:tab/>
      </w:r>
      <w:r w:rsidR="009B79FA" w:rsidRPr="008762E9">
        <w:t>τονίζει τη σημασία της ενίσχυσης της συμπληρωματικότητας και των συνεργειών μεταξύ της χρηματοδότησης της ΕΤΕπ και άλλων μέσων της ΕΕ, ώστε να μεγιστοποιηθεί ο αντίκτυπος και να διασφαλιστούν συνεκτικές στρατηγικές εδαφικών επενδύσεων· καλεί την ΕΤΕπ και την Επιτροπή να αναπτύξουν σαφή πλαίσια συντονισμού που θα διευκολύνουν την από κοινού χρήση αυτών των μέσων σε επίπεδο έργου·</w:t>
      </w:r>
    </w:p>
    <w:p w14:paraId="28D08C65" w14:textId="056FBF0D" w:rsidR="009B79FA" w:rsidRPr="008762E9" w:rsidRDefault="008762E9" w:rsidP="008762E9">
      <w:pPr>
        <w:pStyle w:val="NormalHanging12a"/>
        <w:ind w:left="570" w:hanging="570"/>
      </w:pPr>
      <w:r w:rsidRPr="008762E9">
        <w:t>8.</w:t>
      </w:r>
      <w:r w:rsidRPr="008762E9">
        <w:tab/>
      </w:r>
      <w:r w:rsidR="009B79FA" w:rsidRPr="008762E9">
        <w:t>καλεί την ΕΤΕπ να διαδραματίσει ενεργό ρόλο στη στήριξη της συνέχισης και της ολοκλήρωσης των έργων που δρομολογήθηκαν στο πλαίσιο του Μηχανισμού Ανάκαμψης και Ανθεκτικότητας (ΜΑΑ) και να διασφαλίσει την επίτευξη των στόχων ακόμη και μετά την ολοκλήρωσή τους· υπογραμμίζει ότι η χρηματοδότηση και η τεχνική βοήθεια της ΕΤΕπ μπορούν να αποτελέσουν κρίσιμη γέφυρα για να διασφαλιστεί ότι τα έργα που χρηματοδοτούνται από τον ΜΑΑ επιτυγχάνουν τον επιδιωκόμενο οικονομικό και κοινωνικό αντίκτυπό τους·</w:t>
      </w:r>
    </w:p>
    <w:p w14:paraId="63A6CD11" w14:textId="7D38C1CD" w:rsidR="009B79FA" w:rsidRPr="008762E9" w:rsidRDefault="008762E9" w:rsidP="008762E9">
      <w:pPr>
        <w:pStyle w:val="NormalHanging12a"/>
        <w:ind w:left="570" w:hanging="570"/>
      </w:pPr>
      <w:r w:rsidRPr="008762E9">
        <w:t>9.</w:t>
      </w:r>
      <w:r w:rsidRPr="008762E9">
        <w:tab/>
      </w:r>
      <w:r w:rsidR="009B79FA" w:rsidRPr="008762E9">
        <w:t>ενθαρρύνει την ΕΤΕπ να συνεχίσει να αναπτύσσει καινοτόμα χρηματοδοτικά μέσα για την κινητοποίηση των σημαντικών ιδιωτικών αποταμιεύσεων της Ευρώπης για παραγωγικές επενδύσεις, ιδίως μέσω της συνεργασίας με θεσμικούς επενδυτές στην στήριξη επιχειρηματικών κεφαλαίων, ώστε να συμβάλει στην προώθηση της Ένωσης Αποταμιεύσεων και Επενδύσεων· τονίζει ότι οι επενδύσεις που υποστηρίζονται από την ΕΤΕπ θα πρέπει να περιλαμβάνουν εκτιμήσεις επιπτώσεων στην ανταγωνιστικότητα, ώστε να διασφαλίζεται ότι τα κονδύλια της ΕΕ ενισχύουν αποτελεσματικά την καινοτομία, την παραγωγικότητα και την επέκταση της αγοράς σε βασικούς βιομηχανικούς τομείς·</w:t>
      </w:r>
    </w:p>
    <w:p w14:paraId="1115DEDE" w14:textId="4DBD9638" w:rsidR="009B79FA" w:rsidRPr="008762E9" w:rsidRDefault="008762E9" w:rsidP="008762E9">
      <w:pPr>
        <w:pStyle w:val="NormalHanging12a"/>
        <w:ind w:left="570" w:hanging="570"/>
      </w:pPr>
      <w:r w:rsidRPr="008762E9">
        <w:t>10.</w:t>
      </w:r>
      <w:r w:rsidRPr="008762E9">
        <w:tab/>
      </w:r>
      <w:r w:rsidR="009B79FA" w:rsidRPr="008762E9">
        <w:t>υπενθυμίζει ότι η ΕΤΕπ ήταν ο πρώτος εκδότης πράσινου ομολόγου και είναι πλέον ο μεγαλύτερος εκδότης πράσινων ομολόγων σε πολλά νομίσματα· εκφράζει την ικανοποίησή του για το γεγονός ότι, στις 2 Απριλίου 2025, η ΕΤΕπ εξέδωσε το πρώτο της ομόλογο ευαισθητοποίησης για το κλίμα που ευθυγραμμίστηκε με τον κανονισμό για το πρότυπο πράσινου ομολόγου της ΕΕ</w:t>
      </w:r>
      <w:r w:rsidR="00C04F2F" w:rsidRPr="008762E9">
        <w:rPr>
          <w:rStyle w:val="FootnoteReference"/>
        </w:rPr>
        <w:footnoteReference w:id="1"/>
      </w:r>
      <w:r w:rsidR="009B79FA" w:rsidRPr="008762E9">
        <w:t xml:space="preserve">· επισημαίνει τον καίριο ρόλο της ΕΤΕπ </w:t>
      </w:r>
      <w:r w:rsidR="009B79FA" w:rsidRPr="008762E9">
        <w:lastRenderedPageBreak/>
        <w:t>στην ανάπτυξη της αγοράς πράσινων ομολόγων και στην παροχή λύσεων χρηματοδότησης σε βιώσιμες εταιρείες·</w:t>
      </w:r>
    </w:p>
    <w:p w14:paraId="0F13AE63" w14:textId="77777777" w:rsidR="009B79FA" w:rsidRPr="008762E9" w:rsidRDefault="009B79FA" w:rsidP="00C04F2F">
      <w:pPr>
        <w:pStyle w:val="Normal12a"/>
      </w:pPr>
      <w:r w:rsidRPr="008762E9">
        <w:rPr>
          <w:b/>
          <w:i/>
        </w:rPr>
        <w:t xml:space="preserve">Προώθηση της καινοτομίας για τεχνολογική υπεροχή </w:t>
      </w:r>
    </w:p>
    <w:p w14:paraId="0115C73D" w14:textId="602A3199" w:rsidR="009B79FA" w:rsidRPr="008762E9" w:rsidRDefault="008762E9" w:rsidP="008762E9">
      <w:pPr>
        <w:pStyle w:val="NormalHanging12a"/>
        <w:ind w:left="570" w:hanging="570"/>
      </w:pPr>
      <w:r w:rsidRPr="008762E9">
        <w:t>11.</w:t>
      </w:r>
      <w:r w:rsidRPr="008762E9">
        <w:tab/>
      </w:r>
      <w:r w:rsidR="009B79FA" w:rsidRPr="008762E9">
        <w:t xml:space="preserve">εκφράζει την ανησυχία του για το γεγονός ότι η ΕΕ κινδυνεύει να χάσει κεφάλαια, ταλέντα και ικανότητα καινοτομίας από παγκόσμιους ανταγωνιστές που κινούνται ταχύτερα, καθώς και ότι η ΕΕ εξακολουθεί να υστερεί στην ανάπτυξη βασικών τεχνολογιών γενικής εφαρμογής· εκφράζει την ικανοποίησή του για τη δρομολόγηση του προγράμματος </w:t>
      </w:r>
      <w:proofErr w:type="spellStart"/>
      <w:r w:rsidR="009B79FA" w:rsidRPr="008762E9">
        <w:t>TechEU</w:t>
      </w:r>
      <w:proofErr w:type="spellEnd"/>
      <w:r w:rsidR="009B79FA" w:rsidRPr="008762E9">
        <w:t xml:space="preserve">, που αξιοποιεί την επιτυχημένη πρωτοβουλία European </w:t>
      </w:r>
      <w:proofErr w:type="spellStart"/>
      <w:r w:rsidR="009B79FA" w:rsidRPr="008762E9">
        <w:t>Tech</w:t>
      </w:r>
      <w:proofErr w:type="spellEnd"/>
      <w:r w:rsidR="009B79FA" w:rsidRPr="008762E9">
        <w:t xml:space="preserve"> </w:t>
      </w:r>
      <w:proofErr w:type="spellStart"/>
      <w:r w:rsidR="009B79FA" w:rsidRPr="008762E9">
        <w:t>Champions</w:t>
      </w:r>
      <w:proofErr w:type="spellEnd"/>
      <w:r w:rsidR="009B79FA" w:rsidRPr="008762E9">
        <w:t xml:space="preserve"> (Ευρωπαίοι Πρωταθλητές στον τομέα της Τεχνολογίας), κινητοποιώντας έως και 250 δισεκατομμύρια EUR σε επενδύσεις· ζητεί το πρόγραμμα αυτό να δώσει προτεραιότητα σε επενδύσεις που είναι παγκοσμίως ανταγωνιστικές, μπορούν να συμβάλουν στη μακρόπνοη βιώσιμη ανάπτυξη και να ενισχύσουν τις ευρωπαϊκές αλυσίδες εφοδιασμού, καθώς και να μειώσει τις στρατηγικές εξαρτήσεις· τονίζει την ανάγκη να αυξηθούν οι επενδύσεις σε ευρωπαϊκές τεχνολογίες και τομείς ζωτικής σημασίας για τη μακροπρόθεσμη ανθεκτικότητα, συμπεριλαμβανομένων των ημιαγωγών, των αξιακών αλυσίδων συσσωρευτών, της ψηφιακής κυριαρχίας και της κατασκευής καθαρών τεχνολογιών· ενθαρρύνει την ΕΤΕπ να αυξήσει το μερίδιο της χρηματοδότησης που προβλέπεται για το 2027· ζητεί ισορροπημένη και ολοκληρωμένη κατανομή των πόρων στο πλαίσιο του προγράμματος </w:t>
      </w:r>
      <w:proofErr w:type="spellStart"/>
      <w:r w:rsidR="009B79FA" w:rsidRPr="008762E9">
        <w:t>TechEU</w:t>
      </w:r>
      <w:proofErr w:type="spellEnd"/>
      <w:r w:rsidR="009B79FA" w:rsidRPr="008762E9">
        <w:t xml:space="preserve"> σε ΜΜΕ, νεοφυείς και επεκτεινόμενες επιχειρήσεις, ώστε να διασφαλιστεί ότι δίνεται προτεραιότητα στην ανταγωνιστικότητα παράλληλα με άλλους βασικούς στόχους· τονίζει την ανάγκη να επιταχυνθεί η ανάπτυξη τέτοιων προγραμμάτων ώστε να συμβαδίζουν με τον ρυθμό της καινοτομίας και των νεοφυών επιχειρήσεων· ζητεί να αυξηθεί ο προϋπολογισμός του Ευρωπαϊκού Ταμείου Επενδύσεων που προορίζεται για το οικοσύστημα κεφαλαίων επιχειρηματικών συμμετοχών της ΕΕ·</w:t>
      </w:r>
    </w:p>
    <w:p w14:paraId="3B891646" w14:textId="7FCFC0F3" w:rsidR="009B79FA" w:rsidRPr="008762E9" w:rsidRDefault="008762E9" w:rsidP="008762E9">
      <w:pPr>
        <w:pStyle w:val="NormalHanging12a"/>
        <w:ind w:left="570" w:hanging="570"/>
      </w:pPr>
      <w:r w:rsidRPr="008762E9">
        <w:t>12.</w:t>
      </w:r>
      <w:r w:rsidRPr="008762E9">
        <w:tab/>
      </w:r>
      <w:r w:rsidR="009B79FA" w:rsidRPr="008762E9">
        <w:t>σημειώνει ότι σχεδόν το 60% της χρηματοδότησης της ΕΤΕπ το 2025 διοχετεύθηκε στη μετάβαση σε μια οικονομία χαμηλών εκπομπών διοξειδίου του άνθρακα· καλεί την ΕΤΕπ να ενισχύσει την ανταγωνιστικότητα και την οικονομική ασφάλεια καθιστώντας δυνατή μια προβλέψιμη, χωρίς αποκλεισμούς, δίκαιη και οικονομικά προσιτή μετάβαση χωρίς να επιβαρύνει αδικαιολόγητα τη βιομηχανία και τα νοικοκυριά· υπογραμμίζει ότι οι επενδύσεις για το κλίμα και το περιβάλλον μπορούν να συμβάλλουν στην ενίσχυση της βιομηχανικής βάσης, της παραγωγικότητας και της παγκόσμιας ανταγωνιστικότητας της Ευρώπης· υποστηρίζει επενδύσεις σε όλες τις βιομηχανικές αξιακές αλυσίδες, συμπεριλαμβανομένων των τεχνολογιών χαμηλών ανθρακούχων εκπομπών, ώστε να υπάρξουν οικονομικά βιώσιμες οδοί για την απαλλαγή από τις ανθρακούχες εκπομπές, όταν οι εν λόγω επενδύσεις καθοδηγούνται από την καινοτομία και έχουν σαφείς δυνατότητες ενίσχυσης της ανταγωνιστικότητας της αγοράς και της ευρωπαϊκής στρατηγικής αυτονομίας·</w:t>
      </w:r>
      <w:r w:rsidR="00D232BD" w:rsidRPr="008762E9">
        <w:t xml:space="preserve"> καλεί την ΕΤΕπ να χρησιμοποιεί τεχνολογικά ουδέτερα κριτήρια αξιολόγησης, όπως η ένταση άνθρακα κατά τον κύκλο ζωής και η σταθερότητα του δικτύου, κατά τη χρηματοδότηση ενεργειακών έργων χαμηλών ανθρακούχων εκπομπών, συμπεριλαμβανομένης της πυρηνικής ενέργειας, με πλήρη σεβασμό του κυριαρχικού δικαιώματος κάθε κράτους μέλους να καθορίζει το δικό του ενεργειακό μείγμα·</w:t>
      </w:r>
    </w:p>
    <w:p w14:paraId="15284E3B" w14:textId="3CF43631" w:rsidR="009B79FA" w:rsidRPr="008762E9" w:rsidRDefault="008762E9" w:rsidP="008762E9">
      <w:pPr>
        <w:pStyle w:val="NormalHanging12a"/>
        <w:ind w:left="570" w:hanging="570"/>
      </w:pPr>
      <w:r w:rsidRPr="008762E9">
        <w:t>13.</w:t>
      </w:r>
      <w:r w:rsidRPr="008762E9">
        <w:tab/>
      </w:r>
      <w:r w:rsidR="009B79FA" w:rsidRPr="008762E9">
        <w:t xml:space="preserve">υπενθυμίζει ότι οι καθαρή τεχνολογία μπορεί να συμβάλει στην ενίσχυση της κυριαρχίας και της ανταγωνιστικότητας της ΕΕ· εκφράζει την ικανοποίησή του για την ευθυγράμμιση της ΕΤΕπ με το πλαίσιο βιώσιμης χρηματοδότησης της ΕΕ, συμπεριλαμβανομένης της ενσωμάτωσης κριτηρίων ταξινόμησης της ΕΕ· ζητεί να </w:t>
      </w:r>
      <w:r w:rsidR="009B79FA" w:rsidRPr="008762E9">
        <w:lastRenderedPageBreak/>
        <w:t>συνεχιστούν οι επενδύσεις με σαφή και μετρήσιμο αντίκτυπο στη μείωση των εκπομπών· τονίζει την ανάγκη για επενδύσεις στην προσαρμογή και την ανθεκτικότητα στην κλιματική αλλαγή· ενθαρρύνει τις επενδύσεις στην έρευνα και την ανάπτυξη, καθώς και στις καινοτόμες τεχνολογίες, για την ετοιμότητα έναντι της κλιματικής αλλαγής· εκφράζει την ικανοποίησή του για τη συμφωνία της ΕΤΕπ και του ΕΟΠ να εμβαθύνουν τη συνεργασία τους για τη βιοποικιλότητα και τις δράσεις για το κλίμα· αναμένει από την ΕΤΕπ να αξιοποιήσει την τεχνική βοήθεια και τις συμβουλευτικές υπηρεσίες της, ιδίως για τη στήριξη έργων που παρέχουν οικονομικά προσιτή πρόσβαση σε ανανεώσιμες πηγές ενέργειας, με έμφαση στη μείωση των τιμών της ενέργειας και στη διασφάλιση της ασφάλειας του ενεργειακού εφοδιασμού, μεταξύ άλλων για τα ευάλωτα νοικοκυριά·</w:t>
      </w:r>
    </w:p>
    <w:p w14:paraId="464DE15C" w14:textId="12FE32EC" w:rsidR="009B79FA" w:rsidRPr="008762E9" w:rsidRDefault="008762E9" w:rsidP="008762E9">
      <w:pPr>
        <w:pStyle w:val="NormalHanging12a"/>
        <w:ind w:left="570" w:hanging="570"/>
      </w:pPr>
      <w:r w:rsidRPr="008762E9">
        <w:t>14.</w:t>
      </w:r>
      <w:r w:rsidRPr="008762E9">
        <w:tab/>
      </w:r>
      <w:r w:rsidR="009B79FA" w:rsidRPr="008762E9">
        <w:t xml:space="preserve">σημειώνει ότι η ΕΤΕπ διέθεσε 16 δισεκατομμύρια EUR σε χρηματοδότηση για μικρές και νεοφυείς επιχειρήσεις το 2025· υπογραμμίζει ότι η βελτίωση της πρόσβασης στη χρηματοδότηση, ιδίως σε επιχειρηματικά κεφάλαια και χρηματοδότηση για επεκτεινόμενες επιχειρήσεις, είναι ζωτικής σημασίας για να στηριχθεί η μεγέθυνση και η διεθνοποίηση των ανταγωνιστικών ευρωπαϊκών επιχειρήσεων· ζητεί να καταβληθούν περαιτέρω προσπάθειες για να καλυφθεί το χρηματοδοτικό κενό για τις εταιρείες υψηλής ανάπτυξης και να προωθηθεί μια πιο δυναμική και ολοκληρωμένη ευρωπαϊκή κεφαλαιαγορά· είναι της άποψης ότι θα πρέπει να ενισχυθούν οι προσπάθειες για την κινητοποίηση πρόσθετων πόρων για τις ΜΜΕ και τις επεκτεινόμενες επιχειρήσεις, ώστε να διασφαλιστεί ότι μπορούν να είναι ανταγωνιστικές σε παγκόσμιο επίπεδο· καλεί την ΕΤΕπ να αυξήσει τη χρηματοδότησή της για τις ΜΜΕ σε ολόκληρη την Ένωση· ενθαρρύνει το </w:t>
      </w:r>
      <w:proofErr w:type="spellStart"/>
      <w:r w:rsidR="009B79FA" w:rsidRPr="008762E9">
        <w:t>ΕΤαΕ</w:t>
      </w:r>
      <w:proofErr w:type="spellEnd"/>
      <w:r w:rsidR="009B79FA" w:rsidRPr="008762E9">
        <w:t xml:space="preserve"> να δρομολογήσει περισσότερες πρωτοβουλίες για τη στήριξη των νεοφυών και των επεκτεινόμενων επιχειρήσεων·</w:t>
      </w:r>
    </w:p>
    <w:p w14:paraId="34CB5B8B" w14:textId="2F560B59" w:rsidR="009B79FA" w:rsidRPr="008762E9" w:rsidRDefault="008762E9" w:rsidP="008762E9">
      <w:pPr>
        <w:pStyle w:val="NormalHanging12a"/>
        <w:ind w:left="570" w:hanging="570"/>
      </w:pPr>
      <w:r w:rsidRPr="008762E9">
        <w:t>15.</w:t>
      </w:r>
      <w:r w:rsidRPr="008762E9">
        <w:tab/>
      </w:r>
      <w:r w:rsidR="009B79FA" w:rsidRPr="008762E9">
        <w:t>καλεί την ΕΤΕπ να απλουστεύσει και να επιταχύνει περαιτέρω τις διαδικασίες υποβολής αιτήσεων και έγκρισης, να μειώσει τον διοικητικό φόρτο και να ενισχύσει τη στήριξη προς τους μικρούς δικαιούχους, συμπεριλαμβανομένων των τοπικών και περιφερειακών αρχών, των δήμων, των ΜΜΕ και των νεοφυών επιχειρήσεων, διασφαλίζοντας ότι οι προϋποθέσεις και οι απαιτήσεις υποβολής εκθέσεων είναι αναλογικές προς την αξία κατανομής και/ή το μέγεθος του δικαιούχου, χωρίς να τίθενται σε κίνδυνο τα χρηματοπιστωτικά πρότυπα, και να κατανείμει τη χρηματοδότηση με βάση την αποδοτικότητα, την οικονομική βιωσιμότητα και τον μετρήσιμο αντίκτυπο· ζητεί, ειδικότερα, να βελτιωθεί η πρόσβαση των ΜΜΕ και των νεοφυών επιχειρήσεων σε χρηματοδότηση, μεταξύ άλλων μέσω απλουστευμένων κριτηρίων και διαδικασιών επιλεξιμότητας στο πλαίσιο του InvestEU και του ΕΤΕ, ιδίως στις λιγότερο ανεπτυγμένες και αγροτικές περιοχές και ταυτόχρονα να ενισχυθεί η παροχή τεχνικής βοήθειας προς αυτές· ζητεί επίσης η χρηματοδότηση να κατανέμεται με βάση την αποδοτικότητα, την οικονομική βιωσιμότητα και τον μετρήσιμο αντίκτυπο, καθώς και να πραγματοποιούνται αναλογικές εκ των υστέρων αξιολογήσεις για τη διασφάλιση της αποτελεσματικής χρήσης των πόρων και της προσέλκυσης ιδιωτικών επενδύσεων·</w:t>
      </w:r>
      <w:r w:rsidR="00D232BD" w:rsidRPr="008762E9">
        <w:t xml:space="preserve"> εκφράζει την ανησυχία του για το γεγονός ότι οι δυσανάλογες περιβαλλοντικές, κοινωνικές και σχετικές με τη διακυβέρνηση απαιτήσεις υποβολής εκθέσεων που επιβάλλονται στους δικαιούχους αποθαρρύνουν την υλοποίηση οικονομικά βιώσιμων έργων και θέτουν τις ευρωπαϊκές επιχειρήσεις σε μειονεκτική θέση απέναντι στον ανταγωνισμό, και καλεί την ΕΤΕπ να επανεξετάσει τις απαιτήσεις αυτές για να διασφαλίσει την αναλογικότητα·</w:t>
      </w:r>
    </w:p>
    <w:p w14:paraId="7883A428" w14:textId="77777777" w:rsidR="009B79FA" w:rsidRPr="008762E9" w:rsidRDefault="009B79FA" w:rsidP="00C04F2F">
      <w:pPr>
        <w:pStyle w:val="Normal12a"/>
      </w:pPr>
      <w:r w:rsidRPr="008762E9">
        <w:rPr>
          <w:b/>
          <w:i/>
        </w:rPr>
        <w:t>Χρηματοδότηση της ενεργειακής ασφάλειας και του ασφαλούς εφοδιασμού με κρίσιμες πρώτες ύλες για τη βιομηχανική ανταγωνιστικότητα</w:t>
      </w:r>
    </w:p>
    <w:p w14:paraId="6D3D895D" w14:textId="1A183FD8" w:rsidR="009B79FA" w:rsidRPr="008762E9" w:rsidRDefault="008762E9" w:rsidP="008762E9">
      <w:pPr>
        <w:pStyle w:val="NormalHanging12a"/>
        <w:ind w:left="570" w:hanging="570"/>
      </w:pPr>
      <w:r w:rsidRPr="008762E9">
        <w:lastRenderedPageBreak/>
        <w:t>16.</w:t>
      </w:r>
      <w:r w:rsidRPr="008762E9">
        <w:tab/>
      </w:r>
      <w:r w:rsidR="009B79FA" w:rsidRPr="008762E9">
        <w:t>επισημαίνει ότι η βιομηχανική ανταγωνιστικότητα βασίζεται σε προβλέψιμες και προσιτές τιμές ενέργειας· υπενθυμίζει ότι η ενεργειακή αστάθεια εξακολουθεί να αποτελεί διαρθρωτικό κίνδυνο για την οικονομία της ΕΕ λόγω γεωπολιτικών προκλήσεων και περιορισμών στον εφοδιασμό· σημειώνει το γεγονός ότι η ΕΤΕπ το 2026 επικεντρώνεται στην ενίσχυση της ανταγωνιστικότητας και της ασφάλειας· καλεί την ΕΤΕπ να στηρίξει έργα ενεργειακών υποδομών, συμπεριλαμβανομένων εκείνων που χρηματοδοτούνται στο πλαίσιο του μηχανισμού «Συνδέοντας την Ευρώπη», για την ελάφρυνση των τιμών της ενέργειας για τα νοικοκυριά και τις επιχειρήσεις και την ενίσχυση του ενεργειακού εφοδιασμού·</w:t>
      </w:r>
    </w:p>
    <w:p w14:paraId="6CCBB848" w14:textId="1DCE9AE0" w:rsidR="009B79FA" w:rsidRPr="008762E9" w:rsidRDefault="008762E9" w:rsidP="008762E9">
      <w:pPr>
        <w:pStyle w:val="NormalHanging12a"/>
        <w:ind w:left="570" w:hanging="570"/>
      </w:pPr>
      <w:r w:rsidRPr="008762E9">
        <w:t>17.</w:t>
      </w:r>
      <w:r w:rsidRPr="008762E9">
        <w:tab/>
      </w:r>
      <w:r w:rsidR="009B79FA" w:rsidRPr="008762E9">
        <w:t>σημειώνει με ικανοποίηση ότι το 2025 η ΕΤΕπ κατέγραψε χρηματοδότηση ύψους 33</w:t>
      </w:r>
      <w:r w:rsidR="00C04F2F" w:rsidRPr="008762E9">
        <w:t> </w:t>
      </w:r>
      <w:r w:rsidR="009B79FA" w:rsidRPr="008762E9">
        <w:t>δισεκατομμυρίων EUR για την ενεργειακή ασφάλεια της Ευρώπης, στηρίζοντας συνολικές επενδύσεις ύψους 108 δισεκατομμυρίων EUR, συμπεριλαμβανομένων 11</w:t>
      </w:r>
      <w:r w:rsidR="00C04F2F" w:rsidRPr="008762E9">
        <w:t> </w:t>
      </w:r>
      <w:r w:rsidR="009B79FA" w:rsidRPr="008762E9">
        <w:t>δισεκατομμυρίων EUR για ανανεώσιμες πηγές ενέργειας το 2025· ζητεί να εφαρμοστούν οι πολιτικές για το κλίμα και την ενέργεια με ρεαλιστικό τρόπο, διασφαλίζοντας τη χρηματοδότηση οικονομικά αποδοτικών λύσεων, σύμφωνα με την ταξινόμηση της ΕΕ και καθοδηγούμενες από μετρήσιμο οικονομικό αντίκτυπο, που εγγυώνται οικονομικά προσιτή ενέργεια, στρατηγική ανεξαρτησία, αξιοπιστία του συστήματος και ανάπτυξη υποδομών· υπενθυμίζει ότι η δίκαιη μετάβαση αποτελεί έναν από τους πυλώνες του χάρτη πορείας της ΕΤΕπ για το κλίμα και επικροτεί τις προσπάθειες της ΕΤΕπ να διασφαλίσει ότι η μετάβαση προς μια οικονομία χαμηλών εκπομπών διοξειδίου του άνθρακα είναι κοινωνικά δίκαιη και βιώσιμη, χωρίς να μένει κανείς στο περιθώριο·</w:t>
      </w:r>
    </w:p>
    <w:p w14:paraId="5E6999F7" w14:textId="7874397E" w:rsidR="009B79FA" w:rsidRPr="008762E9" w:rsidRDefault="008762E9" w:rsidP="008762E9">
      <w:pPr>
        <w:pStyle w:val="NormalHanging12a"/>
        <w:ind w:left="570" w:hanging="570"/>
      </w:pPr>
      <w:r w:rsidRPr="008762E9">
        <w:t>18.</w:t>
      </w:r>
      <w:r w:rsidRPr="008762E9">
        <w:tab/>
      </w:r>
      <w:r w:rsidR="009B79FA" w:rsidRPr="008762E9">
        <w:t>επισημαίνει ότι η ασφάλεια του εφοδιασμού κρίσιμων πρώτων υλών είναι ζωτικής σημασίας για την πράσινη και την ψηφιακή μετάβαση, τον αμυντικό τομέα και τη βιομηχανική βάση της ΕΕ γενικότερα· υπενθυμίζει τον ρόλο που διαδραματίζει η ΕΤΕπ στην ευρωπαϊκή συμμαχία για τις πρώτες ύλες και στον στόχο της Ένωσης να καταστεί περισσότερο αυτόνομη όσον αφορά τον εφοδιασμό κρίσιμων πρώτων υλών· τονίζει τη σημασία μιας προσέγγισης κυκλικής οικονομίας όσον αφορά τις κρίσιμες πρώτες ύλες, που βασίζεται στην ανακύκλωση και την επαναχρησιμοποίηση, προκειμένου να μειωθεί η εξάρτηση της ΕΕ από τρίτες χώρες και να αυξηθεί η στρατηγική της αυτονομία· καλεί, συνεπώς, την ΕΤΕπ να επενδύσει περισσότερο στον τομέα των κρίσιμων πρώτων υλών προκειμένου να ενισχυθεί η ανθεκτικότητα στις πρώτες ύλες, με ιδιαίτερη έμφαση στην επίτευξη των στόχων της πράξης για τις κρίσιμες πρώτες ύλες</w:t>
      </w:r>
      <w:r w:rsidR="00C04F2F" w:rsidRPr="008762E9">
        <w:rPr>
          <w:rStyle w:val="FootnoteReference"/>
        </w:rPr>
        <w:footnoteReference w:id="2"/>
      </w:r>
      <w:r w:rsidR="009B79FA" w:rsidRPr="008762E9">
        <w:t>, και συγκεκριμένα στην εξόρυξη, την ανακύκλωση και την επεξεργασία δευτερογενών πρώτων υλών·</w:t>
      </w:r>
    </w:p>
    <w:p w14:paraId="144483A8" w14:textId="498B1A13" w:rsidR="009B79FA" w:rsidRPr="008762E9" w:rsidRDefault="008762E9" w:rsidP="008762E9">
      <w:pPr>
        <w:pStyle w:val="NormalHanging12a"/>
        <w:ind w:left="570" w:hanging="570"/>
      </w:pPr>
      <w:r w:rsidRPr="008762E9">
        <w:t>19.</w:t>
      </w:r>
      <w:r w:rsidRPr="008762E9">
        <w:tab/>
      </w:r>
      <w:r w:rsidR="009B79FA" w:rsidRPr="008762E9">
        <w:t xml:space="preserve">ζητεί ισχυρότερο συντονισμό σε επίπεδο ΕΕ όσον αφορά τις κρίσιμες πρώτες ύλες, συμπεριλαμβανομένης της στενότερης συνεργασίας μεταξύ της ΕΤΕπ, των οργανισμών εξαγωγικών πιστώσεων και άλλων δημόσιων χρηματοπιστωτικών ιδρυμάτων· σημειώνει ότι η ΕΕ υστερεί σε σχέση με ανταγωνιστές όπως ο Καναδάς, οι Ηνωμένες Πολιτείες και η Αυστραλία, οι οποίοι εφαρμόζουν πιο συντονισμένες προσεγγίσεις χρηματοδότησης που αφορούν το σύνολο της κυβέρνησης· τονίζει ότι όλα τα υποστηριζόμενα έργα που σχετίζονται με τις κρίσιμες πρώτες ύλες πρέπει να πληρούν υψηλές περιβαλλοντικές και κοινωνικές προδιαγραφές· καλεί την ΕΤΕπ να βελτιώσει </w:t>
      </w:r>
      <w:r w:rsidR="009B79FA" w:rsidRPr="008762E9">
        <w:lastRenderedPageBreak/>
        <w:t>τη διαφάνεια κατά την επιλογή και τη χρηματοδότηση έργων που καλύπτουν όλα τα στάδια των κρίσιμων πρώτων υλών, όπως ορίζονται στην πράξη για τις κρίσιμες πρώτες ύλες·</w:t>
      </w:r>
    </w:p>
    <w:p w14:paraId="237B7F3A" w14:textId="77777777" w:rsidR="009B79FA" w:rsidRPr="008762E9" w:rsidRDefault="009B79FA" w:rsidP="00C04F2F">
      <w:pPr>
        <w:pStyle w:val="Normal12a"/>
      </w:pPr>
      <w:r w:rsidRPr="008762E9">
        <w:rPr>
          <w:b/>
          <w:i/>
        </w:rPr>
        <w:t>Άμυνα και εξωτερική δράση</w:t>
      </w:r>
    </w:p>
    <w:p w14:paraId="53CC9A94" w14:textId="6A408DC1" w:rsidR="009B79FA" w:rsidRPr="008762E9" w:rsidRDefault="008762E9" w:rsidP="008762E9">
      <w:pPr>
        <w:pStyle w:val="NormalHanging12a"/>
        <w:ind w:left="570" w:hanging="570"/>
      </w:pPr>
      <w:r w:rsidRPr="008762E9">
        <w:t>20.</w:t>
      </w:r>
      <w:r w:rsidRPr="008762E9">
        <w:tab/>
      </w:r>
      <w:r w:rsidR="009B79FA" w:rsidRPr="008762E9">
        <w:t>υποστηρίζει το σχέδιο δράσης της ΕΤΕπ του Μαρτίου 2025 για την ενίσχυση των ικανοτήτων ασφάλειας και άμυνας της Ευρώπης· εκφράζει την ικανοποίησή του για την πρόσθετη νέα χρηματοδότηση ύψους 4 δισεκατομμυρίων EUR, η οποία αντιπροσωπεύει σχεδόν το 5% των συνολικών επενδύσεων της ΕΤΕπ στην ΕΕ· υπενθυμίζει τη μετατόπιση των βραχυπρόθεσμων και μεσοπρόθεσμων προτεραιοτήτων της ΕΕ, η οποία έχει ασκήσει σημαντική πίεση στους εθνικούς προϋπολογισμούς όσον αφορά τις επενδύσεις στον τομέα της άμυνας και της ασφάλειας· τονίζει ότι, δεδομένης της εντολής της ΕΤΕπ να στηρίζει τους στόχους της Ένωσης, η ΕΤΕπ θα πρέπει να εντείνει περαιτέρω τη δέσμευσή της σε αυτούς τους στρατηγικούς τομείς φροντίζοντας ταυτόχρονα να διατηρεί την «ΑΑΑ» αξιολόγηση της· σημειώνει ότι η χρηματοδοτική στήριξη της ΕΤΕπ για τη στρατιωτική κινητικότητα, τις στρατηγικές υποδομές και τις προηγμένες τεχνολογίες είναι ένας από τους παράγοντες καίριας σημασίας για την προώθηση της ολοκλήρωσης της αγοράς και την ενίσχυση των κοινών ευρωπαϊκών συμφερόντων· εκφράζει την ικανοποίησή του για τα επικαιροποιημένα κριτήρια επιλεξιμότητας που ενισχύουν τη στήριξη των μικρών, μεσαίων και νεοφυών επιχειρήσεων μέσω προσαρμοσμένων χρηματοδοτικών μέσων, όπως επιχειρηματικά δάνεια, επενδύσεις μετοχικού κεφαλαίου και ειδικά πιστωτικά όρια· σημειώνει ότι οι αμυντικές δαπάνες θα πρέπει να διασφαλίζουν τη στρατηγική συνοχή και μια ισορροπημένη προσέγγιση ενώ δεν θα πρέπει να υπονομεύουν τις κοινωνικές και περιβαλλοντικές δαπάνες ή τις μακροχρόνιες πολιτικές της Ένωσης·</w:t>
      </w:r>
    </w:p>
    <w:p w14:paraId="6B52F6AE" w14:textId="7C7687B1" w:rsidR="009B79FA" w:rsidRPr="008762E9" w:rsidRDefault="008762E9" w:rsidP="008762E9">
      <w:pPr>
        <w:pStyle w:val="NormalHanging12a"/>
        <w:ind w:left="570" w:hanging="570"/>
      </w:pPr>
      <w:r w:rsidRPr="008762E9">
        <w:t>21.</w:t>
      </w:r>
      <w:r w:rsidRPr="008762E9">
        <w:tab/>
      </w:r>
      <w:r w:rsidR="009B79FA" w:rsidRPr="008762E9">
        <w:t>υπενθυμίζει ότι ορισμένοι στρατηγικοί τομείς της βιομηχανίας άμυνας και ασφάλειας εξακολουθούν να αντιμετωπίζουν περιορισμούς στη χρηματοδότηση της ΕΤΕπ· σημειώνει ότι, παρά την απόφαση της ΕΤΕπ, της 21ης Μαρτίου 2025, να επεκτείνει την επιλεξιμότητα, εξακολουθούν να υπάρχουν εναπομένοντες φραγμοί που εμποδίζουν την πλήρη κινητοποίηση ιδιωτικών κεφαλαίων για τη στήριξη της ευρωπαϊκής ασφάλειας· καλεί το Συμβούλιο των Διοικητών της ΕΤΕπ να συνεχίσει να προσαρμόζει τις δανειοδοτικές πρακτικές της Τράπεζας στην αμυντική βιομηχανία, όπως αναφέρεται στα συμπεράσματα του Ευρωπαϊκού Συμβουλίου της 6ης Μαρτίου 2025·</w:t>
      </w:r>
    </w:p>
    <w:p w14:paraId="68CE6606" w14:textId="5E5EF8AA" w:rsidR="009B79FA" w:rsidRPr="008762E9" w:rsidRDefault="008762E9" w:rsidP="008762E9">
      <w:pPr>
        <w:pStyle w:val="NormalHanging12a"/>
        <w:ind w:left="570" w:hanging="570"/>
      </w:pPr>
      <w:r w:rsidRPr="008762E9">
        <w:t>22.</w:t>
      </w:r>
      <w:r w:rsidRPr="008762E9">
        <w:tab/>
      </w:r>
      <w:r w:rsidR="009B79FA" w:rsidRPr="008762E9">
        <w:t>τονίζει τον σημαντικό ρόλο της ΕΕ και της ΕΤΕπ στην οικοδόμηση αμοιβαία επωφελών οικονομικών εταιρικών σχέσεων με τρίτες χώρες, οι οποίες είναι ζωτικής σημασίας για την παγκόσμια θέση της ΕΕ όσον αφορά την προώθηση ενός πολυμερούς συστήματος βασισμένου σε κανόνες, τη βιώσιμη ανάπτυξη, τη δημοκρατία, τα ανθρώπινα δικαιώματα και το κράτος δικαίου, καθώς και την ενίσχυση ανθεκτικών αλυσίδων εφοδιασμού και βιώσιμων υποδομών· τονίζει ότι η ΕΤΕπ πρέπει να εξασφαλίσει τη συστηματική συμμετοχή της κοινωνίας των πολιτών και των τοπικών κοινοτήτων σε όλα τα στάδια του σχεδιασμού, της υλοποίησης και της αξιολόγησης των έργων, ώστε να διασφαλίζεται ότι τα έργα της Global Gateway ανταποκρίνονται στις τοπικές ανάγκες και αποφέρουν ουσιαστικά αναπτυξιακά αποτελέσματα· σημειώνει τον καίριο ρόλο του παγκόσμιου προγράμματος της ΕΤΕπ στην κινητοποίηση επενδύσεων για τη βιώσιμη ανάπτυξη στο πλαίσιο της πρωτοβουλίας Global Gateway και το γεγονός ότι υπερέβη τον στόχο των 100 δισεκατομμυρίων EUR το 2025, ενισχύοντας έτσι τα οικονομικά συμφέροντα της Ευρώπης και την πρόσβαση στην αγορά σε ένα ανταγωνιστικό παγκόσμιο περιβάλλον·</w:t>
      </w:r>
    </w:p>
    <w:p w14:paraId="512CD4E9" w14:textId="4DF22AC0" w:rsidR="009B79FA" w:rsidRPr="008762E9" w:rsidRDefault="008762E9" w:rsidP="008762E9">
      <w:pPr>
        <w:pStyle w:val="NormalHanging12a"/>
        <w:ind w:left="570" w:hanging="570"/>
      </w:pPr>
      <w:r w:rsidRPr="008762E9">
        <w:lastRenderedPageBreak/>
        <w:t>23.</w:t>
      </w:r>
      <w:r w:rsidRPr="008762E9">
        <w:tab/>
      </w:r>
      <w:r w:rsidR="009B79FA" w:rsidRPr="008762E9">
        <w:t xml:space="preserve">εκφράζει την έντονη ικανοποίησή του για τη συνεχιζόμενη στήριξη της ΕΤΕπ στην υλοποίηση και την ενίσχυση των δραστηριοτήτων του δημόσιου και του ιδιωτικού τομέα στην Ουκρανία και στη στήριξη του </w:t>
      </w:r>
      <w:proofErr w:type="spellStart"/>
      <w:r w:rsidR="009B79FA" w:rsidRPr="008762E9">
        <w:t>παναφρικανικού</w:t>
      </w:r>
      <w:proofErr w:type="spellEnd"/>
      <w:r w:rsidR="009B79FA" w:rsidRPr="008762E9">
        <w:t xml:space="preserve"> εμπορίου, των υποδομών και της περιφερειακής ολοκλήρωσης, προκειμένου να ενισχυθούν οι δεσμοί με την Ευρώπη· υπογραμμίζει ότι η στήριξη της ΕΤΕπ και της ΕΕ από μόνη της δεν επαρκεί για την κάλυψη των χρηματοδοτικών αναγκών της Ουκρανίας·</w:t>
      </w:r>
    </w:p>
    <w:p w14:paraId="3FF0DB97" w14:textId="78401853" w:rsidR="009B79FA" w:rsidRPr="008762E9" w:rsidRDefault="008762E9" w:rsidP="008762E9">
      <w:pPr>
        <w:pStyle w:val="NormalHanging12a"/>
        <w:ind w:left="570" w:hanging="570"/>
      </w:pPr>
      <w:r w:rsidRPr="008762E9">
        <w:t>24.</w:t>
      </w:r>
      <w:r w:rsidRPr="008762E9">
        <w:tab/>
      </w:r>
      <w:r w:rsidR="009B79FA" w:rsidRPr="008762E9">
        <w:t>εκφράζει την ανησυχία του για τα ταχέως αυξανόμενα επίπεδα χρέους και το υψηλότερο κόστος δανεισμού στις αναδυόμενες αγορές και τις αναπτυσσόμενες οικονομίες σε μια περίοδο κατά την οποία οι παγκόσμιοι κλυδωνισμοί έχουν καταστεί συχνότεροι και το δημόσιο χρέος των εν λόγω χωρών έχει φτάσει στο υψηλότερο επίπεδο για τα τελευταία 55 έτη· επισημαίνει τον σημαντικό ρόλο της ΕΤΕπ στην παροχή χρηματοδότησης· εκφράζει την ικανοποίησή του για τον ρόλο άλλων πολυμερών οργανισμών στην ελάφρυνση των μη βιώσιμων δανειακών επιβαρύνσεων·</w:t>
      </w:r>
    </w:p>
    <w:p w14:paraId="16250DBE" w14:textId="799F8862" w:rsidR="009B79FA" w:rsidRPr="008762E9" w:rsidRDefault="008762E9" w:rsidP="008762E9">
      <w:pPr>
        <w:pStyle w:val="NormalHanging12a"/>
        <w:ind w:left="570" w:hanging="570"/>
      </w:pPr>
      <w:r w:rsidRPr="008762E9">
        <w:t>25.</w:t>
      </w:r>
      <w:r w:rsidRPr="008762E9">
        <w:tab/>
      </w:r>
      <w:r w:rsidR="009B79FA" w:rsidRPr="008762E9">
        <w:t>επαναλαμβάνει την έκκλησή του προς την «ΕΤΕπ στον κόσμο» να περιορίσει τις συνδυαστικές πράξεις σε τομείς στους οποίους μπορούν να δημιουργήσουν προστιθέμενη αξία για την τοπική οικονομία, αποφεύγοντας παράλληλα τον παραγκωνισμό ιδιωτικών κεφαλαίων, και να διασφαλίσει ότι η μεικτή χρηματοδότηση δεν χρησιμοποιείται για βασικές δημόσιες υπηρεσίες, ειδικά για την υγεία, την εκπαίδευση και την κοινωνική προστασία· υπενθυμίζει ότι οι στόχοι της αναπτυξιακής πολιτικής της ΕΕ, και ιδίως ο στόχος της ενίσχυσης της καθολικής και οικονομικά προσιτής πρόσβασης στην υγειονομική περίθαλψη, θα πρέπει να καθοδηγούν τις επενδύσεις της ΕΤΕπ στον τομέα αυτό, ώστε να εξασφαλίζονται καλύτερα αποτελέσματα στον τομέα της υγείας για όλους·</w:t>
      </w:r>
    </w:p>
    <w:p w14:paraId="50C9FC10" w14:textId="5F1D1445" w:rsidR="00D232BD" w:rsidRPr="008762E9" w:rsidRDefault="008762E9" w:rsidP="008762E9">
      <w:pPr>
        <w:pStyle w:val="NormalHanging12a"/>
        <w:ind w:left="570" w:hanging="570"/>
      </w:pPr>
      <w:r w:rsidRPr="008762E9">
        <w:t>26.</w:t>
      </w:r>
      <w:r w:rsidRPr="008762E9">
        <w:tab/>
      </w:r>
      <w:r w:rsidR="00D232BD" w:rsidRPr="008762E9">
        <w:t>καλεί τα κράτη μέλη να τροποποιήσουν τον κατάλογο αποκλεισμού της ΕΤΕπ προκειμένου να καταστεί δυνατή η χρηματοδότηση όπλων και πυρομαχικών, πέρα από τη στήριξη μόνο τεχνολογιών διπλής χρήσης, συμβάλλοντας έτσι στην ανάπτυξη της ευρωπαϊκής αμυντικής βιομηχανίας·</w:t>
      </w:r>
    </w:p>
    <w:p w14:paraId="05D61109" w14:textId="5A1B29BD" w:rsidR="00D232BD" w:rsidRPr="008762E9" w:rsidRDefault="008762E9" w:rsidP="008762E9">
      <w:pPr>
        <w:pStyle w:val="NormalHanging12a"/>
        <w:ind w:left="570" w:hanging="570"/>
      </w:pPr>
      <w:r w:rsidRPr="008762E9">
        <w:t>27.</w:t>
      </w:r>
      <w:r w:rsidRPr="008762E9">
        <w:tab/>
      </w:r>
      <w:r w:rsidR="00D232BD" w:rsidRPr="008762E9">
        <w:t>τονίζει ότι τα δάνεια της ΕΤΕπ σε τρίτες χώρες θα πρέπει να ενισχύουν τις εξωτερικές προτεραιότητες της ΕΕ· καλεί την ΕΤΕπ να συμπεριλάβει την αποτελεσματική συνεργασία των χωρών εταίρων για τη διαχείριση της μετανάστευσης, συμπεριλαμβανομένης της επανεισδοχής και της επιστροφής μεταναστών που δεν έχουν νόμιμο δικαίωμα παραμονής στην ΕΕ, ως σχετικό κριτήριο στο πλαίσιο εξωτερικού δανεισμού της για τρίτες χώρες·</w:t>
      </w:r>
    </w:p>
    <w:p w14:paraId="268CFC5B" w14:textId="77777777" w:rsidR="009B79FA" w:rsidRPr="008762E9" w:rsidRDefault="009B79FA" w:rsidP="00C04F2F">
      <w:pPr>
        <w:pStyle w:val="Normal12a"/>
      </w:pPr>
      <w:r w:rsidRPr="008762E9">
        <w:rPr>
          <w:b/>
          <w:i/>
        </w:rPr>
        <w:t>Στήριξη της συνοχής, της γεωργίας και της στέγασης</w:t>
      </w:r>
    </w:p>
    <w:p w14:paraId="09B9E9BB" w14:textId="0CBD6D6A" w:rsidR="009B79FA" w:rsidRPr="008762E9" w:rsidRDefault="008762E9" w:rsidP="008762E9">
      <w:pPr>
        <w:pStyle w:val="NormalHanging12a"/>
        <w:ind w:left="570" w:hanging="570"/>
      </w:pPr>
      <w:r w:rsidRPr="008762E9">
        <w:t>28.</w:t>
      </w:r>
      <w:r w:rsidRPr="008762E9">
        <w:tab/>
      </w:r>
      <w:r w:rsidR="009B79FA" w:rsidRPr="008762E9">
        <w:t xml:space="preserve">σημειώνει ότι, το 2025, περίπου το ήμισυ της χρηματοδότησης της ΕΤΕπ στήριξε επενδύσεις στις λιγότερο ανεπτυγμένες περιφέρειες της ΕΕ και 3 δισεκατομμύρια EUR διατέθηκαν για τη γεωργία και τη βιοοικονομία· ενθαρρύνει την ΕΤΕπ να εμβαθύνει τη συνεργασία με τις εθνικές αναπτυξιακές τράπεζες και τα περιφερειακά χρηματοπιστωτικά ιδρύματα, προκειμένου να μεγιστοποιηθεί ο εδαφικός αντίκτυπος της ενωσιακής χρηματοδότησης και να μειωθούν οι περιφερειακές επενδυτικές ανισότητες· ζητεί τη χρήση μεικτής χρηματοδότησης συνδυάζοντας τα ταμεία συνοχής της ΕΕ με τα μέσα της ΕΤΕπ· τονίζει ότι η διασφάλιση της πρόσβασης σε άμεση χρηματοδότηση σε όλες τις περιφέρειες είναι απαραίτητη για την προώθηση της οικονομικής σύγκλισης, την προαγωγή της οικονομικής και εδαφικής συνοχής και ότι, σε συνδυασμό με την ενίσχυση της επισιτιστικής ασφάλειας, αυτό είναι ζωτικής </w:t>
      </w:r>
      <w:r w:rsidR="009B79FA" w:rsidRPr="008762E9">
        <w:lastRenderedPageBreak/>
        <w:t>σημασίας για τη στρατηγική αυτονομία της ΕΕ· καλεί την ΕΤΕπ να κινητοποιήσει προβλέψιμη και επαρκή χρηματοδότηση για τους νέους γεωργούς·</w:t>
      </w:r>
    </w:p>
    <w:p w14:paraId="3C486707" w14:textId="2217F923" w:rsidR="009B79FA" w:rsidRPr="008762E9" w:rsidRDefault="008762E9" w:rsidP="008762E9">
      <w:pPr>
        <w:pStyle w:val="NormalHanging12a"/>
        <w:ind w:left="570" w:hanging="570"/>
      </w:pPr>
      <w:r w:rsidRPr="008762E9">
        <w:t>29.</w:t>
      </w:r>
      <w:r w:rsidRPr="008762E9">
        <w:tab/>
      </w:r>
      <w:r w:rsidR="009B79FA" w:rsidRPr="008762E9">
        <w:t xml:space="preserve">ζητεί να διατηρηθεί η στήριξη του Ομίλου ΕΤΕπ στη γεωργία και την πολιτική συνοχής, συμπεριλαμβανομένης της ευρύτερης χρήσης χρηματοδοτικών μέσων για τη μόχλευση επιχορηγήσεων της ΕΕ και την προσέλκυση ιδιωτικών επενδύσεων· επισημαίνει την προστιθέμενη αξία της επαρκούς χρηματοδότησης για τεχνική βοήθεια, η οποία αναπτύσσεται από κοινού από την ΕΤΕπ και την Επιτροπή προς τις εκτελεστικές αρχές για να διασφαλιστεί η έγκαιρη εκτέλεση, η προσθετικότητα των επενδύσεων, ιδίως μέσω της δημιουργίας διοικητικής ικανότητας και της ανάπτυξης επενδυτικών διαύλων· ζητεί να επεκταθεί η χρήση της μεικτής χρηματοδότησης για τη στοχευμένη στήριξη </w:t>
      </w:r>
      <w:proofErr w:type="spellStart"/>
      <w:r w:rsidR="009B79FA" w:rsidRPr="008762E9">
        <w:t>υποεξυπηρετούμενων</w:t>
      </w:r>
      <w:proofErr w:type="spellEnd"/>
      <w:r w:rsidR="009B79FA" w:rsidRPr="008762E9">
        <w:t xml:space="preserve"> περιφερειών και περιφερειών συνοχής, μέσω του συνδυασμού των διαρθρωτικών και επενδυτικών ταμείων της ΕΕ με άλλα μέσα·</w:t>
      </w:r>
    </w:p>
    <w:p w14:paraId="40A544F2" w14:textId="09086504" w:rsidR="009B79FA" w:rsidRPr="008762E9" w:rsidRDefault="008762E9" w:rsidP="008762E9">
      <w:pPr>
        <w:pStyle w:val="NormalHanging12a"/>
        <w:ind w:left="570" w:hanging="570"/>
      </w:pPr>
      <w:r w:rsidRPr="008762E9">
        <w:t>30.</w:t>
      </w:r>
      <w:r w:rsidRPr="008762E9">
        <w:tab/>
      </w:r>
      <w:r w:rsidR="009B79FA" w:rsidRPr="008762E9">
        <w:t>εκφράζει την ικανοποίησή του για τις προσπάθειες του Ομίλου ΕΤΕπ για τη χρηματοδότηση έργων κοινωνικής στέγασης σε ολόκληρη την Ένωση· καλεί την Τράπεζα να εντείνει τις δραστηριότητές της για τη βελτίωση της πρόσβασης στην προσιτή στέγαση δεδομένης της επιδείνωσης της στεγαστικής κρίσης στην Ευρώπη· ενθαρρύνει την ΕΤΕπ να συνεργαστεί με άλλες ευρωπαϊκές τράπεζες δημόσιων επενδύσεων, τοπικά δημόσια χρηματοπιστωτικά ιδρύματα, τοπικές κυβερνήσεις και συνεταιριστικές εταιρείες, εταιρείες κοινωνικής στέγασης και δήμους για τη χρηματοδότηση στεγαστικών λύσεων και την παροχή μακροπρόθεσμων λύσεων στην κρίση του κόστους ζωής·</w:t>
      </w:r>
    </w:p>
    <w:p w14:paraId="1F52C3BE" w14:textId="2CEC871E" w:rsidR="009B79FA" w:rsidRPr="008762E9" w:rsidRDefault="008762E9" w:rsidP="008762E9">
      <w:pPr>
        <w:pStyle w:val="NormalHanging12a"/>
        <w:ind w:left="570" w:hanging="570"/>
      </w:pPr>
      <w:r w:rsidRPr="008762E9">
        <w:t>31.</w:t>
      </w:r>
      <w:r w:rsidRPr="008762E9">
        <w:tab/>
      </w:r>
      <w:r w:rsidR="009B79FA" w:rsidRPr="008762E9">
        <w:t>επικροτεί τις προσπάθειες της ΕΤΕπ όσον αφορά τη στήριξη έργων που συμβάλλουν στην υλοποίηση του ευρωπαϊκού πυλώνα κοινωνικών δικαιωμάτων και των Στόχων Βιώσιμης Ανάπτυξης των Ηνωμένων Εθνών· καλεί την ΕΤΕπ να αυξήσει τη στάθμιση των κοινωνικών παροχών στις αξιολογήσεις έργων προκειμένου να παρέχει μακροπρόθεσμες οικονομικά προσιτές λύσεις·</w:t>
      </w:r>
    </w:p>
    <w:p w14:paraId="452C22F8" w14:textId="77777777" w:rsidR="009B79FA" w:rsidRPr="008762E9" w:rsidRDefault="009B79FA" w:rsidP="00C04F2F">
      <w:pPr>
        <w:pStyle w:val="Normal12a"/>
      </w:pPr>
      <w:r w:rsidRPr="008762E9">
        <w:rPr>
          <w:b/>
          <w:i/>
        </w:rPr>
        <w:t>Διαφάνεια και λογοδοσία</w:t>
      </w:r>
    </w:p>
    <w:p w14:paraId="494660DB" w14:textId="52B2B592" w:rsidR="009B79FA" w:rsidRPr="008762E9" w:rsidRDefault="008762E9" w:rsidP="008762E9">
      <w:pPr>
        <w:pStyle w:val="NormalHanging12a"/>
        <w:ind w:left="570" w:hanging="570"/>
      </w:pPr>
      <w:r w:rsidRPr="008762E9">
        <w:t>32.</w:t>
      </w:r>
      <w:r w:rsidRPr="008762E9">
        <w:tab/>
      </w:r>
      <w:r w:rsidR="009B79FA" w:rsidRPr="008762E9">
        <w:t>υπενθυμίζει ότι οι πόροι της ΕΤΕπ είναι δημόσιο χρήμα και θα πρέπει πάντα να υπόκεινται σε δημόσιο έλεγχο και λογοδοσία, ιδίως όταν καλύπτονται από εγγυήσεις ή κονδύλια του προϋπολογισμού της ΕΕ· επαναλαμβάνει την έκκλησή του για ένα διαρθρωμένο διοργανικό πλαίσιο που θα διασφαλίζει ενισχυμένη κοινοβουλευτική εποπτεία, βελτιωμένη πρόσβαση σε πληροφορίες και τη δυνατότητα του Κοινοβουλίου να παρέχει στοιχεία σχετικά με τους στρατηγικούς προσανατολισμούς της ΕΤΕπ· σημειώνει την πρόοδο που έχει σημειωθεί όσον αφορά τον δείκτη διαφάνειας των άμεσων ξένων επενδύσεων για το 2025, αλλά ζητεί περαιτέρω βελτιώσεις· τονίζει την ανάγκη δημοσιονομικής ευθύνης και αποδοτικής χρήσης των κονδυλίων για την προστασία των χρημάτων των φορολογουμένων· σημειώνει ότι οι ενισχυμένοι μηχανισμοί υποβολής εκθέσεων είναι απαραίτητοι για τον αποτελεσματικό κοινοβουλευτικό έλεγχο·</w:t>
      </w:r>
    </w:p>
    <w:p w14:paraId="2BFE8674" w14:textId="44357ABE" w:rsidR="009B79FA" w:rsidRPr="008762E9" w:rsidRDefault="008762E9" w:rsidP="008762E9">
      <w:pPr>
        <w:pStyle w:val="NormalHanging12a"/>
        <w:ind w:left="570" w:hanging="570"/>
      </w:pPr>
      <w:r w:rsidRPr="008762E9">
        <w:t>33.</w:t>
      </w:r>
      <w:r w:rsidRPr="008762E9">
        <w:tab/>
      </w:r>
      <w:r w:rsidR="009B79FA" w:rsidRPr="008762E9">
        <w:t xml:space="preserve">επισημαίνει ότι είναι σημαντικό η ΕΤΕπ να διασφαλίζει την ιχνηλασιμότητα των χρηματοδοτούμενων έργων· τονίζει ότι η ΕΤΕπ θα πρέπει να δημοσιεύει εγκαίρως λεπτομερέστερες πληροφορίες σχετικά με τα έργα της, μεταξύ άλλων το σκεπτικό και το πλαίσιο των έργων, επεξήγηση της ευθυγράμμισής τους με τις κοινές προτεραιότητες της ΕΕ και πληροφορίες σχετικά με τους πραγματικούς δικαιούχους οικονομικούς </w:t>
      </w:r>
      <w:r w:rsidR="009B79FA" w:rsidRPr="008762E9">
        <w:lastRenderedPageBreak/>
        <w:t>φορείς, επισημαίνοντας με σαφήνεια τα έργα που υποστηρίζονται από τον προϋπολογισμό της ΕΕ· εκφράζει την ικανοποίησή του για την απόφαση της ΕΤΕπ, κατόπιν έρευνας της Διαμεσολαβήτριας, να αρχίσει να δημοσιεύει προορατικά τις περιβαλλοντικές και κοινωνικές εκτιμήσεις της για έργα που βρίσκονται εκτός της ΕΕ και είναι πιθανό να έχουν σημαντικό αντίκτυπο σε αυτούς τους τομείς·</w:t>
      </w:r>
    </w:p>
    <w:p w14:paraId="5E78E243" w14:textId="6134DDFF" w:rsidR="009B79FA" w:rsidRPr="008762E9" w:rsidRDefault="008762E9" w:rsidP="008762E9">
      <w:pPr>
        <w:pStyle w:val="NormalHanging12a"/>
        <w:ind w:left="570" w:hanging="570"/>
      </w:pPr>
      <w:r w:rsidRPr="008762E9">
        <w:t>34.</w:t>
      </w:r>
      <w:r w:rsidRPr="008762E9">
        <w:tab/>
      </w:r>
      <w:r w:rsidR="009B79FA" w:rsidRPr="008762E9">
        <w:t>τονίζει ότι θα πρέπει να χρησιμοποιούνται, κατά περίπτωση, προσεκτικά σχεδιασμένες προσωρινές εγγυήσεις και όχι επιχορηγήσεις, έτσι ώστε να περιορίζεται ο άμεσος δημοσιονομικός αντίκτυπος και να ευνοείται η προσέλκυση ιδιωτικών κεφαλαίων· υπενθυμίζει ότι οι εγγυήσεις αποτελούν πραγματικό δημοσιονομικό κίνδυνο και θα πρέπει να υπόκεινται στην ίδια πειθαρχία με τις άμεσες δαπάνες· υπογραμμίζει ότι η χρήση εγγυήσεων πρέπει να συνοδεύεται από μεγάλη διαφάνεια, δημοκρατική εποπτεία και κατάλληλους μηχανισμούς αξιολόγησης κινδύνου· τονίζει ότι οι ιδιώτες επενδυτές θα πρέπει να διατηρούν την πρωτογενή έκθεση στον εμπορικό κίνδυνο, ενώ η παρέμβαση της ΕΤΕπ θα πρέπει να παραμένει περιορισμένη, σαφώς καθορισμένη και προσωρινή, επικεντρωνόμενη σε κινδύνους μη αντιμετωπίσιμους από ιδιωτικούς συμμετέχοντες στην αγορά και στον μετριασμό του κινδύνου ανά έργο· καλεί την ΕΤΕπ να περιορίσει τις συνδυαστικές πράξεις σε τομείς όπου μπορούν να προσθέσουν αξία στην τοπική οικονομία, αποφεύγοντας παράλληλα τον παραγκωνισμό ιδιωτικών κεφαλαίων·</w:t>
      </w:r>
    </w:p>
    <w:p w14:paraId="5E8D012D" w14:textId="44A3F683" w:rsidR="009B79FA" w:rsidRPr="008762E9" w:rsidRDefault="008762E9" w:rsidP="008762E9">
      <w:pPr>
        <w:pStyle w:val="NormalHanging12a"/>
        <w:ind w:left="570" w:hanging="570"/>
      </w:pPr>
      <w:r w:rsidRPr="008762E9">
        <w:t>35.</w:t>
      </w:r>
      <w:r w:rsidRPr="008762E9">
        <w:tab/>
      </w:r>
      <w:r w:rsidR="009B79FA" w:rsidRPr="008762E9">
        <w:t>τονίζει το συνολικά υψηλό λειτουργικό κόστος της ΕΤΕπ· ζητεί, ως εκ τούτου, τον προσδιορισμό κατάλληλων μέτρων μετριασμού με σκοπό την ενίσχυση της οικονομικής αποδοτικότητας, διασφαλίζοντας παράλληλα την επιχειρησιακή αποτελεσματικότητα της Τράπεζας·</w:t>
      </w:r>
    </w:p>
    <w:p w14:paraId="6272F735" w14:textId="1264EB4F" w:rsidR="009B79FA" w:rsidRPr="008762E9" w:rsidRDefault="008762E9" w:rsidP="008762E9">
      <w:pPr>
        <w:pStyle w:val="NormalHanging12a"/>
        <w:ind w:left="570" w:hanging="570"/>
      </w:pPr>
      <w:r w:rsidRPr="008762E9">
        <w:t>36.</w:t>
      </w:r>
      <w:r w:rsidRPr="008762E9">
        <w:tab/>
      </w:r>
      <w:r w:rsidR="009B79FA" w:rsidRPr="008762E9">
        <w:t>σημειώνει ότι ο Όμιλος ΕΤΕπ λειτουργεί υπό διττό καθεστώς, στο πλαίσιο του οποίου οι πράξεις που υποστηρίζονται από τον προϋπολογισμό της ΕΕ ελέγχονται έμμεσα από την Επιτροπή, το Ελεγκτικό Συνέδριο και από το Κοινοβούλιο στην απόφασή του για την απαλλαγή του προϋπολογισμού της ΕΕ, ενώ οι πράξεις που χρηματοδοτούνται από τους ιδίους πόρους της ΕΤΕπ και προέρχονται από τα κράτη μέλη, οι οποίες υπερβαίνουν τα τρία τέταρτα των πράξεων της ΕΤΕπ, σε μεγάλο βαθμό εκφεύγουν του συστηματικού εξωτερικού λογιστικού ή άλλου ελέγχου καθώς και του ελέγχου από τα εθνικά κοινοβούλια αλλά και από το Ευρωπαϊκό Κοινοβούλιο· παρατηρεί ότι η ΕΤΕπ διαθέτει πυκνή εσωτερική αρχιτεκτονική λογοδοσίας και ότι οι πράξεις και το λογιστικό σύστημα της ΕΤΕπ εποπτεύονται από εξωτερικό ελεγκτή· συμφωνεί ότι η δομή αυτή είναι σε γενικές γραμμές σύμφωνη με τη διεθνή πρακτική· σημειώνει ότι η υποβολή εκθέσεων στο Ευρωπαϊκό Κοινοβούλιο είναι περιστασιακή, ότι η συνεργασία με τον Ευρωπαίο Διαμεσολαβητή έχει αλλάξει και ότι ο ρόλος του ΕΕΣ περιορίζεται από τους ισχύοντες κανόνες και τις ρυθμίσεις εφαρμογής· τονίζει την ανάγκη η ΕΤΕπ να αναλάβει συγκεκριμένη δράση για να αντιμετωπίσει αυτή την κατάσταση, σύμφωνα με τις προηγούμενες εκκλήσεις στα ψηφίσματα του Κοινοβουλίου και τη διαθεσιμότητα για διάλογο και συνεργασία που εξέφρασαν η αρμόδια για τον προϋπολογισμό αρχή και η αρμόδια για την απαλλαγή αρχή της ΕΕ· καλεί την ΕΤΕπ να εξασφαλίσει την ενεργό συμμετοχή των εθνικών ανώτατων οργάνων ελέγχου στη διαδικασία αυτή, ώστε να διασφαλιστεί η λογοδοσία για πράξεις που δεν καλύπτονται επί του παρόντος από το Ελεγκτικό Συνέδριο και να διασφαλίσει ισχυρή λογοδοσία και εποπτεία·</w:t>
      </w:r>
    </w:p>
    <w:p w14:paraId="16153DDF" w14:textId="18F88DCF" w:rsidR="00D232BD" w:rsidRPr="008762E9" w:rsidRDefault="008762E9" w:rsidP="008762E9">
      <w:pPr>
        <w:pStyle w:val="NormalHanging12a"/>
        <w:ind w:left="570" w:hanging="570"/>
      </w:pPr>
      <w:r w:rsidRPr="008762E9">
        <w:t>37.</w:t>
      </w:r>
      <w:r w:rsidRPr="008762E9">
        <w:tab/>
      </w:r>
      <w:r w:rsidR="00D232BD" w:rsidRPr="008762E9">
        <w:t xml:space="preserve">σημειώνει τον ρόλο εσωτερικής εποπτείας που αναλαμβάνει η Ελεγκτική Επιτροπή της ΕΤΕπ· τονίζει ότι δεν ασκείται εξωτερική προληπτική εποπτεία σύμφωνα με διεθνώς </w:t>
      </w:r>
      <w:r w:rsidR="00D232BD" w:rsidRPr="008762E9">
        <w:lastRenderedPageBreak/>
        <w:t>αποδεκτά εποπτικά πρότυπα, παρά μόνο στον τομέα της διαχείρισης ρευστότητας· ενθαρρύνει το Συμβούλιο των Διοικητών της ΕΤΕπ, δεδομένων του μεγέθους, της πολυπλοκότητας και των ιδιαιτεροτήτων του επιχειρηματικού μοντέλου της ΕΤΕπ, να θεσπίσει κατάλληλες ρυθμίσεις για τη συμμόρφωση με τα υψηλότερα πρότυπα εξωτερικής προληπτικής εποπτείας, λαμβάνοντας παράλληλα υπόψη τις αναγκαίες προσαρμογές που απορρέουν από το μοναδικό επιχειρηματικό μοντέλο της ΕΤΕπ·</w:t>
      </w:r>
    </w:p>
    <w:p w14:paraId="6F82A09D" w14:textId="09F50CCB" w:rsidR="009B79FA" w:rsidRPr="008762E9" w:rsidRDefault="008762E9" w:rsidP="008762E9">
      <w:pPr>
        <w:pStyle w:val="NormalHanging12a"/>
        <w:ind w:left="570" w:hanging="570"/>
      </w:pPr>
      <w:r w:rsidRPr="008762E9">
        <w:t>38.</w:t>
      </w:r>
      <w:r w:rsidRPr="008762E9">
        <w:tab/>
      </w:r>
      <w:r w:rsidR="009B79FA" w:rsidRPr="008762E9">
        <w:t>εκφράζει την ανησυχία του για την εν εξελίξει έρευνα για διαφθορά εις βάρος πρώην Προέδρου της ΕΤΕπ· αναμένει από την Ευρωπαϊκή Εισαγγελία και την Ευρωπαϊκή Υπηρεσία Καταπολέμησης της Απάτης να διερευνήσουν διεξοδικά την υπόθεση και ότι το ζήτημα θα αποσαφηνιστεί πλήρως· υπενθυμίζει ότι κάθε παράνομη πράξη και κατάχρηση δημόσιων πόρων θα πρέπει να τιμωρείται αυστηρά·</w:t>
      </w:r>
    </w:p>
    <w:p w14:paraId="0158AA9D" w14:textId="324486D3" w:rsidR="009B79FA" w:rsidRPr="008762E9" w:rsidRDefault="008762E9" w:rsidP="008762E9">
      <w:pPr>
        <w:pStyle w:val="NormalHanging12a"/>
        <w:ind w:left="570" w:hanging="570"/>
      </w:pPr>
      <w:r w:rsidRPr="008762E9">
        <w:t>39.</w:t>
      </w:r>
      <w:r w:rsidRPr="008762E9">
        <w:tab/>
      </w:r>
      <w:r w:rsidR="009B79FA" w:rsidRPr="008762E9">
        <w:t xml:space="preserve">ζητεί να ενισχυθούν οι πολιτικές της ΕΤΕπ για τα ανθρώπινα δικαιώματα· τονίζει ότι οι εκτιμήσεις περιβαλλοντικών και κοινωνικών επιπτώσεων θα πρέπει να διενεργούνται από ανεξάρτητους εμπειρογνώμονες και ότι θα πρέπει να θεσπιστούν ανεξάρτητοι μηχανισμοί επαλήθευσης για την εποπτεία της </w:t>
      </w:r>
      <w:proofErr w:type="spellStart"/>
      <w:r w:rsidR="009B79FA" w:rsidRPr="008762E9">
        <w:t>αυτοπαρακολούθησης</w:t>
      </w:r>
      <w:proofErr w:type="spellEnd"/>
      <w:r w:rsidR="009B79FA" w:rsidRPr="008762E9">
        <w:t xml:space="preserve"> και της υποβολής εκθέσεων από τους πελάτες της ΕΤΕπ·</w:t>
      </w:r>
    </w:p>
    <w:p w14:paraId="4195FB03" w14:textId="61C3DEBB" w:rsidR="009B79FA" w:rsidRPr="008762E9" w:rsidRDefault="008762E9" w:rsidP="008762E9">
      <w:pPr>
        <w:pStyle w:val="NormalHanging12a"/>
        <w:ind w:left="570" w:hanging="570"/>
      </w:pPr>
      <w:r w:rsidRPr="008762E9">
        <w:t>40.</w:t>
      </w:r>
      <w:r w:rsidRPr="008762E9">
        <w:tab/>
      </w:r>
      <w:r w:rsidR="009B79FA" w:rsidRPr="008762E9">
        <w:t>αναγνωρίζει τις προσπάθειες της ΕΤΕπ να βελτιώσει τις πρακτικές διαχείρισης, μετά την εσωτερική έρευνα της του 2023· ζητεί να συνεχίσουν να εφαρμόζονται οι αρχές της διαφορετικότητας, της ισότητας και της ένταξης της ΕΤΕπ, συμπεριλαμβανομένου του στόχου να κατέχουν οι γυναίκες τουλάχιστον το 40 % των διευθυντικών θέσεων έως το τέλος του 2026·</w:t>
      </w:r>
    </w:p>
    <w:p w14:paraId="31CB81DA" w14:textId="49EB4506" w:rsidR="009B79FA" w:rsidRPr="008762E9" w:rsidRDefault="008762E9" w:rsidP="008762E9">
      <w:pPr>
        <w:pStyle w:val="NormalHanging12a"/>
        <w:ind w:left="570" w:hanging="570"/>
      </w:pPr>
      <w:r w:rsidRPr="008762E9">
        <w:t>41.</w:t>
      </w:r>
      <w:r w:rsidRPr="008762E9">
        <w:tab/>
      </w:r>
      <w:r w:rsidR="009B79FA" w:rsidRPr="008762E9">
        <w:t>επαναλαμβάνει την έκκλησή του προς την ΕΤΕπ να επανεξετάσει επειγόντως τον καταμερισμό των εργασιών εντός της διευθύνουσας επιτροπής, και ιδίως να διασφαλίσει ότι οι Αντιπρόεδροι της ΕΤΕπ δεν αναλαμβάνουν ποτέ ηγετικό ρόλο σε έργα που προέρχονται από τις χώρες καταγωγής τους, ακόμη και αν η διευθύνουσα επιτροπή αναλάβει συλλογική ευθύνη για τις αποφάσεις της, λαμβανομένου υπόψη του προφανούς κινδύνου σύγκρουσης συμφερόντων· τονίζει ότι έχουν διατυπωθεί πολλές συστάσεις σχετικά με το θέμα αυτό από τα θεσμικά όργανα της ΕΕ·</w:t>
      </w:r>
    </w:p>
    <w:p w14:paraId="67414C61" w14:textId="6A89F790" w:rsidR="009B79FA" w:rsidRPr="008762E9" w:rsidRDefault="008762E9" w:rsidP="008762E9">
      <w:pPr>
        <w:pStyle w:val="NormalHanging12a"/>
        <w:ind w:left="570" w:hanging="570"/>
      </w:pPr>
      <w:r w:rsidRPr="008762E9">
        <w:t>42.</w:t>
      </w:r>
      <w:r w:rsidRPr="008762E9">
        <w:tab/>
      </w:r>
      <w:r w:rsidR="009B79FA" w:rsidRPr="008762E9">
        <w:t>εκφράζει την ικανοποίησή του για το γεγονός ότι το 2025, μετά από επανειλημμένες εκκλήσεις του Κοινοβουλίου, η ΕΤΕπ ήταν διατεθειμένη να αρχίσει διαπραγματεύσεις με σκοπό τη σύναψη «συμφωνίας» για ενισχυμένη συνεργασία μεταξύ του Κοινοβουλίου και της ΕΤΕπ· εκφράζει επίσης την ικανοποίησή του για την κοινή αντίληψη ότι οι διαπραγματεύσεις θα πρέπει να ολοκληρωθούν εγκαίρως· υπογραμμίζει ότι μια τέτοια «συμφωνία» θα επισημοποιήσει και θα ενισχύσει τις αλληλεπιδράσεις μεταξύ του Κοινοβουλίου και της ΕΤΕπ, αντικατοπτρίζοντας έτσι την αμοιβαία δέσμευση για στενότερη συνεργασία· σημειώνει ότι η προστιθέμενη αξία των εν λόγω συμφωνιών πιστοποιείται από την εφαρμογή συγκρίσιμων συμφωνιών που έχουν συναφθεί μεταξύ του Κοινοβουλίου και άλλων θεσμικών οργάνων και οργανισμών της Ένωσης ή διακυβερνητικών οργανισμών·</w:t>
      </w:r>
    </w:p>
    <w:p w14:paraId="4F1C0A51" w14:textId="77777777" w:rsidR="009B79FA" w:rsidRPr="008762E9" w:rsidRDefault="009B79FA" w:rsidP="00C04F2F">
      <w:pPr>
        <w:pStyle w:val="NormalCenter12a"/>
        <w:ind w:left="567" w:hanging="567"/>
      </w:pPr>
      <w:r w:rsidRPr="008762E9">
        <w:t>°</w:t>
      </w:r>
    </w:p>
    <w:p w14:paraId="01C4A08B" w14:textId="77777777" w:rsidR="009B79FA" w:rsidRPr="008762E9" w:rsidRDefault="009B79FA" w:rsidP="00C04F2F">
      <w:pPr>
        <w:pStyle w:val="NormalCenter12a"/>
        <w:ind w:left="567" w:hanging="567"/>
      </w:pPr>
      <w:r w:rsidRPr="008762E9">
        <w:t>°</w:t>
      </w:r>
      <w:r w:rsidRPr="008762E9">
        <w:tab/>
        <w:t>°</w:t>
      </w:r>
    </w:p>
    <w:p w14:paraId="6F4FA32D" w14:textId="41CCD812" w:rsidR="002C1FEA" w:rsidRPr="008762E9" w:rsidRDefault="008762E9" w:rsidP="008762E9">
      <w:pPr>
        <w:pStyle w:val="NormalHanging12a"/>
        <w:ind w:left="570" w:hanging="570"/>
      </w:pPr>
      <w:r w:rsidRPr="008762E9">
        <w:t>43.</w:t>
      </w:r>
      <w:r w:rsidRPr="008762E9">
        <w:tab/>
      </w:r>
      <w:r w:rsidR="009B79FA" w:rsidRPr="008762E9">
        <w:t>αναθέτει στην Πρόεδρό του να διαβιβάσει το παρόν ψήφισμα στο Συμβούλιο και στην Επιτροπή.</w:t>
      </w:r>
    </w:p>
    <w:p w14:paraId="09CC8EE9" w14:textId="0ACECF99" w:rsidR="00E365E1" w:rsidRPr="008762E9" w:rsidRDefault="00E365E1" w:rsidP="00C04F2F">
      <w:pPr>
        <w:widowControl/>
        <w:spacing w:after="240"/>
        <w:ind w:left="567" w:hanging="567"/>
      </w:pPr>
    </w:p>
    <w:sectPr w:rsidR="00E365E1" w:rsidRPr="008762E9" w:rsidSect="002C1FE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15AC7" w14:textId="77777777" w:rsidR="003D2EF5" w:rsidRPr="002C1FEA" w:rsidRDefault="003D2EF5">
      <w:r w:rsidRPr="002C1FEA">
        <w:separator/>
      </w:r>
    </w:p>
  </w:endnote>
  <w:endnote w:type="continuationSeparator" w:id="0">
    <w:p w14:paraId="133742E4" w14:textId="77777777" w:rsidR="003D2EF5" w:rsidRPr="002C1FEA" w:rsidRDefault="003D2EF5">
      <w:r w:rsidRPr="002C1F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023B" w14:textId="77777777" w:rsidR="00064002" w:rsidRPr="002C1F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8D67" w14:textId="77777777" w:rsidR="00064002" w:rsidRPr="002C1F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36D87" w14:textId="77777777" w:rsidR="00064002" w:rsidRPr="002C1F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C1981" w14:textId="77777777" w:rsidR="003D2EF5" w:rsidRPr="002C1FEA" w:rsidRDefault="003D2EF5">
      <w:r w:rsidRPr="002C1FEA">
        <w:separator/>
      </w:r>
    </w:p>
  </w:footnote>
  <w:footnote w:type="continuationSeparator" w:id="0">
    <w:p w14:paraId="5622C6F6" w14:textId="77777777" w:rsidR="003D2EF5" w:rsidRPr="002C1FEA" w:rsidRDefault="003D2EF5">
      <w:r w:rsidRPr="002C1FEA">
        <w:continuationSeparator/>
      </w:r>
    </w:p>
  </w:footnote>
  <w:footnote w:id="1">
    <w:p w14:paraId="2C50C781" w14:textId="3DA0ACAC" w:rsidR="00C04F2F" w:rsidRPr="002C1FEA" w:rsidRDefault="00C04F2F" w:rsidP="002C1FEA">
      <w:pPr>
        <w:pStyle w:val="FootnoteText"/>
        <w:ind w:left="567" w:hanging="567"/>
        <w:rPr>
          <w:sz w:val="24"/>
          <w:lang w:val="el-GR"/>
        </w:rPr>
      </w:pPr>
      <w:r>
        <w:rPr>
          <w:rStyle w:val="FootnoteReference"/>
        </w:rPr>
        <w:footnoteRef/>
      </w:r>
      <w:r w:rsidRPr="002C1FEA">
        <w:rPr>
          <w:sz w:val="24"/>
          <w:lang w:val="el-GR"/>
        </w:rPr>
        <w:t xml:space="preserve"> </w:t>
      </w:r>
      <w:r w:rsidRPr="002C1FEA">
        <w:rPr>
          <w:sz w:val="24"/>
          <w:lang w:val="el-GR"/>
        </w:rPr>
        <w:tab/>
        <w:t xml:space="preserve">Κανονισμός (EE) 2023/2631 του Ευρωπαϊκού Κοινοβουλίου και του Συμβουλίου, της 22ας Νοεμβρίου 2023, σχετικά με τα ευρωπαϊκά πράσινα ομόλογα και τις προαιρετικές δημοσιοποιήσεις για τα ομόλογα που διατίθενται στην αγορά ως περιβαλλοντικά βιώσιμα και για τα συνδεόμενα με τη βιωσιμότητα ομόλογα (ΕΕ L, 2023/2631, 30.11.2023, ELI: </w:t>
      </w:r>
      <w:hyperlink r:id="rId1" w:tgtFrame="http://data.europa.eu/eli/reg/2023/2631/oj" w:history="1">
        <w:r w:rsidRPr="002C1FEA">
          <w:rPr>
            <w:rStyle w:val="Hyperlink"/>
            <w:sz w:val="24"/>
            <w:lang w:val="el-GR"/>
          </w:rPr>
          <w:t>http://data.europa.eu/eli/reg/2023/2631/oj</w:t>
        </w:r>
      </w:hyperlink>
      <w:r w:rsidRPr="002C1FEA">
        <w:rPr>
          <w:sz w:val="24"/>
          <w:lang w:val="el-GR"/>
        </w:rPr>
        <w:t>).</w:t>
      </w:r>
    </w:p>
  </w:footnote>
  <w:footnote w:id="2">
    <w:p w14:paraId="2B343311" w14:textId="165F49F2" w:rsidR="00C04F2F" w:rsidRPr="002C1FEA" w:rsidRDefault="00C04F2F" w:rsidP="002C1FEA">
      <w:pPr>
        <w:pStyle w:val="FootnoteText"/>
        <w:ind w:left="567" w:hanging="567"/>
        <w:rPr>
          <w:sz w:val="24"/>
          <w:lang w:val="el-GR"/>
        </w:rPr>
      </w:pPr>
      <w:r>
        <w:rPr>
          <w:rStyle w:val="FootnoteReference"/>
        </w:rPr>
        <w:footnoteRef/>
      </w:r>
      <w:r w:rsidRPr="002C1FEA">
        <w:rPr>
          <w:sz w:val="24"/>
          <w:lang w:val="el-GR"/>
        </w:rPr>
        <w:t xml:space="preserve"> </w:t>
      </w:r>
      <w:r w:rsidRPr="002C1FEA">
        <w:rPr>
          <w:sz w:val="24"/>
          <w:lang w:val="el-GR"/>
        </w:rPr>
        <w:tab/>
        <w:t xml:space="preserve">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 (ΕΕ L, 2024/1252, 3.5.2024, ELI: </w:t>
      </w:r>
      <w:hyperlink r:id="rId2" w:tgtFrame="http://data.europa.eu/eli/reg/2024/1252/oj" w:history="1">
        <w:r w:rsidRPr="002C1FEA">
          <w:rPr>
            <w:rStyle w:val="Hyperlink"/>
            <w:sz w:val="24"/>
            <w:lang w:val="el-GR"/>
          </w:rPr>
          <w:t>http://data.europa.eu/eli/reg/2024/1252/oj</w:t>
        </w:r>
      </w:hyperlink>
      <w:r w:rsidRPr="002C1FE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F908" w14:textId="77777777" w:rsidR="00064002" w:rsidRPr="002C1F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48D4" w14:textId="77777777" w:rsidR="00064002" w:rsidRPr="002C1F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32E5" w14:textId="77777777" w:rsidR="00064002" w:rsidRPr="002C1F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61B5F57"/>
    <w:multiLevelType w:val="hybridMultilevel"/>
    <w:tmpl w:val="C0EE1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B651F74"/>
    <w:multiLevelType w:val="hybridMultilevel"/>
    <w:tmpl w:val="AE22F742"/>
    <w:lvl w:ilvl="0" w:tplc="59DE1E4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065530">
    <w:abstractNumId w:val="9"/>
  </w:num>
  <w:num w:numId="2" w16cid:durableId="1170870580">
    <w:abstractNumId w:val="9"/>
  </w:num>
  <w:num w:numId="3" w16cid:durableId="1622690326">
    <w:abstractNumId w:val="7"/>
  </w:num>
  <w:num w:numId="4" w16cid:durableId="918830630">
    <w:abstractNumId w:val="7"/>
  </w:num>
  <w:num w:numId="5" w16cid:durableId="705326116">
    <w:abstractNumId w:val="6"/>
  </w:num>
  <w:num w:numId="6" w16cid:durableId="841234885">
    <w:abstractNumId w:val="6"/>
  </w:num>
  <w:num w:numId="7" w16cid:durableId="59408224">
    <w:abstractNumId w:val="5"/>
  </w:num>
  <w:num w:numId="8" w16cid:durableId="1090391841">
    <w:abstractNumId w:val="5"/>
  </w:num>
  <w:num w:numId="9" w16cid:durableId="1846359557">
    <w:abstractNumId w:val="4"/>
  </w:num>
  <w:num w:numId="10" w16cid:durableId="1679886991">
    <w:abstractNumId w:val="4"/>
  </w:num>
  <w:num w:numId="11" w16cid:durableId="1022779577">
    <w:abstractNumId w:val="8"/>
  </w:num>
  <w:num w:numId="12" w16cid:durableId="1581133819">
    <w:abstractNumId w:val="8"/>
  </w:num>
  <w:num w:numId="13" w16cid:durableId="2132433780">
    <w:abstractNumId w:val="3"/>
  </w:num>
  <w:num w:numId="14" w16cid:durableId="1263760234">
    <w:abstractNumId w:val="3"/>
  </w:num>
  <w:num w:numId="15" w16cid:durableId="1822455521">
    <w:abstractNumId w:val="2"/>
  </w:num>
  <w:num w:numId="16" w16cid:durableId="1707829632">
    <w:abstractNumId w:val="2"/>
  </w:num>
  <w:num w:numId="17" w16cid:durableId="1029835158">
    <w:abstractNumId w:val="1"/>
  </w:num>
  <w:num w:numId="18" w16cid:durableId="121004956">
    <w:abstractNumId w:val="1"/>
  </w:num>
  <w:num w:numId="19" w16cid:durableId="630205952">
    <w:abstractNumId w:val="0"/>
  </w:num>
  <w:num w:numId="20" w16cid:durableId="466751095">
    <w:abstractNumId w:val="0"/>
  </w:num>
  <w:num w:numId="21" w16cid:durableId="2045326448">
    <w:abstractNumId w:val="9"/>
  </w:num>
  <w:num w:numId="22" w16cid:durableId="283656331">
    <w:abstractNumId w:val="7"/>
  </w:num>
  <w:num w:numId="23" w16cid:durableId="853298341">
    <w:abstractNumId w:val="6"/>
  </w:num>
  <w:num w:numId="24" w16cid:durableId="1740908165">
    <w:abstractNumId w:val="5"/>
  </w:num>
  <w:num w:numId="25" w16cid:durableId="425460041">
    <w:abstractNumId w:val="4"/>
  </w:num>
  <w:num w:numId="26" w16cid:durableId="840585844">
    <w:abstractNumId w:val="8"/>
  </w:num>
  <w:num w:numId="27" w16cid:durableId="1822652245">
    <w:abstractNumId w:val="3"/>
  </w:num>
  <w:num w:numId="28" w16cid:durableId="1112630203">
    <w:abstractNumId w:val="2"/>
  </w:num>
  <w:num w:numId="29" w16cid:durableId="1674649755">
    <w:abstractNumId w:val="1"/>
  </w:num>
  <w:num w:numId="30" w16cid:durableId="182138057">
    <w:abstractNumId w:val="0"/>
  </w:num>
  <w:num w:numId="31" w16cid:durableId="175073668">
    <w:abstractNumId w:val="9"/>
  </w:num>
  <w:num w:numId="32" w16cid:durableId="58134734">
    <w:abstractNumId w:val="7"/>
  </w:num>
  <w:num w:numId="33" w16cid:durableId="428039893">
    <w:abstractNumId w:val="6"/>
  </w:num>
  <w:num w:numId="34" w16cid:durableId="1339455988">
    <w:abstractNumId w:val="5"/>
  </w:num>
  <w:num w:numId="35" w16cid:durableId="1609385585">
    <w:abstractNumId w:val="4"/>
  </w:num>
  <w:num w:numId="36" w16cid:durableId="1950089882">
    <w:abstractNumId w:val="8"/>
  </w:num>
  <w:num w:numId="37" w16cid:durableId="1919554768">
    <w:abstractNumId w:val="3"/>
  </w:num>
  <w:num w:numId="38" w16cid:durableId="565385227">
    <w:abstractNumId w:val="2"/>
  </w:num>
  <w:num w:numId="39" w16cid:durableId="671564664">
    <w:abstractNumId w:val="1"/>
  </w:num>
  <w:num w:numId="40" w16cid:durableId="138546795">
    <w:abstractNumId w:val="0"/>
  </w:num>
  <w:num w:numId="41" w16cid:durableId="717778722">
    <w:abstractNumId w:val="10"/>
  </w:num>
  <w:num w:numId="42" w16cid:durableId="1003514234">
    <w:abstractNumId w:val="10"/>
  </w:num>
  <w:num w:numId="43" w16cid:durableId="456997786">
    <w:abstractNumId w:val="10"/>
  </w:num>
  <w:num w:numId="44" w16cid:durableId="39134709">
    <w:abstractNumId w:val="12"/>
  </w:num>
  <w:num w:numId="45" w16cid:durableId="2053381029">
    <w:abstractNumId w:val="11"/>
  </w:num>
  <w:num w:numId="46" w16cid:durableId="7961391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EL"/>
    <w:docVar w:name="dvnumam" w:val="0"/>
    <w:docVar w:name="dvpe" w:val="784.507"/>
    <w:docVar w:name="dvrapporteur" w:val="Εισηγητής: "/>
    <w:docVar w:name="dvtitre" w:val="Ψήφισμα του Ευρωπαϊκού Κοινοβουλίου της ... 2026 σχετικά με τις χρηματοδοτικές δραστηριότητες του Ομίλου της Ευρωπαϊκής Τράπεζας Επενδύσεων – ετήσια έκθεση 2025(2025/2213(INI))"/>
  </w:docVars>
  <w:rsids>
    <w:rsidRoot w:val="003D2EF5"/>
    <w:rsid w:val="00002272"/>
    <w:rsid w:val="00064002"/>
    <w:rsid w:val="000677B9"/>
    <w:rsid w:val="000831BA"/>
    <w:rsid w:val="000A42CC"/>
    <w:rsid w:val="000D5408"/>
    <w:rsid w:val="000E7DD9"/>
    <w:rsid w:val="0010095E"/>
    <w:rsid w:val="00125B37"/>
    <w:rsid w:val="00187494"/>
    <w:rsid w:val="001F32AE"/>
    <w:rsid w:val="002767FF"/>
    <w:rsid w:val="002B18FE"/>
    <w:rsid w:val="002B5493"/>
    <w:rsid w:val="002C1FEA"/>
    <w:rsid w:val="00343214"/>
    <w:rsid w:val="00361C00"/>
    <w:rsid w:val="00395FA1"/>
    <w:rsid w:val="003D2EF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71E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2E9"/>
    <w:rsid w:val="00881A7B"/>
    <w:rsid w:val="008840E5"/>
    <w:rsid w:val="00887B3E"/>
    <w:rsid w:val="008C2AC6"/>
    <w:rsid w:val="00930C23"/>
    <w:rsid w:val="0093193B"/>
    <w:rsid w:val="009509D8"/>
    <w:rsid w:val="00950B64"/>
    <w:rsid w:val="00981893"/>
    <w:rsid w:val="009B79F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F2F"/>
    <w:rsid w:val="00C05BFE"/>
    <w:rsid w:val="00C23CD4"/>
    <w:rsid w:val="00C61C0C"/>
    <w:rsid w:val="00C941CB"/>
    <w:rsid w:val="00CC2357"/>
    <w:rsid w:val="00CF071A"/>
    <w:rsid w:val="00D058B8"/>
    <w:rsid w:val="00D232BD"/>
    <w:rsid w:val="00D4799C"/>
    <w:rsid w:val="00D56C11"/>
    <w:rsid w:val="00D834A0"/>
    <w:rsid w:val="00D872DF"/>
    <w:rsid w:val="00D91E21"/>
    <w:rsid w:val="00DA7FCD"/>
    <w:rsid w:val="00E365E1"/>
    <w:rsid w:val="00E6729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2DBF7"/>
  <w15:chartTrackingRefBased/>
  <w15:docId w15:val="{7124CD00-1804-4866-A954-1731BC2A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B79FA"/>
    <w:pPr>
      <w:widowControl/>
      <w:spacing w:after="240"/>
    </w:pPr>
    <w:rPr>
      <w:szCs w:val="24"/>
      <w:lang w:eastAsia="en-US"/>
    </w:rPr>
  </w:style>
  <w:style w:type="paragraph" w:customStyle="1" w:styleId="NormalHanging12a">
    <w:name w:val="NormalHanging12a"/>
    <w:basedOn w:val="Normal"/>
    <w:rsid w:val="009B79FA"/>
    <w:pPr>
      <w:widowControl/>
      <w:spacing w:after="240"/>
      <w:ind w:left="566" w:hanging="566"/>
    </w:pPr>
    <w:rPr>
      <w:szCs w:val="24"/>
      <w:lang w:eastAsia="en-US"/>
    </w:rPr>
  </w:style>
  <w:style w:type="paragraph" w:customStyle="1" w:styleId="Normal12">
    <w:name w:val="Normal12"/>
    <w:basedOn w:val="Normal"/>
    <w:rsid w:val="009B79FA"/>
    <w:pPr>
      <w:spacing w:after="240"/>
    </w:pPr>
    <w:rPr>
      <w:szCs w:val="24"/>
      <w:lang w:eastAsia="en-US"/>
    </w:rPr>
  </w:style>
  <w:style w:type="paragraph" w:customStyle="1" w:styleId="NormalHanging">
    <w:name w:val="NormalHanging"/>
    <w:basedOn w:val="Normal"/>
    <w:rsid w:val="009B79FA"/>
    <w:pPr>
      <w:spacing w:after="240"/>
      <w:ind w:left="566" w:hanging="566"/>
    </w:pPr>
    <w:rPr>
      <w:szCs w:val="24"/>
      <w:lang w:eastAsia="en-US"/>
    </w:rPr>
  </w:style>
  <w:style w:type="paragraph" w:customStyle="1" w:styleId="NormalBold12a">
    <w:name w:val="NormalBold12a"/>
    <w:basedOn w:val="Normal"/>
    <w:rsid w:val="009B79FA"/>
    <w:pPr>
      <w:widowControl/>
      <w:spacing w:after="240"/>
    </w:pPr>
    <w:rPr>
      <w:b/>
      <w:szCs w:val="24"/>
      <w:lang w:eastAsia="en-US"/>
    </w:rPr>
  </w:style>
  <w:style w:type="paragraph" w:customStyle="1" w:styleId="NormalCenter12a">
    <w:name w:val="NormalCenter12a"/>
    <w:basedOn w:val="Normal"/>
    <w:rsid w:val="009B79FA"/>
    <w:pPr>
      <w:widowControl/>
      <w:spacing w:after="240"/>
      <w:jc w:val="center"/>
    </w:pPr>
    <w:rPr>
      <w:szCs w:val="24"/>
      <w:lang w:eastAsia="en-US"/>
    </w:rPr>
  </w:style>
  <w:style w:type="character" w:styleId="Hyperlink">
    <w:name w:val="Hyperlink"/>
    <w:basedOn w:val="DefaultParagraphFont"/>
    <w:rsid w:val="009B79FA"/>
    <w:rPr>
      <w:color w:val="0000FF"/>
      <w:u w:val="single"/>
    </w:rPr>
  </w:style>
  <w:style w:type="paragraph" w:styleId="Revision">
    <w:name w:val="Revision"/>
    <w:hidden/>
    <w:uiPriority w:val="99"/>
    <w:semiHidden/>
    <w:rsid w:val="00C04F2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5633</Words>
  <Characters>34369</Characters>
  <Application>Microsoft Office Word</Application>
  <DocSecurity>0</DocSecurity>
  <Lines>286</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2026-07-07T12:29:00Z</dcterms:created>
  <dcterms:modified xsi:type="dcterms:W3CDTF">2026-07-07T12:29:00Z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A10-0170/2026</vt:lpwstr>
  </property>
  <property fmtid="{D5CDD505-2E9C-101B-9397-08002B2CF9AE}" pid="4" name="&lt;Type&gt;">
    <vt:lpwstr>RR</vt:lpwstr>
  </property>
</Properties>
</file>