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15B0" w14:paraId="621C64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0F5A1E" w14:textId="77777777" w:rsidR="00751A4A" w:rsidRPr="005D15B0" w:rsidRDefault="00107E67" w:rsidP="0010095E">
            <w:pPr>
              <w:pStyle w:val="EPName"/>
            </w:pPr>
            <w:r w:rsidRPr="005D15B0">
              <w:t>Europski parlament</w:t>
            </w:r>
          </w:p>
          <w:p w14:paraId="5E011B38" w14:textId="77777777" w:rsidR="00751A4A" w:rsidRPr="005D15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15B0">
              <w:t>2024</w:t>
            </w:r>
            <w:r w:rsidR="00817416" w:rsidRPr="005D15B0">
              <w:t>-202</w:t>
            </w:r>
            <w:r w:rsidRPr="005D15B0">
              <w:t>9</w:t>
            </w:r>
          </w:p>
        </w:tc>
        <w:tc>
          <w:tcPr>
            <w:tcW w:w="2268" w:type="dxa"/>
            <w:shd w:val="clear" w:color="auto" w:fill="auto"/>
          </w:tcPr>
          <w:p w14:paraId="6B7E29F4" w14:textId="77777777" w:rsidR="00751A4A" w:rsidRPr="005D15B0" w:rsidRDefault="00187494" w:rsidP="0010095E">
            <w:pPr>
              <w:pStyle w:val="EPLogo"/>
            </w:pPr>
            <w:r w:rsidRPr="005D15B0">
              <w:rPr>
                <w:noProof/>
                <w:lang w:eastAsia="ja-JP"/>
              </w:rPr>
              <w:drawing>
                <wp:inline distT="0" distB="0" distL="0" distR="0" wp14:anchorId="4BE50D7B" wp14:editId="2D4314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386FF0" w14:textId="77777777" w:rsidR="00D058B8" w:rsidRPr="005D15B0" w:rsidRDefault="00D058B8" w:rsidP="004C5D52">
      <w:pPr>
        <w:pStyle w:val="LineTop"/>
      </w:pPr>
    </w:p>
    <w:p w14:paraId="6E2B431F" w14:textId="77777777" w:rsidR="00680577" w:rsidRPr="005D15B0" w:rsidRDefault="00107E67" w:rsidP="00680577">
      <w:pPr>
        <w:pStyle w:val="EPBodyTA1"/>
      </w:pPr>
      <w:r w:rsidRPr="005D15B0">
        <w:t>USVOJENI TEKSTOVI</w:t>
      </w:r>
    </w:p>
    <w:p w14:paraId="0CBADCB3" w14:textId="77777777" w:rsidR="00D058B8" w:rsidRPr="005D15B0" w:rsidRDefault="00D058B8" w:rsidP="00D058B8">
      <w:pPr>
        <w:pStyle w:val="LineBottom"/>
      </w:pPr>
    </w:p>
    <w:p w14:paraId="77B169CF" w14:textId="78A12C9F" w:rsidR="00107E67" w:rsidRPr="005D15B0" w:rsidRDefault="00107E67" w:rsidP="00107E67">
      <w:pPr>
        <w:pStyle w:val="ATHeading1"/>
      </w:pPr>
      <w:bookmarkStart w:id="0" w:name="TANumber"/>
      <w:r w:rsidRPr="005D15B0">
        <w:t>P10_TA(2026)0</w:t>
      </w:r>
      <w:r w:rsidR="002B6ECE">
        <w:t>245</w:t>
      </w:r>
      <w:bookmarkEnd w:id="0"/>
    </w:p>
    <w:p w14:paraId="6C351F89" w14:textId="77777777" w:rsidR="00107E67" w:rsidRPr="005D15B0" w:rsidRDefault="00107E67" w:rsidP="00107E67">
      <w:pPr>
        <w:pStyle w:val="ATHeading2"/>
      </w:pPr>
      <w:bookmarkStart w:id="1" w:name="title"/>
      <w:r w:rsidRPr="005D15B0">
        <w:t>Financijske aktivnosti Grupe Europske investicijske banke – godišnje izvješće za 2025.</w:t>
      </w:r>
      <w:bookmarkEnd w:id="1"/>
    </w:p>
    <w:p w14:paraId="4D07B5FE" w14:textId="77777777" w:rsidR="00107E67" w:rsidRPr="005D15B0" w:rsidRDefault="00107E67" w:rsidP="00107E67">
      <w:pPr>
        <w:rPr>
          <w:i/>
          <w:vanish/>
        </w:rPr>
      </w:pPr>
      <w:r w:rsidRPr="005D15B0">
        <w:rPr>
          <w:i/>
        </w:rPr>
        <w:fldChar w:fldCharType="begin"/>
      </w:r>
      <w:r w:rsidRPr="005D15B0">
        <w:rPr>
          <w:i/>
        </w:rPr>
        <w:instrText xml:space="preserve"> TC"(</w:instrText>
      </w:r>
      <w:bookmarkStart w:id="2" w:name="DocNumber"/>
      <w:r w:rsidRPr="005D15B0">
        <w:rPr>
          <w:i/>
        </w:rPr>
        <w:instrText>A10-0170/2026</w:instrText>
      </w:r>
      <w:bookmarkEnd w:id="2"/>
      <w:r w:rsidRPr="005D15B0">
        <w:rPr>
          <w:i/>
        </w:rPr>
        <w:instrText xml:space="preserve"> - Izvjestitelj: Joachim </w:instrText>
      </w:r>
      <w:proofErr w:type="spellStart"/>
      <w:r w:rsidRPr="005D15B0">
        <w:rPr>
          <w:i/>
        </w:rPr>
        <w:instrText>Streit</w:instrText>
      </w:r>
      <w:proofErr w:type="spellEnd"/>
      <w:r w:rsidRPr="005D15B0">
        <w:rPr>
          <w:i/>
        </w:rPr>
        <w:instrText xml:space="preserve">)"\l3 \n&gt; \* MERGEFORMAT </w:instrText>
      </w:r>
      <w:r w:rsidRPr="005D15B0">
        <w:rPr>
          <w:i/>
        </w:rPr>
        <w:fldChar w:fldCharType="end"/>
      </w:r>
    </w:p>
    <w:p w14:paraId="3BDDA86A" w14:textId="77777777" w:rsidR="00107E67" w:rsidRPr="005D15B0" w:rsidRDefault="00107E67" w:rsidP="00107E67">
      <w:pPr>
        <w:rPr>
          <w:vanish/>
        </w:rPr>
      </w:pPr>
      <w:bookmarkStart w:id="3" w:name="Commission"/>
      <w:r w:rsidRPr="005D15B0">
        <w:rPr>
          <w:vanish/>
        </w:rPr>
        <w:t>Odbor za proračune</w:t>
      </w:r>
      <w:bookmarkEnd w:id="3"/>
    </w:p>
    <w:p w14:paraId="4192CDDD" w14:textId="77777777" w:rsidR="00107E67" w:rsidRPr="005D15B0" w:rsidRDefault="00107E67" w:rsidP="00107E67">
      <w:pPr>
        <w:rPr>
          <w:vanish/>
        </w:rPr>
      </w:pPr>
      <w:bookmarkStart w:id="4" w:name="PE"/>
      <w:r w:rsidRPr="005D15B0">
        <w:rPr>
          <w:vanish/>
        </w:rPr>
        <w:t>PE784.507</w:t>
      </w:r>
      <w:bookmarkEnd w:id="4"/>
    </w:p>
    <w:p w14:paraId="37F06B95" w14:textId="580DE272" w:rsidR="00107E67" w:rsidRPr="005D15B0" w:rsidRDefault="00107E67" w:rsidP="00107E67">
      <w:pPr>
        <w:pStyle w:val="ATHeading3"/>
      </w:pPr>
      <w:bookmarkStart w:id="5" w:name="Sujet"/>
      <w:r w:rsidRPr="005D15B0">
        <w:t xml:space="preserve">Rezolucija Europskog parlamenta od </w:t>
      </w:r>
      <w:r w:rsidR="005D15B0">
        <w:t>7</w:t>
      </w:r>
      <w:r w:rsidRPr="005D15B0">
        <w:t xml:space="preserve">. </w:t>
      </w:r>
      <w:r w:rsidR="005D15B0">
        <w:t xml:space="preserve">srpnja </w:t>
      </w:r>
      <w:r w:rsidRPr="005D15B0">
        <w:t>2026. o financijskim aktivnostima Grupe Europske investicijske banke – godišnje izvješće za 2025.</w:t>
      </w:r>
      <w:bookmarkEnd w:id="5"/>
      <w:r w:rsidRPr="005D15B0">
        <w:t xml:space="preserve"> </w:t>
      </w:r>
      <w:bookmarkStart w:id="6" w:name="References"/>
      <w:r w:rsidRPr="005D15B0">
        <w:t>(2025/2213(INI))</w:t>
      </w:r>
      <w:bookmarkEnd w:id="6"/>
    </w:p>
    <w:p w14:paraId="411FE968" w14:textId="77777777" w:rsidR="00C72F65" w:rsidRPr="005D15B0" w:rsidRDefault="00C72F65" w:rsidP="005D15B0">
      <w:pPr>
        <w:pStyle w:val="Normal12"/>
        <w:spacing w:before="480"/>
      </w:pPr>
      <w:r w:rsidRPr="005D15B0">
        <w:rPr>
          <w:i/>
        </w:rPr>
        <w:t>Europski parlament</w:t>
      </w:r>
      <w:r w:rsidRPr="005D15B0">
        <w:t>,</w:t>
      </w:r>
    </w:p>
    <w:p w14:paraId="004A1779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članke 2. i 3. Ugovora o Europskoj uniji,</w:t>
      </w:r>
    </w:p>
    <w:p w14:paraId="35732485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članke 15., 126., 174., 175., 177., 208., 209., 271., 308. i 309. Ugovora o funkcioniranju Europske unije i Protokol br. 5 Ugovorima o Statutu Europske investicijske banke (EIB),</w:t>
      </w:r>
    </w:p>
    <w:p w14:paraId="1D4CD890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članke od 41. do 43. Ugovora o osnivanju Europske zajednice za atomsku energiju,</w:t>
      </w:r>
    </w:p>
    <w:p w14:paraId="281CD0CC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Statut EIB-a,</w:t>
      </w:r>
    </w:p>
    <w:p w14:paraId="7482FCB2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Operativni plan Grupe EIB-a za razdoblje 2026. – 2028. objavljen 29. siječnja 2026. i Operativni plan Grupe EIB-a za razdoblje 2025. – 2027. od 30. siječnja 2025.,</w:t>
      </w:r>
    </w:p>
    <w:p w14:paraId="602529A7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izvješće o radu Grupe EIB-a za 2025. naslovljeno „Osnaživanje Europe” i objavljeno 29. siječnja 2026.,</w:t>
      </w:r>
    </w:p>
    <w:p w14:paraId="0CBBE894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EIB-ove dubinske analize u području okoliša, klime i socijalnih pitanja objavljene 20. listopada 2025.,</w:t>
      </w:r>
    </w:p>
    <w:p w14:paraId="1FD62160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strateško usmjerenje EIB Globala objavljeno 15. listopada 2025.,</w:t>
      </w:r>
    </w:p>
    <w:p w14:paraId="74CB2EC6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istraživanje EIB-a o ulaganjima 2025. naslovljeno „Europska unija – Pregled” objavljeno 14. listopada 2025.,</w:t>
      </w:r>
    </w:p>
    <w:p w14:paraId="31CE4609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publikaciju EIB-a naslovljenu „Poticanje inovacija – Zadovoljavanje potreba za financiranjem tehnološke infrastrukture EU-a” objavljenu 15. rujna 2025.,</w:t>
      </w:r>
    </w:p>
    <w:p w14:paraId="51619485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 xml:space="preserve">uzimajući u obzir izvješće EIB-a o ocjeni aktivnosti za 2022. i program rada za </w:t>
      </w:r>
      <w:r w:rsidRPr="005D15B0">
        <w:lastRenderedPageBreak/>
        <w:t>razdoblje 2023. – 2025., objavljene 3. ožujka 2023.,</w:t>
      </w:r>
    </w:p>
    <w:p w14:paraId="278B9693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politiku pritužbenog mehanizma Grupe EIB-a, objavljenu 13. studenoga 2018.,</w:t>
      </w:r>
    </w:p>
    <w:p w14:paraId="311C3A3A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 xml:space="preserve">uzimajući u obzir publikaciju EIB-a naslovljenu „EIB </w:t>
      </w:r>
      <w:proofErr w:type="spellStart"/>
      <w:r w:rsidRPr="005D15B0">
        <w:t>energy</w:t>
      </w:r>
      <w:proofErr w:type="spellEnd"/>
      <w:r w:rsidRPr="005D15B0">
        <w:t xml:space="preserve"> </w:t>
      </w:r>
      <w:proofErr w:type="spellStart"/>
      <w:r w:rsidRPr="005D15B0">
        <w:t>lending</w:t>
      </w:r>
      <w:proofErr w:type="spellEnd"/>
      <w:r w:rsidRPr="005D15B0">
        <w:t xml:space="preserve"> </w:t>
      </w:r>
      <w:proofErr w:type="spellStart"/>
      <w:r w:rsidRPr="005D15B0">
        <w:t>policy</w:t>
      </w:r>
      <w:proofErr w:type="spellEnd"/>
      <w:r w:rsidRPr="005D15B0">
        <w:t>” (Politika Grupe EIB-a za kreditiranje u području energije), objavljenu 8. svibnja 2023.,</w:t>
      </w:r>
    </w:p>
    <w:p w14:paraId="22F29F16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Plan djelovanja klimatske banke za razdoblje 2021. – 2025. koji je Upravno vijeće EIB-a donijelo 11. studenoga 2020., 2. fazu plana djelovanja klimatske banke objavljenu 3. listopada 2025. i klimatsku strategiju EIB-a objavljenu 15. studenoga 2020.,</w:t>
      </w:r>
    </w:p>
    <w:p w14:paraId="50CDC491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EIB-ov dokument od 2. veljače 2022. naslovljen „Okolišni i socijalni standardi”,</w:t>
      </w:r>
    </w:p>
    <w:p w14:paraId="00FAC3A6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 xml:space="preserve">uzimajući u obzir Akcijski plan Grupe EIB-a za </w:t>
      </w:r>
      <w:proofErr w:type="spellStart"/>
      <w:r w:rsidRPr="005D15B0">
        <w:t>priuštivo</w:t>
      </w:r>
      <w:proofErr w:type="spellEnd"/>
      <w:r w:rsidRPr="005D15B0">
        <w:t xml:space="preserve"> i održivo stanovanje,</w:t>
      </w:r>
    </w:p>
    <w:p w14:paraId="2F306A08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publikaciju EIB-a naslovljenu „EIB Global – Partnerstva, ljudi, utjecaj” objavljenu 10. veljače 2023.,</w:t>
      </w:r>
    </w:p>
    <w:p w14:paraId="6F608D9F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strategiju Grupe EIB-a za rodnu ravnopravnost i jačanje ekonomskog položaja žena objavljenu 6. siječnja 2017. i III. akcijski plan Grupe EIB-a za rodnu ravnopravnost (2026. – 2030.) objavljen 3. ožujka 2026.,</w:t>
      </w:r>
    </w:p>
    <w:p w14:paraId="6625F47F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Kodeks ponašanja za zaposlenike Grupe EIB-a objavljen 3. veljače 2023.,</w:t>
      </w:r>
    </w:p>
    <w:p w14:paraId="5921ABBD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EIB-ov paket solidarnosti za Ukrajinu, koji je Odbor EIB-a odobrio 4. ožujka 2022.,</w:t>
      </w:r>
    </w:p>
    <w:p w14:paraId="7BC6584F" w14:textId="44F004B8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komunikaciju Komisije od 29. siječnja 2025. naslovljenu „Kompas konkurentnosti za EU” (COM(2025)0030),</w:t>
      </w:r>
    </w:p>
    <w:p w14:paraId="0336C910" w14:textId="65806C1B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 xml:space="preserve">uzimajući u obzir komunikaciju Komisije od 26. veljače 2025. naslovljenu „Plan za čistu industriju: zajednički plan za konkurentnost i </w:t>
      </w:r>
      <w:proofErr w:type="spellStart"/>
      <w:r w:rsidRPr="005D15B0">
        <w:t>dekarbonizaciju</w:t>
      </w:r>
      <w:proofErr w:type="spellEnd"/>
      <w:r w:rsidRPr="005D15B0">
        <w:t>” (COM(2025)0085),</w:t>
      </w:r>
    </w:p>
    <w:p w14:paraId="67CC0FC0" w14:textId="3F167ABB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 xml:space="preserve">uzimajući u obzir komunikaciju Komisije od 26. veljače 2025. naslovljenu „Akcijski plan za </w:t>
      </w:r>
      <w:proofErr w:type="spellStart"/>
      <w:r w:rsidRPr="005D15B0">
        <w:t>priuštivu</w:t>
      </w:r>
      <w:proofErr w:type="spellEnd"/>
      <w:r w:rsidRPr="005D15B0">
        <w:t xml:space="preserve"> energiju: Iskorištavanje svih prednosti energetske unije radi osiguravanja cjenovno pristupačne, učinkovite i čiste energije za sve Europljane” (COM(2025)0079),</w:t>
      </w:r>
    </w:p>
    <w:p w14:paraId="1A8527A6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 xml:space="preserve">uzimajući u obzir izvješće Marija </w:t>
      </w:r>
      <w:proofErr w:type="spellStart"/>
      <w:r w:rsidRPr="005D15B0">
        <w:t>Draghija</w:t>
      </w:r>
      <w:proofErr w:type="spellEnd"/>
      <w:r w:rsidRPr="005D15B0">
        <w:t xml:space="preserve"> od 9. rujna 2024. naslovljeno „</w:t>
      </w:r>
      <w:proofErr w:type="spellStart"/>
      <w:r w:rsidRPr="005D15B0">
        <w:t>The</w:t>
      </w:r>
      <w:proofErr w:type="spellEnd"/>
      <w:r w:rsidRPr="005D15B0">
        <w:t xml:space="preserve"> future </w:t>
      </w:r>
      <w:proofErr w:type="spellStart"/>
      <w:r w:rsidRPr="005D15B0">
        <w:t>of</w:t>
      </w:r>
      <w:proofErr w:type="spellEnd"/>
      <w:r w:rsidRPr="005D15B0">
        <w:t xml:space="preserve"> European </w:t>
      </w:r>
      <w:proofErr w:type="spellStart"/>
      <w:r w:rsidRPr="005D15B0">
        <w:t>competitiveness</w:t>
      </w:r>
      <w:proofErr w:type="spellEnd"/>
      <w:r w:rsidRPr="005D15B0">
        <w:t>” (Budućnost europske konkurentnosti),</w:t>
      </w:r>
    </w:p>
    <w:p w14:paraId="014ECF32" w14:textId="45913994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Komisijin Prijedlog uredbe Europskog parlamenta i Vijeća od 16. srpnja 2025. o uspostavi Europskog fonda za konkurentnost („EFK”), uključujući posebni program za aktivnosti istraživanja i inovacija u području obrane i stavljanju izvan snage uredaba (EU) 2021/522, (EU) 2021/694, (EU) 2021/697, (EU) 2021/783, stavljanju izvan snage odredaba uredaba (EU) 2021/696 i (EU) 2023/588 i o izmjeni Uredbe (</w:t>
      </w:r>
      <w:r w:rsidRPr="00DB0E1E">
        <w:t>EU) [EDIP] (COM(2025)0555</w:t>
      </w:r>
      <w:r w:rsidRPr="005D15B0">
        <w:t>),</w:t>
      </w:r>
    </w:p>
    <w:p w14:paraId="476F5401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 xml:space="preserve">uzimajući u obzir Trostrani sporazum između Komisije, Europskog revizorskog suda i </w:t>
      </w:r>
      <w:r w:rsidRPr="005D15B0">
        <w:lastRenderedPageBreak/>
        <w:t>Europske investicijske banke, koji je stupio na snagu u studenome 2021.,</w:t>
      </w:r>
    </w:p>
    <w:p w14:paraId="14F695F7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članak 55. Poslovnika,</w:t>
      </w:r>
    </w:p>
    <w:p w14:paraId="52E3DD60" w14:textId="77777777" w:rsidR="00C72F65" w:rsidRPr="005D15B0" w:rsidRDefault="00C72F65" w:rsidP="00C72F65">
      <w:pPr>
        <w:pStyle w:val="NormalHanging"/>
      </w:pPr>
      <w:r w:rsidRPr="005D15B0">
        <w:t>–</w:t>
      </w:r>
      <w:r w:rsidRPr="005D15B0">
        <w:tab/>
        <w:t>uzimajući u obzir izvješće Odbora za proračune (A10-0170/2026),</w:t>
      </w:r>
    </w:p>
    <w:p w14:paraId="0AB09201" w14:textId="77777777" w:rsidR="00C72F65" w:rsidRPr="005D15B0" w:rsidRDefault="00C72F65" w:rsidP="00C72F65">
      <w:pPr>
        <w:pStyle w:val="NormalHanging"/>
      </w:pPr>
      <w:r w:rsidRPr="005D15B0">
        <w:t>A.</w:t>
      </w:r>
      <w:r w:rsidRPr="005D15B0">
        <w:tab/>
        <w:t>budući da EIB navodi da su njegova ukupna ulaganja 2025. dosegnula rekordnu razinu od 100 milijardi EUR, u odnosu na 89 milijardi EUR 2024.; budući da je omjer financijske poluge EIB-a povećan na 290 %, čime se EIB-u pruža dodatni prostor za ulaganje i podupiranje zajedničkih prioriteta EU-a;</w:t>
      </w:r>
    </w:p>
    <w:p w14:paraId="32DDF9F2" w14:textId="77777777" w:rsidR="00C72F65" w:rsidRPr="005D15B0" w:rsidRDefault="00C72F65" w:rsidP="00C72F65">
      <w:pPr>
        <w:pStyle w:val="NormalHanging"/>
      </w:pPr>
      <w:r w:rsidRPr="005D15B0">
        <w:t>B.</w:t>
      </w:r>
      <w:r w:rsidRPr="005D15B0">
        <w:tab/>
        <w:t>budući da EIB doprinosi pružanju rješenja za problem nefunkcioniranja tržišta i manjka ulaganja u vidu poticanja privatnog kapitala i djeluje kao tržišna financijska institucija utemeljena na načelima dobrog bankarskog upravljanja;</w:t>
      </w:r>
    </w:p>
    <w:p w14:paraId="08CA7AA1" w14:textId="77777777" w:rsidR="00C72F65" w:rsidRPr="005D15B0" w:rsidRDefault="00C72F65" w:rsidP="00C72F65">
      <w:pPr>
        <w:pStyle w:val="NormalHanging"/>
      </w:pPr>
      <w:r w:rsidRPr="005D15B0">
        <w:t>C.</w:t>
      </w:r>
      <w:r w:rsidRPr="005D15B0">
        <w:tab/>
        <w:t>budući da je zadaća EIB-a, koji je u isključivom vlasništvu država članica, doprinijeti postizanju ciljeva Unije, posebno razvoju unutarnjeg tržišta i jačanju potencijala Unije u pogledu otvaranja radnih mjesta, gospodarskog rasta i konkurentnosti te dvostruke tranzicije; budući da taj mandat uključuje i promicanje politika Unije u trećim zemljama;</w:t>
      </w:r>
    </w:p>
    <w:p w14:paraId="5ACF316D" w14:textId="77777777" w:rsidR="00C72F65" w:rsidRPr="005D15B0" w:rsidRDefault="00C72F65" w:rsidP="00C72F65">
      <w:pPr>
        <w:pStyle w:val="Normal12a"/>
      </w:pPr>
      <w:r w:rsidRPr="005D15B0">
        <w:rPr>
          <w:b/>
          <w:i/>
        </w:rPr>
        <w:t>Opće napomene</w:t>
      </w:r>
    </w:p>
    <w:p w14:paraId="59A8129D" w14:textId="77777777" w:rsidR="00C72F65" w:rsidRPr="005D15B0" w:rsidRDefault="00C72F65" w:rsidP="00C72F65">
      <w:pPr>
        <w:pStyle w:val="NormalHanging12a"/>
      </w:pPr>
      <w:r w:rsidRPr="005D15B0">
        <w:t>1.</w:t>
      </w:r>
      <w:r w:rsidRPr="005D15B0">
        <w:tab/>
        <w:t>pozdravlja strateški plan EIB-a za razdoblje 2024. – 2027. usmjeren na podupiranje političkih prioriteta EU-a, uključujući mobilizaciju ulaganja za jačanje europske gospodarske i industrijske baze, potporu inovacijama, konkurentnosti, kritičnim tehnologijama, sigurnosti i obrani, za podršku održivom rastu, zelenoj i digitalnoj tranziciji, regionalnom razvoju, modernoj i kritičnoj infrastrukturi, uključujući socijalnu infrastrukturu kao što su stanovanje, obrazovanje i zdravstvo, te otpornom i inovativnom poljoprivrednom sektoru, kao i za europske MSP-ove i start-</w:t>
      </w:r>
      <w:proofErr w:type="spellStart"/>
      <w:r w:rsidRPr="005D15B0">
        <w:t>up</w:t>
      </w:r>
      <w:proofErr w:type="spellEnd"/>
      <w:r w:rsidRPr="005D15B0">
        <w:t xml:space="preserve"> poduzeća uz istodobno poticanje međunarodnih partnerstava te dovršavanje uspostave unije štednje i ulaganja;</w:t>
      </w:r>
    </w:p>
    <w:p w14:paraId="1FDF0015" w14:textId="77777777" w:rsidR="00C72F65" w:rsidRPr="005D15B0" w:rsidRDefault="00C72F65" w:rsidP="00C72F65">
      <w:pPr>
        <w:pStyle w:val="NormalHanging12a"/>
      </w:pPr>
      <w:r w:rsidRPr="005D15B0">
        <w:t>2.</w:t>
      </w:r>
      <w:r w:rsidRPr="005D15B0">
        <w:tab/>
        <w:t>ističe da se EIB tijekom godina uvelike uskladio s europskim prioritetima; snažno pozdravlja davanje veće prednosti ulaganjima kojima se jačaju konkurentnost, industrijska otpornost i sigurnost Europe te poziva na njihovu brzu i učinkovitu provedbu; podržava ulogu EIB-a kao klimatske banke, uz konstataciju da je djelovanje u području klime utvrđeno kao glavni strateški prioritet Grupe EIB-a za razdoblje 2024. – 2027., pri čemu je znatno više od 50 % godišnjih ulaganja dodijeljeno zelenoj tranziciji; poziva na više razine ulaganja za prioritete povezane s konkurentnošću, posebno za MSP-ove i start-</w:t>
      </w:r>
      <w:proofErr w:type="spellStart"/>
      <w:r w:rsidRPr="005D15B0">
        <w:t>up</w:t>
      </w:r>
      <w:proofErr w:type="spellEnd"/>
      <w:r w:rsidRPr="005D15B0">
        <w:t xml:space="preserve"> poduzeća, te na rast inovativnih europskih poduzeća s obzirom na njihovu ključnu ulogu u premošćivanju jaza u konkurentnosti Europe; naglašava potrebu da EIB zadrži uravnotežen portfelj, uključujući sigurnost i obranu, klimu, konkurentnost, koheziju, inovacije, suradnju i razvoj;</w:t>
      </w:r>
    </w:p>
    <w:p w14:paraId="4912E073" w14:textId="77777777" w:rsidR="00C72F65" w:rsidRPr="005D15B0" w:rsidRDefault="00C72F65" w:rsidP="00C72F65">
      <w:pPr>
        <w:pStyle w:val="NormalHanging12a"/>
      </w:pPr>
      <w:r w:rsidRPr="005D15B0">
        <w:t>3.</w:t>
      </w:r>
      <w:r w:rsidRPr="005D15B0">
        <w:tab/>
        <w:t>ističe da je EIB vjerodostojan akter na međunarodnim financijskim tržištima, što pokazuje njegov kreditni rejting „AAA”; naglašava da je očuvanje tog rejtinga ključno kako bi se EIB-u omogućilo osiguravanje financijskih sredstava po povoljnim uvjetima te da bi svako smanjenje rejtinga znatno povećalo troškove financiranja; poziva EIB da pomno prati učinak svojih proširenih obrambenih aktivnosti na svoj kreditni rejting „AAA”;</w:t>
      </w:r>
    </w:p>
    <w:p w14:paraId="743965CE" w14:textId="77777777" w:rsidR="00C72F65" w:rsidRPr="005D15B0" w:rsidRDefault="00C72F65" w:rsidP="00C72F65">
      <w:pPr>
        <w:pStyle w:val="NormalHanging12a"/>
      </w:pPr>
      <w:r w:rsidRPr="005D15B0">
        <w:lastRenderedPageBreak/>
        <w:t>4.</w:t>
      </w:r>
      <w:r w:rsidRPr="005D15B0">
        <w:tab/>
        <w:t>naglašava ključnu ulogu EIB-a u mobilizaciji javnog i privatnog financiranja kako bi se riješio problem manjka ulaganja i ojačala gospodarska otpornost Unije u složenom globalnom okruženju; podsjeća da prekogranična koordinacija, integracija tržišta kapitala i dobro funkcioniranje jedinstvenog tržišta imaju ključnu važnost; poziva Komisiju i EIB da u potpunosti iskoriste potencijal EIB-a i oslobode financijska sredstva potrebna za zelenu, digitalnu i socijalnu tranziciju;</w:t>
      </w:r>
    </w:p>
    <w:p w14:paraId="59037B5B" w14:textId="77777777" w:rsidR="00C72F65" w:rsidRPr="005D15B0" w:rsidRDefault="00C72F65" w:rsidP="00C72F65">
      <w:pPr>
        <w:pStyle w:val="NormalHanging12a"/>
      </w:pPr>
      <w:r w:rsidRPr="005D15B0">
        <w:t>5.</w:t>
      </w:r>
      <w:r w:rsidRPr="005D15B0">
        <w:tab/>
        <w:t>ističe da bi se djelovanjem na razini EU-a trebala dopuniti, a ne istisnuti ulaganja država članica; stoga poziva na odgovarajuću fleksibilnost unutar EIB-ova okvira prihvatljivosti i ocjenjivanja kako bi se zadovoljile nacionalne i regionalne potrebe za ulaganjima; podsjeća da bi javne razvojne banke i institucije trebale smanjiti rizike za održive projekte u slučajevima u kojima postoje tržišne praznine, bez nadomještanja privatnog kapitala; nadalje naglašava da bi EIB trebao imati ključnu ulogu u omogućavanju komercijalnim i javnim bankama da ulažu u europski obrambeni sektor; konstatira da okvir EU-a za održivo financiranje ne nameće sveobuhvatna ograničenja na ulaganja u obranu;</w:t>
      </w:r>
    </w:p>
    <w:p w14:paraId="75A04512" w14:textId="77777777" w:rsidR="00C72F65" w:rsidRPr="005D15B0" w:rsidRDefault="00C72F65" w:rsidP="00C72F65">
      <w:pPr>
        <w:pStyle w:val="NormalHanging12a"/>
      </w:pPr>
      <w:r w:rsidRPr="005D15B0">
        <w:t>6.</w:t>
      </w:r>
      <w:r w:rsidRPr="005D15B0">
        <w:tab/>
        <w:t xml:space="preserve">pozdravlja poziv na jačanje uloge EIB-a u sljedećem višegodišnjem financijskom okviru kako bi se omogućilo da pruža financijsku potporu zajedničkim prioritetima EU-a, posebno unutar okvira EFK-a i programa </w:t>
      </w:r>
      <w:proofErr w:type="spellStart"/>
      <w:r w:rsidRPr="005D15B0">
        <w:t>InvestEU</w:t>
      </w:r>
      <w:proofErr w:type="spellEnd"/>
      <w:r w:rsidRPr="005D15B0">
        <w:t xml:space="preserve"> i fonda Globalna Europa te putem financijskih instrumenata i proračunskih jamstava koji su se pokazali vrlo učinkovitima u promicanju ključnih ciljeva politike EU-a; naglašava da bi EIB trebao mobilizirati dostatna sredstva, ubrizgati likvidnost i povećati ambicije za potporu privatnim i javnim ulaganjima iz fonda </w:t>
      </w:r>
      <w:proofErr w:type="spellStart"/>
      <w:r w:rsidRPr="005D15B0">
        <w:t>InvestEU</w:t>
      </w:r>
      <w:proofErr w:type="spellEnd"/>
      <w:r w:rsidRPr="005D15B0">
        <w:t xml:space="preserve">; u skladu s privremenim izvješćem o višegodišnjem financijskom okviru za razdoblje 2028. – 2034. poziva na znatno jačanje uspješnih programa Unije kao što je </w:t>
      </w:r>
      <w:proofErr w:type="spellStart"/>
      <w:r w:rsidRPr="005D15B0">
        <w:t>InvestEU</w:t>
      </w:r>
      <w:proofErr w:type="spellEnd"/>
      <w:r w:rsidRPr="005D15B0">
        <w:t xml:space="preserve"> i na jačanje partnerstva za ulaganja s Grupom EIB-a, čime bi se osiguralo da se svaki euro potrošen na razini Unije iskoristi na najučinkovitiji i najdjelotvorniji način;</w:t>
      </w:r>
    </w:p>
    <w:p w14:paraId="2086BCC6" w14:textId="77777777" w:rsidR="00C72F65" w:rsidRPr="005D15B0" w:rsidRDefault="00C72F65" w:rsidP="00C72F65">
      <w:pPr>
        <w:pStyle w:val="NormalHanging12a"/>
      </w:pPr>
      <w:r w:rsidRPr="005D15B0">
        <w:t>7.</w:t>
      </w:r>
      <w:r w:rsidRPr="005D15B0">
        <w:tab/>
        <w:t>naglašava važnost pojačane komplementarnosti i sinergija između financiranja EIB-a i drugih instrumenata EU-a kako bi se maksimalno povećao učinak i osigurale usklađene strategije teritorijalnog ulaganja; poziva EIB i Komisiju da razviju jasne koordinacijske okvire kojima će se olakšati zajednička upotreba tih instrumenata na razini projekata;</w:t>
      </w:r>
    </w:p>
    <w:p w14:paraId="6C04CDDF" w14:textId="77777777" w:rsidR="00C72F65" w:rsidRPr="005D15B0" w:rsidRDefault="00C72F65" w:rsidP="00C72F65">
      <w:pPr>
        <w:pStyle w:val="NormalHanging12a"/>
      </w:pPr>
      <w:r w:rsidRPr="005D15B0">
        <w:t>8.</w:t>
      </w:r>
      <w:r w:rsidRPr="005D15B0">
        <w:tab/>
        <w:t>poziva EIB da preuzme aktivnu ulogu u podupiranju kontinuiteta i dovršetka projekata pokrenutih u okviru Mehanizma za oporavak i otpornost, održavajući ciljeve nakon krajnjeg roka; ističe da financiranje i tehnička pomoć EIB-a mogu biti ključan most kako bi se osiguralo da projekti financirani iz Mehanizma za oporavak i otpornost ostvare svoj predviđeni gospodarski i socijalni učinak;</w:t>
      </w:r>
    </w:p>
    <w:p w14:paraId="0F5ACAF7" w14:textId="77777777" w:rsidR="00C72F65" w:rsidRPr="005D15B0" w:rsidRDefault="00C72F65" w:rsidP="00C72F65">
      <w:pPr>
        <w:pStyle w:val="NormalHanging12a"/>
      </w:pPr>
      <w:r w:rsidRPr="005D15B0">
        <w:t>9.</w:t>
      </w:r>
      <w:r w:rsidRPr="005D15B0">
        <w:tab/>
        <w:t>potiče EIB da nastavi razvijati inovativne financijske instrumente za mobilizaciju velikog iznosa privatne štednje u Europi za produktivna ulaganja, posebno suradnjom s institucionalnim ulagačima za potporu poduzetničkom kapitalu, kako bi se doprinijelo unapređenju unije štednje i ulaganja; naglašava da bi ulaganja koja podupire EIB trebala uključivati procjene učinka na konkurentnost, čime bi se osiguralo da se sredstvima Unije efektivno potiču inovacije, produktivnost i rast tržišta u ključnim industrijskim sektorima;</w:t>
      </w:r>
    </w:p>
    <w:p w14:paraId="29292F63" w14:textId="3C7BDCDA" w:rsidR="00C72F65" w:rsidRPr="005D15B0" w:rsidRDefault="00C72F65" w:rsidP="00C72F65">
      <w:pPr>
        <w:pStyle w:val="NormalHanging12a"/>
      </w:pPr>
      <w:r w:rsidRPr="005D15B0">
        <w:t>10.</w:t>
      </w:r>
      <w:r w:rsidRPr="005D15B0">
        <w:tab/>
        <w:t xml:space="preserve">podsjeća da je EIB bio prvi izdavatelj zelene obveznice i da je sada najveći izdavatelj zelenih obveznica u više valuta; podržava činjenicu da je EIB 2. travnja 2025. izdao svoju prvu obveznicu za klimatsku osviještenost usklađenu s Uredbom EU-a o </w:t>
      </w:r>
      <w:r w:rsidRPr="005D15B0">
        <w:lastRenderedPageBreak/>
        <w:t>standardu za zelene obveznice</w:t>
      </w:r>
      <w:r w:rsidR="00E665BD">
        <w:rPr>
          <w:rStyle w:val="FootnoteReference"/>
        </w:rPr>
        <w:footnoteReference w:id="1"/>
      </w:r>
      <w:r w:rsidRPr="005D15B0">
        <w:t>; ističe ključnu ulogu EIB-a u razvoju tržišta zelenih obveznica i pružanju financijskih rješenja za održiva poduzeća;</w:t>
      </w:r>
    </w:p>
    <w:p w14:paraId="2C0BB1A6" w14:textId="77777777" w:rsidR="00C72F65" w:rsidRPr="005D15B0" w:rsidRDefault="00C72F65" w:rsidP="00C72F65">
      <w:pPr>
        <w:pStyle w:val="Normal12a"/>
      </w:pPr>
      <w:r w:rsidRPr="005D15B0">
        <w:rPr>
          <w:b/>
          <w:i/>
        </w:rPr>
        <w:t xml:space="preserve">Poticanje inovacija radi uloge tehnološkog predvodnika </w:t>
      </w:r>
    </w:p>
    <w:p w14:paraId="57AAE81F" w14:textId="77777777" w:rsidR="00C72F65" w:rsidRPr="005D15B0" w:rsidRDefault="00C72F65" w:rsidP="00C72F65">
      <w:pPr>
        <w:pStyle w:val="NormalHanging12a"/>
      </w:pPr>
      <w:r w:rsidRPr="005D15B0">
        <w:t>11.</w:t>
      </w:r>
      <w:r w:rsidRPr="005D15B0">
        <w:tab/>
        <w:t xml:space="preserve">zabrinut je zbog toga što EU-u prijeti opasnost da njegov kapital, talent i inovacijski kapacitet prijeđu okretnijim globalnim konkurentima te zbog toga što EU i dalje zaostaje u razvoju ključnih razvojnih tehnologija; pozdravlja pokretanje programa </w:t>
      </w:r>
      <w:proofErr w:type="spellStart"/>
      <w:r w:rsidRPr="005D15B0">
        <w:t>TechEU</w:t>
      </w:r>
      <w:proofErr w:type="spellEnd"/>
      <w:r w:rsidRPr="005D15B0">
        <w:t xml:space="preserve">, koji se nadovezuje na uspješnu inicijativu europskih tehnoloških predvodnika i kojim se mobilizira do 250 milijardi EUR ulaganja; poziva na to da se u okviru tog programa prednost da ulaganjima koja se mogu natjecati na globalnoj razini i doprinijeti dugoročnom održivom rastu te jačanju europskih lanaca opskrbe i smanjenju strateških ovisnosti; naglašava potrebu za povećanjem ulaganja u europske tehnologije i sektore ključne za dugoročnu otpornost, uključujući poluvodiče, lance vrijednosti za baterije, digitalnu suverenost i proizvodnju čistih tehnologija; potiče EIB da poveća udio financiranja predviđen za 2027.; poziva na uravnoteženu i sveobuhvatnu dodjelu sredstava u okviru programa </w:t>
      </w:r>
      <w:proofErr w:type="spellStart"/>
      <w:r w:rsidRPr="005D15B0">
        <w:t>TechEU</w:t>
      </w:r>
      <w:proofErr w:type="spellEnd"/>
      <w:r w:rsidRPr="005D15B0">
        <w:t xml:space="preserve"> MSP-ovima, start-</w:t>
      </w:r>
      <w:proofErr w:type="spellStart"/>
      <w:r w:rsidRPr="005D15B0">
        <w:t>up</w:t>
      </w:r>
      <w:proofErr w:type="spellEnd"/>
      <w:r w:rsidRPr="005D15B0">
        <w:t xml:space="preserve"> poduzećima i </w:t>
      </w:r>
      <w:proofErr w:type="spellStart"/>
      <w:r w:rsidRPr="005D15B0">
        <w:t>scale-up</w:t>
      </w:r>
      <w:proofErr w:type="spellEnd"/>
      <w:r w:rsidRPr="005D15B0">
        <w:t xml:space="preserve"> poduzećima kako bi se osiguralo da se osigura odgovarajuća potpora za konkurentnost i druge temeljne ciljeve; ističe da treba ubrzati uvođenje takvih programa kako bi držali korak s inovacijama i start-</w:t>
      </w:r>
      <w:proofErr w:type="spellStart"/>
      <w:r w:rsidRPr="005D15B0">
        <w:t>up</w:t>
      </w:r>
      <w:proofErr w:type="spellEnd"/>
      <w:r w:rsidRPr="005D15B0">
        <w:t xml:space="preserve"> poduzećima; poziva na povećanje proračuna Europskog investicijskog fonda namijenjenog ekosustavu poduzetničkog kapitala EU-a;</w:t>
      </w:r>
    </w:p>
    <w:p w14:paraId="5297DDA7" w14:textId="3DED020B" w:rsidR="00C72F65" w:rsidRPr="002B6ECE" w:rsidRDefault="00C72F65" w:rsidP="00C72F65">
      <w:pPr>
        <w:pStyle w:val="NormalHanging12a"/>
        <w:rPr>
          <w:bCs/>
          <w:iCs/>
        </w:rPr>
      </w:pPr>
      <w:r w:rsidRPr="005D15B0">
        <w:t>12.</w:t>
      </w:r>
      <w:r w:rsidRPr="005D15B0">
        <w:tab/>
        <w:t xml:space="preserve">konstatira da je gotovo 60 % financiranja koja je odobrio EIB 2025. bilo usmjereno na prelazak na </w:t>
      </w:r>
      <w:proofErr w:type="spellStart"/>
      <w:r w:rsidRPr="005D15B0">
        <w:t>niskougljično</w:t>
      </w:r>
      <w:proofErr w:type="spellEnd"/>
      <w:r w:rsidRPr="005D15B0">
        <w:t xml:space="preserve"> gospodarstvo; poziva EIB da dodatno podrži konkurentnost i ekonomski sigurnost omogućivanjem predvidljive, </w:t>
      </w:r>
      <w:proofErr w:type="spellStart"/>
      <w:r w:rsidRPr="005D15B0">
        <w:t>uključive</w:t>
      </w:r>
      <w:proofErr w:type="spellEnd"/>
      <w:r w:rsidRPr="005D15B0">
        <w:t xml:space="preserve">, pravedne i </w:t>
      </w:r>
      <w:proofErr w:type="spellStart"/>
      <w:r w:rsidRPr="005D15B0">
        <w:t>priuštive</w:t>
      </w:r>
      <w:proofErr w:type="spellEnd"/>
      <w:r w:rsidRPr="005D15B0">
        <w:t xml:space="preserve"> tranzicije, bez nepotrebnog opterećenja za industriju i kućanstva; naglašava da ulaganja u klimu i okoliš mogu doprinijeti jačanju europske industrijske baze, produktivnosti i globalne konkurentnosti; podržava ulaganja u sve industrijske lance vrijednosti, uključujući </w:t>
      </w:r>
      <w:proofErr w:type="spellStart"/>
      <w:r w:rsidRPr="005D15B0">
        <w:t>niskougljične</w:t>
      </w:r>
      <w:proofErr w:type="spellEnd"/>
      <w:r w:rsidRPr="005D15B0">
        <w:t xml:space="preserve"> tehnologije, kako bi se poduprle ekonomski održive metode </w:t>
      </w:r>
      <w:proofErr w:type="spellStart"/>
      <w:r w:rsidRPr="005D15B0">
        <w:t>dekarbonizacije</w:t>
      </w:r>
      <w:proofErr w:type="spellEnd"/>
      <w:r w:rsidRPr="005D15B0">
        <w:t>, ako su takva ulaganja potaknuta inovacijama i imaju jasan potencijal za povećanje tržišne konkurentnosti i europske strateške autonomije;</w:t>
      </w:r>
      <w:r w:rsidR="002B6ECE" w:rsidRPr="002B6ECE">
        <w:t xml:space="preserve"> </w:t>
      </w:r>
      <w:r w:rsidR="002B6ECE" w:rsidRPr="00784A1A">
        <w:rPr>
          <w:bCs/>
          <w:iCs/>
        </w:rPr>
        <w:t xml:space="preserve">poziva EIB da pri financiranju projekata </w:t>
      </w:r>
      <w:proofErr w:type="spellStart"/>
      <w:r w:rsidR="002B6ECE" w:rsidRPr="00784A1A">
        <w:rPr>
          <w:bCs/>
          <w:iCs/>
        </w:rPr>
        <w:t>niskougljične</w:t>
      </w:r>
      <w:proofErr w:type="spellEnd"/>
      <w:r w:rsidR="002B6ECE" w:rsidRPr="00784A1A">
        <w:rPr>
          <w:bCs/>
          <w:iCs/>
        </w:rPr>
        <w:t xml:space="preserve"> energije, uključujući nuklearnu energiju, primjenjuje tehnološki neutralne kriterije evaluacije, kao što su intenzitet ugljika tijekom životnog ciklusa i stabilnost mreže, uz potpuno poštovanje suverenog prava svake države članice da određuje vlastitu kombinaciju izvora energije;</w:t>
      </w:r>
    </w:p>
    <w:p w14:paraId="271F3B31" w14:textId="77777777" w:rsidR="00C72F65" w:rsidRPr="005D15B0" w:rsidRDefault="00C72F65" w:rsidP="00C72F65">
      <w:pPr>
        <w:pStyle w:val="NormalHanging12a"/>
      </w:pPr>
      <w:r w:rsidRPr="005D15B0">
        <w:t>13.</w:t>
      </w:r>
      <w:r w:rsidRPr="005D15B0">
        <w:tab/>
        <w:t xml:space="preserve">podsjeća da čista tehnologija može doprinijeti jačanju suvereniteta i konkurentnosti EU-a; pozdravlja usklađenost EIB-a s okvirom EU-a za održivo financiranje, među ostalim integraciju kriterija taksonomije EU-a; poziva na kontinuirana ulaganja s jasnim i mjerljivim učinkom na smanjenje emisija; naglašava potrebu za ulaganjima u prilagodbu klimatskim promjenama i otpornost na njih; potiče ulaganja u istraživanje i razvoj, kao i u inovativne tehnologije, radi pripravnosti na klimatske promjene; pozdravlja sporazum EIB-a i Europske agencije za okoliš (EEA) o produbljivanju suradnje u području biološke raznolikosti i djelovanja u području klime; očekuje od EIB-a da iskoristi svoje usluge tehničke pomoći i savjetovanja, posebno za potporu projektima kojima se osigurava </w:t>
      </w:r>
      <w:proofErr w:type="spellStart"/>
      <w:r w:rsidRPr="005D15B0">
        <w:t>priuštivost</w:t>
      </w:r>
      <w:proofErr w:type="spellEnd"/>
      <w:r w:rsidRPr="005D15B0">
        <w:t xml:space="preserve"> obnovljive energije, s naglaskom na </w:t>
      </w:r>
      <w:r w:rsidRPr="005D15B0">
        <w:lastRenderedPageBreak/>
        <w:t>smanjenju cijena energije i jamčenju sigurnosti opskrbe energijom, među ostalim za ranjiva kućanstva;</w:t>
      </w:r>
    </w:p>
    <w:p w14:paraId="742E9360" w14:textId="77777777" w:rsidR="00C72F65" w:rsidRPr="005D15B0" w:rsidRDefault="00C72F65" w:rsidP="00C72F65">
      <w:pPr>
        <w:pStyle w:val="NormalHanging12a"/>
      </w:pPr>
      <w:r w:rsidRPr="005D15B0">
        <w:t>14.</w:t>
      </w:r>
      <w:r w:rsidRPr="005D15B0">
        <w:tab/>
        <w:t>konstatira da je EIB 2025. odobrio malim poduzećima i start-</w:t>
      </w:r>
      <w:proofErr w:type="spellStart"/>
      <w:r w:rsidRPr="005D15B0">
        <w:t>up</w:t>
      </w:r>
      <w:proofErr w:type="spellEnd"/>
      <w:r w:rsidRPr="005D15B0">
        <w:t xml:space="preserve"> poduzećima financiranje u iznosu od 16 milijardi EUR; naglašava da je bolji pristup financiranju, posebno rizičnom kapitalu, privatnom vlasničkom kapitalu i financiranju za rast, ključan za potporu rastu i internacionalizaciji konkurentnih europskih poduzeća; poziva na ulaganje još većih napora kako bi se premostio manjak financijskih sredstava za brzorastuća poduzeća i potaknulo dinamičnije i integriranije europsko tržište kapitala; smatra da bi trebalo pojačati napore za mobilizaciju dodatnih sredstava za MSP-ove i </w:t>
      </w:r>
      <w:proofErr w:type="spellStart"/>
      <w:r w:rsidRPr="005D15B0">
        <w:t>scale-up</w:t>
      </w:r>
      <w:proofErr w:type="spellEnd"/>
      <w:r w:rsidRPr="005D15B0">
        <w:t xml:space="preserve"> poduzeća kako bi se osiguralo da se mogu natjecati na globalnoj razini; poziva EIB da poveća financiranje MSP-ova u cijeloj Uniji; potiče EIF da pokrene više inicijativa za potporu start-</w:t>
      </w:r>
      <w:proofErr w:type="spellStart"/>
      <w:r w:rsidRPr="005D15B0">
        <w:t>up</w:t>
      </w:r>
      <w:proofErr w:type="spellEnd"/>
      <w:r w:rsidRPr="005D15B0">
        <w:t xml:space="preserve"> i </w:t>
      </w:r>
      <w:proofErr w:type="spellStart"/>
      <w:r w:rsidRPr="005D15B0">
        <w:t>scale-up</w:t>
      </w:r>
      <w:proofErr w:type="spellEnd"/>
      <w:r w:rsidRPr="005D15B0">
        <w:t xml:space="preserve"> poduzećima;</w:t>
      </w:r>
    </w:p>
    <w:p w14:paraId="39D8BC24" w14:textId="5A0BADA9" w:rsidR="00C72F65" w:rsidRPr="005D15B0" w:rsidRDefault="00C72F65" w:rsidP="00C72F65">
      <w:pPr>
        <w:pStyle w:val="NormalHanging12a"/>
      </w:pPr>
      <w:r w:rsidRPr="005D15B0">
        <w:t>15.</w:t>
      </w:r>
      <w:r w:rsidRPr="005D15B0">
        <w:tab/>
        <w:t>poziva EIB da dodatno pojednostavni i ubrza postupke podnošenja zahtjeva i izdavanja odobrenja, smanji administrativno opterećenje te poveća potporu malim korisnicima, uključujući lokalne i regionalne vlasti, općine te MSP-ove i start-</w:t>
      </w:r>
      <w:proofErr w:type="spellStart"/>
      <w:r w:rsidRPr="005D15B0">
        <w:t>up</w:t>
      </w:r>
      <w:proofErr w:type="spellEnd"/>
      <w:r w:rsidRPr="005D15B0">
        <w:t xml:space="preserve"> poduzeća na način da osigura da su preduvjeti i zahtjevi u pogledu izvješćivanja razmjerni iznosu dodijeljenih sredstava i/ili veličini korisnika, bez ugrožavanja financijskih standarda, te da pruža financiranje na temelju učinkovitosti, ekonomske održivosti i mjerljivog učinka; posebno poziva na bolji pristup financiranju za MSP-ove i start-</w:t>
      </w:r>
      <w:proofErr w:type="spellStart"/>
      <w:r w:rsidRPr="005D15B0">
        <w:t>up</w:t>
      </w:r>
      <w:proofErr w:type="spellEnd"/>
      <w:r w:rsidRPr="005D15B0">
        <w:t xml:space="preserve"> poduzeća, među ostalim pojednostavnjenim kriterijima prihvatljivosti i postupcima u okviru programa </w:t>
      </w:r>
      <w:proofErr w:type="spellStart"/>
      <w:r w:rsidRPr="005D15B0">
        <w:t>InvestEU</w:t>
      </w:r>
      <w:proofErr w:type="spellEnd"/>
      <w:r w:rsidRPr="005D15B0">
        <w:t xml:space="preserve"> i EIF-a, posebno u manje razvijenim i ruralnim regijama, uz veću tehničku pomoć; nadalje poziva da se financijska sredstva dodjeljuju na temelju učinkovitosti, ekonomske održivosti i mjerljivog učinka te na razmjerne ex post evaluacije kako bi se osigurala djelotvorna upotreba resursa i privlačenje privatnih ulaganja;</w:t>
      </w:r>
      <w:r w:rsidR="002B6ECE">
        <w:t xml:space="preserve"> </w:t>
      </w:r>
      <w:r w:rsidR="002B6ECE" w:rsidRPr="00784A1A">
        <w:rPr>
          <w:bCs/>
          <w:iCs/>
        </w:rPr>
        <w:t>izražava zabrinutost zbog toga što nerazmjerni okolišni, društveni i upravljački zahtjevi za izvješćivanje nametnuti korisnicima odvraćaju nositelje gospodarski održivih projekata i stavljaju europska poduzeća u nepovoljan položaj u odnosu na konkurenciju te poziva EIB da preispita te zahtjeve kako bi se osigurala proporcionalnost;</w:t>
      </w:r>
    </w:p>
    <w:p w14:paraId="4AB68B11" w14:textId="77777777" w:rsidR="00C72F65" w:rsidRPr="005D15B0" w:rsidRDefault="00C72F65" w:rsidP="00C72F65">
      <w:pPr>
        <w:pStyle w:val="Normal12a"/>
      </w:pPr>
      <w:r w:rsidRPr="005D15B0">
        <w:rPr>
          <w:b/>
          <w:i/>
        </w:rPr>
        <w:t>Financiranje energetske sigurnosti i sigurne opskrbe kritičnim sirovinama za industrijsku konkurentnost</w:t>
      </w:r>
    </w:p>
    <w:p w14:paraId="5801EAC8" w14:textId="77777777" w:rsidR="00C72F65" w:rsidRPr="005D15B0" w:rsidRDefault="00C72F65" w:rsidP="00C72F65">
      <w:pPr>
        <w:pStyle w:val="NormalHanging12a"/>
      </w:pPr>
      <w:r w:rsidRPr="005D15B0">
        <w:t>16.</w:t>
      </w:r>
      <w:r w:rsidRPr="005D15B0">
        <w:tab/>
        <w:t>ističe da se industrijska konkurentnost temelji na predvidljivim i pristupačnim cijenama energije; podsjeća da je energetska nestabilnost i dalje strukturni rizik za gospodarstvo EU-a zbog geopolitičkih izazova i ograničenja u opskrbi; konstatira da je EIB 2026. usmjeren na jačanje konkurentnosti i sigurnosti; poziva EIB da podrži projekte energetske infrastrukture, uključujući one koji se financiraju u okviru Instrumenta za povezivanje Europe, kako bi se ublažile cijene energije za kućanstva i poduzeća te poboljšala opskrba energijom;</w:t>
      </w:r>
    </w:p>
    <w:p w14:paraId="5C98F22A" w14:textId="77777777" w:rsidR="00C72F65" w:rsidRPr="005D15B0" w:rsidRDefault="00C72F65" w:rsidP="00C72F65">
      <w:pPr>
        <w:pStyle w:val="NormalHanging12a"/>
      </w:pPr>
      <w:r w:rsidRPr="005D15B0">
        <w:t>17.</w:t>
      </w:r>
      <w:r w:rsidRPr="005D15B0">
        <w:tab/>
        <w:t xml:space="preserve">sa zadovoljstvom konstatira da je EIB 2025. osigurao financiranje energetske sigurnosti Europe u iznosu od 33 milijarde EUR, čime je podupro ukupna ulaganja u iznosu od 108 milijardi EUR, uključujući 11 milijardi EUR za obnovljive izvore energije; poziva na to da se klimatska i energetska politika provode na pragmatičan način, osiguravajući financiranje isplativih rješenja u skladu s taksonomijom EU-a i vođeno mjerljivim ekonomskim učincima kojima se jamče </w:t>
      </w:r>
      <w:proofErr w:type="spellStart"/>
      <w:r w:rsidRPr="005D15B0">
        <w:t>priuštiva</w:t>
      </w:r>
      <w:proofErr w:type="spellEnd"/>
      <w:r w:rsidRPr="005D15B0">
        <w:t xml:space="preserve"> energija, strateška neovisnost te pouzdanost sustava i razvoj infrastrukture; podsjeća da je pravedna tranzicija jedan od stupova klimatskog plana EIB-a i pozdravlja napore EIB-a da osigura da prijelaz na </w:t>
      </w:r>
      <w:proofErr w:type="spellStart"/>
      <w:r w:rsidRPr="005D15B0">
        <w:lastRenderedPageBreak/>
        <w:t>niskougljično</w:t>
      </w:r>
      <w:proofErr w:type="spellEnd"/>
      <w:r w:rsidRPr="005D15B0">
        <w:t xml:space="preserve"> gospodarstvo bude socijalno pravedan i održiv, pri čemu nitko ne smije biti zapostavljen;</w:t>
      </w:r>
    </w:p>
    <w:p w14:paraId="728F2A98" w14:textId="3960B4DE" w:rsidR="00C72F65" w:rsidRPr="005D15B0" w:rsidRDefault="00C72F65" w:rsidP="00C72F65">
      <w:pPr>
        <w:pStyle w:val="NormalHanging12a"/>
      </w:pPr>
      <w:r w:rsidRPr="005D15B0">
        <w:t>18.</w:t>
      </w:r>
      <w:r w:rsidRPr="005D15B0">
        <w:tab/>
        <w:t>ističe da je sigurnost opskrbe kritičnim sirovinama ključna za zelenu i digitalnu tranziciju, obrambeni sektor te za industrijsku bazu EU-a općenito; podsjeća na ulogu EIB-a u europskom savezu za sirovine i na cilj Unije da postigne veću autonomiju u pogledu opskrbe kritičnim sirovinama; ističe važnost pristupa kritičnim ključnim sirovinama koji se temelji na kružnom gospodarstvu, odnosno na recikliranju i ponovnoj upotrebi kako bi se smanjila ovisnost EU-a o trećim zemljama i povećala njegova strateška autonomija; stoga poziva EIB da više ulaže u sektor kritičnih sirovina kako bi se povećala otpornost u pogledu sirovina s posebnim naglaskom na postizanju ciljeva Akta o kritičnim sirovinama</w:t>
      </w:r>
      <w:r w:rsidR="00E665BD">
        <w:rPr>
          <w:rStyle w:val="FootnoteReference"/>
        </w:rPr>
        <w:footnoteReference w:id="2"/>
      </w:r>
      <w:r w:rsidRPr="005D15B0">
        <w:t>, i to vađenju, recikliranju i obradi sekundarnih sirovina;</w:t>
      </w:r>
    </w:p>
    <w:p w14:paraId="7961F44A" w14:textId="77777777" w:rsidR="00C72F65" w:rsidRPr="005D15B0" w:rsidRDefault="00C72F65" w:rsidP="00C72F65">
      <w:pPr>
        <w:pStyle w:val="NormalHanging12a"/>
      </w:pPr>
      <w:r w:rsidRPr="005D15B0">
        <w:t>19.</w:t>
      </w:r>
      <w:r w:rsidRPr="005D15B0">
        <w:tab/>
        <w:t>poziva na snažniju koordinaciju na razini EU-a u području kritičnih sirovina, uključujući bližu suradnju između EIB-a, agencija za kreditiranje izvoza i drugih javnih financijskih institucija; konstatira da EU zaostaje za konkurentima kao što su Kanada, Sjedinjene Američke Države i Australija, koji primjenjuju usklađenije pristupe financiranju na svim razinama vlasti; naglašava da svi projekti povezani s kritičnim sirovinama koji primaju potporu moraju ispunjavati visoke okolišne i socijalne standarde; poziva EIB da poboljša transparentnost u odabiru i financiranju projekata koji obuhvaćaju sve faze mehanizma za razvoj kapaciteta kako je definirano Aktom o mehanizmu za razvoj kapaciteta;</w:t>
      </w:r>
    </w:p>
    <w:p w14:paraId="3DE5AA74" w14:textId="77777777" w:rsidR="00C72F65" w:rsidRPr="005D15B0" w:rsidRDefault="00C72F65" w:rsidP="00C72F65">
      <w:pPr>
        <w:pStyle w:val="Normal12a"/>
      </w:pPr>
      <w:r w:rsidRPr="005D15B0">
        <w:rPr>
          <w:b/>
          <w:i/>
        </w:rPr>
        <w:t>Obrana i vanjsko djelovanje</w:t>
      </w:r>
    </w:p>
    <w:p w14:paraId="2EC8E973" w14:textId="77777777" w:rsidR="00C72F65" w:rsidRPr="005D15B0" w:rsidRDefault="00C72F65" w:rsidP="00C72F65">
      <w:pPr>
        <w:pStyle w:val="NormalHanging12a"/>
      </w:pPr>
      <w:r w:rsidRPr="005D15B0">
        <w:t>20.</w:t>
      </w:r>
      <w:r w:rsidRPr="005D15B0">
        <w:tab/>
        <w:t>podržava akcijski plan EIB-a iz ožujka 2025. za jačanje europskih sigurnosnih i obrambenih sposobnosti; pozdravlja dodatne 4 milijarde EUR novih financijskih sredstava, odnosno gotovo 5 % ukupnih ulaganja EIB-a u EU-u; podsjeća na promjenu kratkoročnih i srednjoročnih prioriteta EU-a, što je znatno opteretilo nacionalne proračune u pogledu ulaganja u obranu i sigurnost; naglašava da bi, s obzirom na mandat EIB-a za potporu ciljevima Unije, EIB trebao dodatno pojačati angažman u tim strateškim sektorima i očuvati kreditni rejting AAA; konstatira da je financijska potpora EIB-a za vojnu pokretljivost, stratešku infrastrukturu i napredne tehnologije jedan od ključnih čimbenika za poticanje integracije tržišta i jačanje zajedničkih europskih interesa; pozdravlja ažurirane kriterije prihvatljivosti kojima se jača potpora malim i srednjim poduzećima te start-</w:t>
      </w:r>
      <w:proofErr w:type="spellStart"/>
      <w:r w:rsidRPr="005D15B0">
        <w:t>up</w:t>
      </w:r>
      <w:proofErr w:type="spellEnd"/>
      <w:r w:rsidRPr="005D15B0">
        <w:t xml:space="preserve"> poduzećima s pomoću prilagođenih financijskih instrumenata kao što su poduzetnički dug, vlasnička ulaganja i namjenske kreditne linije; napominje da bi se potrošnjom za obranu trebala osigurati strateška usklađenost i uravnotežen pristup te da se njome ne bi smjela ugroziti potrošnja za socijalna i okolišna pitanja ili dugotrajne politike Unije;</w:t>
      </w:r>
    </w:p>
    <w:p w14:paraId="6CB0BB4A" w14:textId="77777777" w:rsidR="00C72F65" w:rsidRPr="005D15B0" w:rsidRDefault="00C72F65" w:rsidP="00C72F65">
      <w:pPr>
        <w:pStyle w:val="NormalHanging12a"/>
      </w:pPr>
      <w:r w:rsidRPr="005D15B0">
        <w:t>21.</w:t>
      </w:r>
      <w:r w:rsidRPr="005D15B0">
        <w:tab/>
        <w:t xml:space="preserve">podsjeća da se određeni strateški sektori u obrambenoj i sigurnosnoj industriji i dalje suočavaju s ograničenjima financiranja EIB-a; napominje da, unatoč odluci EIB-a od 21. ožujka 2025. o proširenju prihvatljivosti, i dalje postoje preostale prepreke koje ometaju potpunu mobilizaciju privatnog kapitala za potporu europskoj sigurnosti; </w:t>
      </w:r>
      <w:r w:rsidRPr="005D15B0">
        <w:lastRenderedPageBreak/>
        <w:t>poziva Vijeće guvernera EIB-a da nastavi prilagođavati prakse EIB-a u pogledu kreditiranja obrambene industrije, kako je navedeno u zaključcima Europskog vijeća od 6. ožujka 2025.;</w:t>
      </w:r>
    </w:p>
    <w:p w14:paraId="530DEFE8" w14:textId="77777777" w:rsidR="00C72F65" w:rsidRPr="005D15B0" w:rsidRDefault="00C72F65" w:rsidP="00C72F65">
      <w:pPr>
        <w:pStyle w:val="NormalHanging12a"/>
      </w:pPr>
      <w:r w:rsidRPr="005D15B0">
        <w:t>22.</w:t>
      </w:r>
      <w:r w:rsidRPr="005D15B0">
        <w:tab/>
        <w:t xml:space="preserve">ističe važnu ulogu EU-a i EIB-a za izgradnju uzajamno korisnih gospodarskih partnerstava sa zemljama izvan EU-a koja su ključna za globalnu ulogu EU-a u promicanju multilateralnog sustava utemeljenog na pravilima, održivog razvoja, demokracije, ljudskih prava, vladavine prava te za jačanje otpornih lanaca opskrbe i održive infrastrukture; naglašava da EIB treba sustavno uključivati civilno društvo i lokalne zajednice u sve faze izrade, provedbe i evaluacije projekata kako bi se osiguralo da projekti u okviru strategije Global </w:t>
      </w:r>
      <w:proofErr w:type="spellStart"/>
      <w:r w:rsidRPr="005D15B0">
        <w:t>Gateway</w:t>
      </w:r>
      <w:proofErr w:type="spellEnd"/>
      <w:r w:rsidRPr="005D15B0">
        <w:t xml:space="preserve"> odgovaraju lokalnim potrebama i da donose smislene razvojne rezultate; konstatira da EIB ima ključnu ulogu u mobilizaciji ulaganja u održivi razvoj u okviru inicijative Global </w:t>
      </w:r>
      <w:proofErr w:type="spellStart"/>
      <w:r w:rsidRPr="005D15B0">
        <w:t>Gateway</w:t>
      </w:r>
      <w:proofErr w:type="spellEnd"/>
      <w:r w:rsidRPr="005D15B0">
        <w:t xml:space="preserve"> i da je 2025. premašio cilj od 100 milijardi EUR, čime je ojačao europske gospodarske interese i pristup tržištu u konkurentnom globalnom okruženju;</w:t>
      </w:r>
    </w:p>
    <w:p w14:paraId="58B97205" w14:textId="77777777" w:rsidR="00C72F65" w:rsidRPr="005D15B0" w:rsidRDefault="00C72F65" w:rsidP="00C72F65">
      <w:pPr>
        <w:pStyle w:val="NormalHanging12a"/>
      </w:pPr>
      <w:r w:rsidRPr="005D15B0">
        <w:t>23.</w:t>
      </w:r>
      <w:r w:rsidRPr="005D15B0">
        <w:tab/>
        <w:t>snažno pozdravlja kontinuiranu potporu EIB-a provođenju i jačanju poslova javnog i privatnog sektora u Ukrajini te panafričkoj trgovini, infrastrukturi i regionalnoj integraciji kako bi se ojačale veze s Europom; ističe da potpora EIB-a i EU-a sama nije dovoljna za zadovoljavanje potreba Ukrajine za financiranjem;</w:t>
      </w:r>
    </w:p>
    <w:p w14:paraId="5D580261" w14:textId="77777777" w:rsidR="00C72F65" w:rsidRPr="005D15B0" w:rsidRDefault="00C72F65" w:rsidP="00C72F65">
      <w:pPr>
        <w:pStyle w:val="NormalHanging12a"/>
      </w:pPr>
      <w:r w:rsidRPr="005D15B0">
        <w:t>24.</w:t>
      </w:r>
      <w:r w:rsidRPr="005D15B0">
        <w:tab/>
        <w:t>zabrinut je zbog brzorastućih razina duga i viših troškova zaduživanja na tržištima u nastajanju i u gospodarstvima u razvoju u vrijeme kada su globalni šokovi postali češći, a državni dug među takvim zemljama porastao je na najvišu razinu u posljednjih 55 godina; ističe važnu ulogu EIB-a u osiguravanju financijskih sredstava; pozdravlja ulogu drugih multilateralnih institucija u doprinosu smanjenju neodrživih razina opterećenja dugom;</w:t>
      </w:r>
    </w:p>
    <w:p w14:paraId="146037E8" w14:textId="77777777" w:rsidR="00C72F65" w:rsidRDefault="00C72F65" w:rsidP="00C72F65">
      <w:pPr>
        <w:pStyle w:val="NormalHanging12a"/>
      </w:pPr>
      <w:r w:rsidRPr="005D15B0">
        <w:t>25.</w:t>
      </w:r>
      <w:r w:rsidRPr="005D15B0">
        <w:tab/>
        <w:t>ponovno poziva EIB Global da ograniči operacije mješovitog financiranja na područja u kojima se njima može ostvariti dodana vrijednost za lokalno gospodarstvo, pri čemu treba izbjeći istiskivanje privatnog kapitala i zajamčiti da se mješovito financiranje ne koristi za osnovne javne usluge, posebice zdravstvo, obrazovanje i socijalnu zaštitu; podsjeća da bi ciljevi razvojne politike EU-a, a posebno cilj poboljšanja univerzalnog i cjenovno pristupačnog pristupa zdravstvenoj skrbi, trebali usmjeravati ulaganja EIB-a u tom području kako bi se osigurali bolji zdravstveni ishodi za sve;</w:t>
      </w:r>
    </w:p>
    <w:p w14:paraId="2226EE47" w14:textId="084EBFE0" w:rsidR="002B6ECE" w:rsidRDefault="002B6ECE" w:rsidP="00C72F65">
      <w:pPr>
        <w:pStyle w:val="NormalHanging12a"/>
        <w:rPr>
          <w:bCs/>
          <w:iCs/>
        </w:rPr>
      </w:pPr>
      <w:r w:rsidRPr="00784A1A">
        <w:rPr>
          <w:bCs/>
          <w:iCs/>
        </w:rPr>
        <w:t>2</w:t>
      </w:r>
      <w:r>
        <w:rPr>
          <w:bCs/>
          <w:iCs/>
        </w:rPr>
        <w:t>6.</w:t>
      </w:r>
      <w:r w:rsidRPr="002B6ECE">
        <w:rPr>
          <w:bCs/>
          <w:iCs/>
        </w:rPr>
        <w:tab/>
      </w:r>
      <w:r w:rsidRPr="00784A1A">
        <w:rPr>
          <w:bCs/>
          <w:iCs/>
        </w:rPr>
        <w:t>poziva države članice da izmijene EIB-ov popis isključenja kako bi se omogućilo financiranje oružja i streljiva izvan okvira isključivo tehnologija dvojne namjene, čime bi se doprinijelo razvoju europske obrambene industrije;</w:t>
      </w:r>
    </w:p>
    <w:p w14:paraId="454CA829" w14:textId="709D1D35" w:rsidR="002B6ECE" w:rsidRPr="002B6ECE" w:rsidRDefault="002B6ECE" w:rsidP="00C72F65">
      <w:pPr>
        <w:pStyle w:val="NormalHanging12a"/>
        <w:rPr>
          <w:bCs/>
          <w:iCs/>
        </w:rPr>
      </w:pPr>
      <w:r w:rsidRPr="00784A1A">
        <w:rPr>
          <w:bCs/>
          <w:iCs/>
        </w:rPr>
        <w:t>2</w:t>
      </w:r>
      <w:r>
        <w:rPr>
          <w:bCs/>
          <w:iCs/>
        </w:rPr>
        <w:t>7.</w:t>
      </w:r>
      <w:r w:rsidRPr="002B6ECE">
        <w:rPr>
          <w:bCs/>
          <w:iCs/>
        </w:rPr>
        <w:tab/>
      </w:r>
      <w:r w:rsidRPr="00784A1A">
        <w:rPr>
          <w:bCs/>
          <w:iCs/>
        </w:rPr>
        <w:t>naglašava da bi se kreditiranjem sredstvima EIB-a u zemljama koje nisu članice EU-a trebali ojačati vanjski prioriteti EU-a; poziva EIB da uključi djelotvornu suradnju partnerskih zemalja u području upravljanja migracijama, uključujući ponovni prihvat i vraćanje migranata koji nemaju zakonsko pravo ostanka u Uniji, među relevantne kriterije u svojem okviru za vanjsko kreditiranje zemalja izvan EU-a;</w:t>
      </w:r>
    </w:p>
    <w:p w14:paraId="4A4D6BA3" w14:textId="77777777" w:rsidR="00C72F65" w:rsidRPr="005D15B0" w:rsidRDefault="00C72F65" w:rsidP="00C72F65">
      <w:pPr>
        <w:pStyle w:val="Normal12a"/>
      </w:pPr>
      <w:r w:rsidRPr="005D15B0">
        <w:rPr>
          <w:b/>
          <w:i/>
        </w:rPr>
        <w:t>Potpora za koheziju, poljoprivredu i stanovanje</w:t>
      </w:r>
    </w:p>
    <w:p w14:paraId="17273A70" w14:textId="72DED44C" w:rsidR="00C72F65" w:rsidRPr="005D15B0" w:rsidRDefault="001346CA" w:rsidP="00C72F65">
      <w:pPr>
        <w:pStyle w:val="NormalHanging12a"/>
      </w:pPr>
      <w:r>
        <w:t>28</w:t>
      </w:r>
      <w:r w:rsidR="00C72F65" w:rsidRPr="005D15B0">
        <w:t>.</w:t>
      </w:r>
      <w:r w:rsidR="00C72F65" w:rsidRPr="005D15B0">
        <w:tab/>
        <w:t xml:space="preserve">konstatira da je 2025. otprilike polovica EIB-ova financiranja bila usmjerena na ulaganja u slabije razvijene regije EU-a, a za poljoprivredu i </w:t>
      </w:r>
      <w:proofErr w:type="spellStart"/>
      <w:r w:rsidR="00C72F65" w:rsidRPr="005D15B0">
        <w:t>biogospodarstvo</w:t>
      </w:r>
      <w:proofErr w:type="spellEnd"/>
      <w:r w:rsidR="00C72F65" w:rsidRPr="005D15B0">
        <w:t xml:space="preserve"> izdvojene su 3 milijarde EUR; potiče EIB da produbi suradnju s nacionalnim razvojnim bankama i regionalnim financijskim institucijama kako bi se maksimalno povećao teritorijalni </w:t>
      </w:r>
      <w:r w:rsidR="00C72F65" w:rsidRPr="005D15B0">
        <w:lastRenderedPageBreak/>
        <w:t>učinak financiranja sredstvima Unije i smanjile regionalne razlike u ulaganjima; poziva na upotrebu mješovitog financiranja kombiniranjem kohezijskih fondova EU-a s instrumentima EIB-a; naglašava da je osiguravanje pristupa izravnom financiranju u svim regijama ključno za poticanje gospodarske konvergencije te promicanje gospodarske i teritorijalne kohezije i da je to, zajedno s jačanjem sigurnosti opskrbe hranom, ključno za stratešku autonomiju EU-a; poziva EIB da mobilizira predvidljiva i dostatna financijska sredstva za mlade poljoprivrednike;</w:t>
      </w:r>
    </w:p>
    <w:p w14:paraId="56F99594" w14:textId="69836590" w:rsidR="00C72F65" w:rsidRPr="005D15B0" w:rsidRDefault="001346CA" w:rsidP="00C72F65">
      <w:pPr>
        <w:pStyle w:val="NormalHanging12a"/>
      </w:pPr>
      <w:r>
        <w:t>29</w:t>
      </w:r>
      <w:r w:rsidR="00C72F65" w:rsidRPr="005D15B0">
        <w:t>.</w:t>
      </w:r>
      <w:r w:rsidR="00C72F65" w:rsidRPr="005D15B0">
        <w:tab/>
        <w:t xml:space="preserve">poziva na očuvanje potpore Grupe EIB-a poljoprivredi i kohezijskoj politici, uključujući širu upotrebu financijskih instrumenata za amplifikaciju primjene bespovratnih sredstava EU-a i privlačenje privatnih ulaganja; ističe dodanu vrijednost odgovarajućeg financiranja zajedničke tehničke pomoći EIB-a i Komisije provedbenim tijelima kojoj je cilj osigurati pravodobnu provedbu i </w:t>
      </w:r>
      <w:proofErr w:type="spellStart"/>
      <w:r w:rsidR="00C72F65" w:rsidRPr="005D15B0">
        <w:t>dodatnost</w:t>
      </w:r>
      <w:proofErr w:type="spellEnd"/>
      <w:r w:rsidR="00C72F65" w:rsidRPr="005D15B0">
        <w:t xml:space="preserve"> ulaganja, posebno izgradnjom administrativnih kapaciteta i razvojem portfelja ulaganja; poziva na veću upotrebu mješovitog financiranja za usmjeravanje na slabije pokrivene i kohezijske regije kombiniranjem strukturnih i investicijskih fondova EU-a s drugim instrumentima;</w:t>
      </w:r>
    </w:p>
    <w:p w14:paraId="3FEC4620" w14:textId="70DC2C30" w:rsidR="00C72F65" w:rsidRPr="005D15B0" w:rsidRDefault="001346CA" w:rsidP="00C72F65">
      <w:pPr>
        <w:pStyle w:val="NormalHanging12a"/>
      </w:pPr>
      <w:r>
        <w:t>30</w:t>
      </w:r>
      <w:r w:rsidR="00C72F65" w:rsidRPr="005D15B0">
        <w:t>.</w:t>
      </w:r>
      <w:r w:rsidR="00C72F65" w:rsidRPr="005D15B0">
        <w:tab/>
        <w:t xml:space="preserve">pozdravlja napore koje Grupa EIB-a ulaže u financiranje projekata socijalnog stanovanja u Uniji; poziva EIB da pojača aktivnosti u poboljšanju pristupa </w:t>
      </w:r>
      <w:proofErr w:type="spellStart"/>
      <w:r w:rsidR="00C72F65" w:rsidRPr="005D15B0">
        <w:t>priuštivom</w:t>
      </w:r>
      <w:proofErr w:type="spellEnd"/>
      <w:r w:rsidR="00C72F65" w:rsidRPr="005D15B0">
        <w:t xml:space="preserve"> stanovanju s obzirom na sve veću stambenu krizu u Europi; potiče EIB da surađuje s drugim europskim javnim investicijskim bankama, lokalnim javnim financijskim institucijama, lokalnim vlastima, poduzećima za zadružno i socijalno stanovanje te općinama kako bi se financirala stambena rješenja i pružila dugoročna rješenja za ublažavanje krize troškova života;</w:t>
      </w:r>
    </w:p>
    <w:p w14:paraId="664B2106" w14:textId="49981656" w:rsidR="00C72F65" w:rsidRPr="005D15B0" w:rsidRDefault="001346CA" w:rsidP="00C72F65">
      <w:pPr>
        <w:pStyle w:val="NormalHanging12a"/>
      </w:pPr>
      <w:r>
        <w:t>31</w:t>
      </w:r>
      <w:r w:rsidR="00C72F65" w:rsidRPr="005D15B0">
        <w:t>.</w:t>
      </w:r>
      <w:r w:rsidR="00C72F65" w:rsidRPr="005D15B0">
        <w:tab/>
        <w:t xml:space="preserve">pozdravlja napore koje EIB ulaže u potporu projektima kojima se provode europski stup socijalnih prava i UN-ovi ciljevi održivog razvoja; poziva EIB da poveća </w:t>
      </w:r>
      <w:proofErr w:type="spellStart"/>
      <w:r w:rsidR="00C72F65" w:rsidRPr="005D15B0">
        <w:t>ponderiranje</w:t>
      </w:r>
      <w:proofErr w:type="spellEnd"/>
      <w:r w:rsidR="00C72F65" w:rsidRPr="005D15B0">
        <w:t xml:space="preserve"> socijalnih naknada u procjenama projekata kako bi se pružila </w:t>
      </w:r>
      <w:proofErr w:type="spellStart"/>
      <w:r w:rsidR="00C72F65" w:rsidRPr="005D15B0">
        <w:t>priuštiva</w:t>
      </w:r>
      <w:proofErr w:type="spellEnd"/>
      <w:r w:rsidR="00C72F65" w:rsidRPr="005D15B0">
        <w:t xml:space="preserve"> dugoročna rješenja;</w:t>
      </w:r>
    </w:p>
    <w:p w14:paraId="6B3ED67E" w14:textId="77777777" w:rsidR="00C72F65" w:rsidRPr="005D15B0" w:rsidRDefault="00C72F65" w:rsidP="00C72F65">
      <w:pPr>
        <w:pStyle w:val="Normal12a"/>
      </w:pPr>
      <w:r w:rsidRPr="005D15B0">
        <w:rPr>
          <w:b/>
          <w:i/>
        </w:rPr>
        <w:t>Transparentnost i odgovornost</w:t>
      </w:r>
    </w:p>
    <w:p w14:paraId="64B78E84" w14:textId="6A9DC678" w:rsidR="00C72F65" w:rsidRPr="005D15B0" w:rsidRDefault="001346CA" w:rsidP="00C72F65">
      <w:pPr>
        <w:pStyle w:val="NormalHanging12a"/>
      </w:pPr>
      <w:r>
        <w:t>32</w:t>
      </w:r>
      <w:r w:rsidR="00C72F65" w:rsidRPr="005D15B0">
        <w:t>.</w:t>
      </w:r>
      <w:r w:rsidR="00C72F65" w:rsidRPr="005D15B0">
        <w:tab/>
        <w:t xml:space="preserve">podsjeća na to da su financijska sredstva EIB-a javni novac i da bi uvijek trebala biti predmetom javnog nadzora i pozivanja na odgovornost, osobito kada su popraćena jamstvima ili proračunskim sredstvima EU-a; ponovno poziva na uspostavu strukturiranog </w:t>
      </w:r>
      <w:proofErr w:type="spellStart"/>
      <w:r w:rsidR="00C72F65" w:rsidRPr="005D15B0">
        <w:t>međuinstitucijskog</w:t>
      </w:r>
      <w:proofErr w:type="spellEnd"/>
      <w:r w:rsidR="00C72F65" w:rsidRPr="005D15B0">
        <w:t xml:space="preserve"> okvira kojim bi se osigurao bolji parlamentarni nadzor, bolji pristup informacijama i mogućnost da Parlament pruži doprinos strateškim smjernicama EIB-a; primjećuje napredak u pogledu indeksa transparentnosti izravnih stranih ulaganja za 2025., ali poziva na daljnja poboljšanja; naglašava potrebu za fiskalnom odgovornošću i učinkovitom upotrebom sredstava kako bi se zaštitio novac poreznih obveznika; napominje da su ojačani mehanizmi izvješćivanja ključni za učinkovit parlamentarni nadzor;</w:t>
      </w:r>
    </w:p>
    <w:p w14:paraId="70E349C6" w14:textId="41D3D2A5" w:rsidR="00C72F65" w:rsidRPr="005D15B0" w:rsidRDefault="001346CA" w:rsidP="00C72F65">
      <w:pPr>
        <w:pStyle w:val="NormalHanging12a"/>
      </w:pPr>
      <w:r>
        <w:t>33</w:t>
      </w:r>
      <w:r w:rsidR="00C72F65" w:rsidRPr="005D15B0">
        <w:t>.</w:t>
      </w:r>
      <w:r w:rsidR="00C72F65" w:rsidRPr="005D15B0">
        <w:tab/>
        <w:t xml:space="preserve">ističe da je važno da EIB osigura </w:t>
      </w:r>
      <w:proofErr w:type="spellStart"/>
      <w:r w:rsidR="00C72F65" w:rsidRPr="005D15B0">
        <w:t>sljedivost</w:t>
      </w:r>
      <w:proofErr w:type="spellEnd"/>
      <w:r w:rsidR="00C72F65" w:rsidRPr="005D15B0">
        <w:t xml:space="preserve"> financiranih projekata; naglašava da bi EIB trebao pravodobno objavljivati detaljnije informacije o svojim projektima, uključujući obrazloženje i kontekst projekata, objašnjenje njihove usklađenosti sa zajedničkim prioritetima EU-a i informacije o stvarnim gospodarskim subjektima koji su njihovi korisnici, uz jasnu naznaku o tome koji projekti primaju potporu iz proračuna EU-a; pozdravlja odluku EIB-a da, nakon istrage </w:t>
      </w:r>
      <w:proofErr w:type="spellStart"/>
      <w:r w:rsidR="00C72F65" w:rsidRPr="005D15B0">
        <w:t>Ombudsmana</w:t>
      </w:r>
      <w:proofErr w:type="spellEnd"/>
      <w:r w:rsidR="00C72F65" w:rsidRPr="005D15B0">
        <w:t>, počne proaktivno objavljivati svoje okolišne i socijalne procjene projekata izvan EU-a koji će vjerojatno imati znatan učinak u tim područjima;</w:t>
      </w:r>
    </w:p>
    <w:p w14:paraId="5A921961" w14:textId="7644D0BD" w:rsidR="00C72F65" w:rsidRPr="005D15B0" w:rsidRDefault="001346CA" w:rsidP="00C72F65">
      <w:pPr>
        <w:pStyle w:val="NormalHanging12a"/>
      </w:pPr>
      <w:r>
        <w:lastRenderedPageBreak/>
        <w:t>34</w:t>
      </w:r>
      <w:r w:rsidR="00C72F65" w:rsidRPr="005D15B0">
        <w:t>.</w:t>
      </w:r>
      <w:r w:rsidR="00C72F65" w:rsidRPr="005D15B0">
        <w:tab/>
        <w:t>naglašava da bi se, prema potrebi, trebala upotrebljavati pažljivo osmišljena privremena jamstva, a ne bespovratna sredstva, čime bi se ograničio izravan učinak na proračun i pogodovalo privlačenju privatnog kapitala; podsjeća da jamstva predstavljaju stvarni fiskalni rizik i da bi se na njih trebala primjenjivati ista disciplina kao i na izravne rashode; naglašava činjenicu da upotreba jamstava mora biti popraćena visokim stupnjem transparentnosti, demokratskim nadzorom i odgovarajućim mehanizmima procjene rizika; naglašava da bi primarnu izloženost komercijalnom riziku trebali zadržati privatni ulagači, dok bi intervencija EIB-a trebala ostati ograničena, jasno definirana i privremena, s naglaskom na rizike koje privatni sudionici na tržištu ne mogu prihvatiti i na ublažavanje rizika na razini projekta; poziva EIB da ograniči operacije mješovitog financiranja na područja u kojima se njima može ostvariti dodana vrijednost za lokalno gospodarstvo, pri čemu treba izbjeći istiskivanje privatnog kapitala;</w:t>
      </w:r>
    </w:p>
    <w:p w14:paraId="31E4802C" w14:textId="4908E9D5" w:rsidR="00C72F65" w:rsidRPr="005D15B0" w:rsidRDefault="001346CA" w:rsidP="00C72F65">
      <w:pPr>
        <w:pStyle w:val="NormalHanging12a"/>
      </w:pPr>
      <w:r>
        <w:t>35</w:t>
      </w:r>
      <w:r w:rsidR="00C72F65" w:rsidRPr="005D15B0">
        <w:t>.</w:t>
      </w:r>
      <w:r w:rsidR="00C72F65" w:rsidRPr="005D15B0">
        <w:tab/>
        <w:t>upozorava na općenito visoke operativne troškove EIB-a; stoga poziva na utvrđivanje odgovarajućih mjera ublažavanja u cilju poboljšanja troškovne učinkovitosti uz istodobno očuvanje operativne učinkovitosti EIB-a;</w:t>
      </w:r>
    </w:p>
    <w:p w14:paraId="2615DAF9" w14:textId="75FF5DED" w:rsidR="00C72F65" w:rsidRDefault="001346CA" w:rsidP="00C72F65">
      <w:pPr>
        <w:pStyle w:val="NormalHanging12a"/>
      </w:pPr>
      <w:r>
        <w:t>36</w:t>
      </w:r>
      <w:r w:rsidR="00C72F65" w:rsidRPr="005D15B0">
        <w:t>.</w:t>
      </w:r>
      <w:r w:rsidR="00C72F65" w:rsidRPr="005D15B0">
        <w:tab/>
        <w:t xml:space="preserve">napominje da Grupa EIB-djeluje u okviru dvostrukog sustava, u skladu s kojim su operacije koje se financiraju iz proračuna EU-a pod neizravnim nadzorom Komisije, Revizorskog suda i Parlamenta, u sklopu njegova odlučivanja o razrješnicama za proračun EU-a, dok operacije koje se financiraju vlastitim sredstvima EIB-a koja potječu iz država članica, koje čine više od tri četvrtine operacija EIB-a, u najvećoj mjeri ne podliježu sustavnoj vanjskoj reviziji ni nadzoru koje provode nacionalni parlamenti i Europski parlament; konstatira da EIB ima razrađenu internu strukturu odgovornosti te da vanjski revizor nadzire operacije i računovodstveni sustav EIB-a; slaže se da je takva struktura uglavnom u skladu s međunarodnom praksom; napominje da je izvješćivanje Europskog parlamenta povremeno, da se suradnja s Europskim </w:t>
      </w:r>
      <w:proofErr w:type="spellStart"/>
      <w:r w:rsidR="00C72F65" w:rsidRPr="005D15B0">
        <w:t>ombudsmanom</w:t>
      </w:r>
      <w:proofErr w:type="spellEnd"/>
      <w:r w:rsidR="00C72F65" w:rsidRPr="005D15B0">
        <w:t xml:space="preserve"> promijenila i da je uloga Revizorskog suda ograničena postojećim pravilima i provedbenim mehanizmima; ističe potrebu za konkretnim djelovanjem EIB-a radi rješavanja te situacije, u skladu s prethodnim pozivima koje je Parlament iznio u svojim rezolucijama te spremnosti za dijalog i suradnju koju je izrazilo europsko tijelo nadležno za proračun i davanje razrješnice; poziva EIB da u taj proces aktivno uključi nacionalne vrhovne revizijske institucije kako bi se osigurala odgovornost za operacije koje trenutačno ne provjerava Revizorski sud i kako bi se zajamčila pouzdana odgovornost i nadzor;</w:t>
      </w:r>
    </w:p>
    <w:p w14:paraId="6F09A891" w14:textId="4CC531BD" w:rsidR="002B6ECE" w:rsidRPr="002B6ECE" w:rsidRDefault="001346CA" w:rsidP="00C72F65">
      <w:pPr>
        <w:pStyle w:val="NormalHanging12a"/>
        <w:rPr>
          <w:bCs/>
          <w:iCs/>
        </w:rPr>
      </w:pPr>
      <w:r>
        <w:rPr>
          <w:bCs/>
          <w:iCs/>
        </w:rPr>
        <w:t>37</w:t>
      </w:r>
      <w:r w:rsidR="002B6ECE">
        <w:rPr>
          <w:bCs/>
          <w:iCs/>
        </w:rPr>
        <w:t>.</w:t>
      </w:r>
      <w:r w:rsidR="002B6ECE" w:rsidRPr="002B6ECE">
        <w:rPr>
          <w:bCs/>
          <w:iCs/>
        </w:rPr>
        <w:tab/>
      </w:r>
      <w:r w:rsidR="002B6ECE" w:rsidRPr="00784A1A">
        <w:rPr>
          <w:bCs/>
          <w:iCs/>
        </w:rPr>
        <w:t>prima na znanje ulogu unutarnjeg nadzora koju provodi Revizijski odbor EIB-a; ističe da se vanjski bonitetni nadzor ne provodi u skladu s međunarodno prihvaćenim nadzornim standardima, osim u području upravljanja likvidnošću; potiče Vijeće guvernera EIB-a da, s obzirom na veličinu, složenost i posebnosti poslovnog modela EIB-a, uspostavi odgovarajuće mehanizme za usklađivanje s najvišim standardima vanjskog bonitetnog nadzora, uzimajući pritom u obzir potrebne prilagodbe koje proizlaze iz jedinstvenog poslovnog modela EIB-a;</w:t>
      </w:r>
    </w:p>
    <w:p w14:paraId="2F7E44C5" w14:textId="60C34D39" w:rsidR="00C72F65" w:rsidRPr="005D15B0" w:rsidRDefault="001346CA" w:rsidP="00C72F65">
      <w:pPr>
        <w:pStyle w:val="NormalHanging12a"/>
      </w:pPr>
      <w:r>
        <w:t>38</w:t>
      </w:r>
      <w:r w:rsidR="00C72F65" w:rsidRPr="005D15B0">
        <w:t>.</w:t>
      </w:r>
      <w:r w:rsidR="00C72F65" w:rsidRPr="005D15B0">
        <w:tab/>
        <w:t>izražava zabrinutost zbog istrage o korupciji koja se vodi protiv bivšeg predsjednika EIB-a; očekuje od Ureda europskog javnog tužitelja i Europskog ureda za borbu protiv prijevara da temeljito istraže taj slučaj i traži da se razjasne sve činjenice; podsjeća da bi sve prijestupe i zlouporabu javnih sredstava trebalo strogo kazniti;</w:t>
      </w:r>
    </w:p>
    <w:p w14:paraId="1A2109E4" w14:textId="3F7674ED" w:rsidR="00C72F65" w:rsidRPr="005D15B0" w:rsidRDefault="001346CA" w:rsidP="00C72F65">
      <w:pPr>
        <w:pStyle w:val="NormalHanging12a"/>
      </w:pPr>
      <w:r>
        <w:t>39</w:t>
      </w:r>
      <w:r w:rsidR="00C72F65" w:rsidRPr="005D15B0">
        <w:t>.</w:t>
      </w:r>
      <w:r w:rsidR="00C72F65" w:rsidRPr="005D15B0">
        <w:tab/>
        <w:t xml:space="preserve">poziva na jačanje politika EIB-a u području ljudskih prava; naglašava da bi procjene učinka na okoliš i društvo trebali provoditi neovisni stručnjaci te da bi trebalo uvesti </w:t>
      </w:r>
      <w:r w:rsidR="00C72F65" w:rsidRPr="005D15B0">
        <w:lastRenderedPageBreak/>
        <w:t xml:space="preserve">neovisne mehanizme provjere kako bi se nadziralo </w:t>
      </w:r>
      <w:proofErr w:type="spellStart"/>
      <w:r w:rsidR="00C72F65" w:rsidRPr="005D15B0">
        <w:t>samopraćenje</w:t>
      </w:r>
      <w:proofErr w:type="spellEnd"/>
      <w:r w:rsidR="00C72F65" w:rsidRPr="005D15B0">
        <w:t xml:space="preserve"> i </w:t>
      </w:r>
      <w:proofErr w:type="spellStart"/>
      <w:r w:rsidR="00C72F65" w:rsidRPr="005D15B0">
        <w:t>samoizvješćivanje</w:t>
      </w:r>
      <w:proofErr w:type="spellEnd"/>
      <w:r w:rsidR="00C72F65" w:rsidRPr="005D15B0">
        <w:t xml:space="preserve"> koje provode klijenti EIB-a;</w:t>
      </w:r>
    </w:p>
    <w:p w14:paraId="00853EE2" w14:textId="3E706D2F" w:rsidR="00C72F65" w:rsidRPr="005D15B0" w:rsidRDefault="001346CA" w:rsidP="00C72F65">
      <w:pPr>
        <w:pStyle w:val="NormalHanging12a"/>
      </w:pPr>
      <w:r>
        <w:t>40</w:t>
      </w:r>
      <w:r w:rsidR="00C72F65" w:rsidRPr="005D15B0">
        <w:t>.</w:t>
      </w:r>
      <w:r w:rsidR="00C72F65" w:rsidRPr="005D15B0">
        <w:tab/>
        <w:t xml:space="preserve">prima na znanje napore koje EIB ulaže u poboljšanje rukovoditeljskih metoda nakon interne ankete provedene u EIB-u 2023.; poziva na kontinuiranu primjenu EIB-ovih načela koja se odnose na raznolikost, pravednost i </w:t>
      </w:r>
      <w:proofErr w:type="spellStart"/>
      <w:r w:rsidR="00C72F65" w:rsidRPr="005D15B0">
        <w:t>uključivost</w:t>
      </w:r>
      <w:proofErr w:type="spellEnd"/>
      <w:r w:rsidR="00C72F65" w:rsidRPr="005D15B0">
        <w:t>, među ostalim cilj da se do kraja 2026. osigura da žene budu na najmanje 40 % rukovodećih položaja;</w:t>
      </w:r>
    </w:p>
    <w:p w14:paraId="12CA096B" w14:textId="7A1969AE" w:rsidR="00C72F65" w:rsidRPr="005D15B0" w:rsidRDefault="001346CA" w:rsidP="00C72F65">
      <w:pPr>
        <w:pStyle w:val="NormalHanging12a"/>
      </w:pPr>
      <w:r>
        <w:t>41</w:t>
      </w:r>
      <w:r w:rsidR="00C72F65" w:rsidRPr="005D15B0">
        <w:t>.</w:t>
      </w:r>
      <w:r w:rsidR="00C72F65" w:rsidRPr="005D15B0">
        <w:tab/>
        <w:t>ponovno poziva EIB da hitno preispita podjelu rada u Upravljačkom odboru, a posebno da osigura da potpredsjednici EIB-a nikada ne zauzmu vodeću ulogu u projektima koji potječu iz njihovih matičnih zemalja, čak i ako Upravljački odbor preuzme kolektivnu odgovornost za svoje odluke, s obzirom na očit rizik od sukoba interesa; naglašava da postoje brojne preporuke institucija EU-a o tom pitanju;</w:t>
      </w:r>
    </w:p>
    <w:p w14:paraId="6BD812E1" w14:textId="3BF82E99" w:rsidR="00C72F65" w:rsidRPr="005D15B0" w:rsidRDefault="001346CA" w:rsidP="00C72F65">
      <w:pPr>
        <w:pStyle w:val="NormalHanging12a"/>
      </w:pPr>
      <w:r>
        <w:t>42</w:t>
      </w:r>
      <w:r w:rsidR="00C72F65" w:rsidRPr="005D15B0">
        <w:t>.</w:t>
      </w:r>
      <w:r w:rsidR="00C72F65" w:rsidRPr="005D15B0">
        <w:tab/>
        <w:t>pozdravlja činjenicu da se EIB 2025., nakon opetovanih poziva Parlamenta, stavio na raspolaganje za pregovore s ciljem sklapanja „sporazuma” o pojačanoj suradnji između Parlamenta i EIB-a; nadalje pozdravlja zajednički stav da bi pregovore trebalo zaključiti pravodobno; ističe da će se takvim „sporazumom” formalizirati i ojačati interakcije između Parlamenta i EIB-a, što je odraz uzajamne predanosti bližoj suradnji; napominje da je dodana vrijednost takvih sporazuma potvrđena provedbom usporedivih sporazuma sklopljenih između Parlamenta i drugih institucija i tijela Unije ili međuvladinih organizacija;</w:t>
      </w:r>
    </w:p>
    <w:p w14:paraId="5B59323E" w14:textId="77777777" w:rsidR="00C72F65" w:rsidRPr="005D15B0" w:rsidRDefault="00C72F65" w:rsidP="00C72F65">
      <w:pPr>
        <w:pStyle w:val="NormalCenter12a"/>
      </w:pPr>
      <w:r w:rsidRPr="005D15B0">
        <w:t>°</w:t>
      </w:r>
    </w:p>
    <w:p w14:paraId="07E9575C" w14:textId="77777777" w:rsidR="00C72F65" w:rsidRPr="005D15B0" w:rsidRDefault="00C72F65" w:rsidP="00C72F65">
      <w:pPr>
        <w:pStyle w:val="NormalCenter12a"/>
      </w:pPr>
      <w:r w:rsidRPr="005D15B0">
        <w:t>°</w:t>
      </w:r>
      <w:r w:rsidRPr="005D15B0">
        <w:tab/>
        <w:t>°</w:t>
      </w:r>
    </w:p>
    <w:p w14:paraId="1DC907F1" w14:textId="3B207D1F" w:rsidR="00E52F68" w:rsidRPr="005D15B0" w:rsidRDefault="001346CA" w:rsidP="00E52F68">
      <w:pPr>
        <w:pStyle w:val="NormalHanging12a"/>
      </w:pPr>
      <w:r>
        <w:t>43</w:t>
      </w:r>
      <w:r w:rsidR="00C72F65" w:rsidRPr="005D15B0">
        <w:t>.</w:t>
      </w:r>
      <w:r w:rsidR="00C72F65" w:rsidRPr="005D15B0">
        <w:tab/>
        <w:t>nalaže svojoj predsjednici da ovu Rezoluciju proslijedi Vijeću i Komisiji.</w:t>
      </w:r>
    </w:p>
    <w:p w14:paraId="0F914239" w14:textId="47BE53BF" w:rsidR="00E365E1" w:rsidRPr="005D15B0" w:rsidRDefault="00E365E1" w:rsidP="00107E67"/>
    <w:sectPr w:rsidR="00E365E1" w:rsidRPr="005D15B0" w:rsidSect="00E52F68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E7F26" w14:textId="77777777" w:rsidR="00107E67" w:rsidRPr="00E52F68" w:rsidRDefault="00107E67">
      <w:r w:rsidRPr="00E52F68">
        <w:separator/>
      </w:r>
    </w:p>
  </w:endnote>
  <w:endnote w:type="continuationSeparator" w:id="0">
    <w:p w14:paraId="031A0D25" w14:textId="77777777" w:rsidR="00107E67" w:rsidRPr="00E52F68" w:rsidRDefault="00107E67">
      <w:r w:rsidRPr="00E52F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49118" w14:textId="77777777" w:rsidR="00107E67" w:rsidRPr="00E52F68" w:rsidRDefault="00107E67">
      <w:r w:rsidRPr="00E52F68">
        <w:separator/>
      </w:r>
    </w:p>
  </w:footnote>
  <w:footnote w:type="continuationSeparator" w:id="0">
    <w:p w14:paraId="2E3CE106" w14:textId="77777777" w:rsidR="00107E67" w:rsidRPr="00E52F68" w:rsidRDefault="00107E67">
      <w:r w:rsidRPr="00E52F68">
        <w:continuationSeparator/>
      </w:r>
    </w:p>
  </w:footnote>
  <w:footnote w:id="1">
    <w:p w14:paraId="4AD0ACF1" w14:textId="4D382C81" w:rsidR="00E665BD" w:rsidRPr="00E52F68" w:rsidRDefault="00E665BD" w:rsidP="00E52F68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E52F68">
        <w:rPr>
          <w:sz w:val="24"/>
          <w:lang w:val="hr-HR"/>
        </w:rPr>
        <w:t xml:space="preserve"> </w:t>
      </w:r>
      <w:r w:rsidRPr="00E52F68">
        <w:rPr>
          <w:sz w:val="24"/>
          <w:lang w:val="hr-HR"/>
        </w:rPr>
        <w:tab/>
        <w:t xml:space="preserve">Uredba (EU) 2023/2631 Europskog parlamenta i Vijeća o europskim zelenim obveznicama i neobaveznim objavama za obveznice koje se stavljaju na tržište kao okolišno održive i za obveznice povezane s održivošću (SL L 2023/2631, 30.11.2023., ELI: </w:t>
      </w:r>
      <w:hyperlink r:id="rId1" w:tgtFrame="http://data.europa.eu/eli/reg/2023/2631/oj" w:history="1">
        <w:r w:rsidRPr="00E52F68">
          <w:rPr>
            <w:rStyle w:val="Hyperlink"/>
            <w:sz w:val="24"/>
            <w:lang w:val="hr-HR"/>
          </w:rPr>
          <w:t>http://data.europa.eu/eli/reg/2023/2631/oj</w:t>
        </w:r>
      </w:hyperlink>
      <w:r w:rsidRPr="00E52F68">
        <w:rPr>
          <w:sz w:val="24"/>
          <w:lang w:val="hr-HR"/>
        </w:rPr>
        <w:t>).</w:t>
      </w:r>
    </w:p>
  </w:footnote>
  <w:footnote w:id="2">
    <w:p w14:paraId="0BF7B829" w14:textId="5A39C2ED" w:rsidR="00E665BD" w:rsidRPr="00E52F68" w:rsidRDefault="00E665BD" w:rsidP="00E52F68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E52F68">
        <w:rPr>
          <w:sz w:val="24"/>
          <w:lang w:val="hr-HR"/>
        </w:rPr>
        <w:t xml:space="preserve"> </w:t>
      </w:r>
      <w:r w:rsidRPr="00E52F68">
        <w:rPr>
          <w:sz w:val="24"/>
          <w:lang w:val="hr-HR"/>
        </w:rPr>
        <w:tab/>
        <w:t xml:space="preserve">Uredba (EU) 2024/1252 Europskog parlamenta i Vijeća od 11. travnja 2024. o uspostavi okvira za osiguravanje sigurne i održive opskrbe kritičnim sirovinama i o izmjeni uredbi (EU) br. 168/2013, (EU) 2018/858, (EU) 2018/1724 i (EU) 2019/1020 (Tekst značajan za EGP) </w:t>
      </w:r>
      <w:r>
        <w:rPr>
          <w:sz w:val="24"/>
          <w:lang w:val="hr-HR"/>
        </w:rPr>
        <w:t>(</w:t>
      </w:r>
      <w:r w:rsidRPr="00E52F68">
        <w:rPr>
          <w:sz w:val="24"/>
          <w:lang w:val="hr-HR"/>
        </w:rPr>
        <w:t xml:space="preserve">SL L, 2024/1252, 3.5.2024., ELI: </w:t>
      </w:r>
      <w:r>
        <w:fldChar w:fldCharType="begin"/>
      </w:r>
      <w:r w:rsidRPr="00784A1A">
        <w:rPr>
          <w:lang w:val="hr-HR"/>
        </w:rPr>
        <w:instrText>HYPERLINK "http://data.europa.eu/eli/reg/2024/1252/oj" \t "http://data.europa.eu/eli/reg/2024/1252/oj"</w:instrText>
      </w:r>
      <w:r>
        <w:fldChar w:fldCharType="separate"/>
      </w:r>
      <w:r w:rsidRPr="00E52F68">
        <w:rPr>
          <w:rStyle w:val="Hyperlink"/>
          <w:sz w:val="24"/>
          <w:lang w:val="hr-HR"/>
        </w:rPr>
        <w:t>http://data.europa.eu/eli/reg/2024/1252/oj</w:t>
      </w:r>
      <w:r>
        <w:fldChar w:fldCharType="end"/>
      </w:r>
      <w:r w:rsidRPr="00E52F68">
        <w:rPr>
          <w:sz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0530812">
    <w:abstractNumId w:val="9"/>
  </w:num>
  <w:num w:numId="2" w16cid:durableId="2101363040">
    <w:abstractNumId w:val="9"/>
  </w:num>
  <w:num w:numId="3" w16cid:durableId="388382206">
    <w:abstractNumId w:val="7"/>
  </w:num>
  <w:num w:numId="4" w16cid:durableId="278726741">
    <w:abstractNumId w:val="7"/>
  </w:num>
  <w:num w:numId="5" w16cid:durableId="180551834">
    <w:abstractNumId w:val="6"/>
  </w:num>
  <w:num w:numId="6" w16cid:durableId="1485849427">
    <w:abstractNumId w:val="6"/>
  </w:num>
  <w:num w:numId="7" w16cid:durableId="490103373">
    <w:abstractNumId w:val="5"/>
  </w:num>
  <w:num w:numId="8" w16cid:durableId="1796437033">
    <w:abstractNumId w:val="5"/>
  </w:num>
  <w:num w:numId="9" w16cid:durableId="1405908936">
    <w:abstractNumId w:val="4"/>
  </w:num>
  <w:num w:numId="10" w16cid:durableId="1149438955">
    <w:abstractNumId w:val="4"/>
  </w:num>
  <w:num w:numId="11" w16cid:durableId="483549230">
    <w:abstractNumId w:val="8"/>
  </w:num>
  <w:num w:numId="12" w16cid:durableId="709768791">
    <w:abstractNumId w:val="8"/>
  </w:num>
  <w:num w:numId="13" w16cid:durableId="955216309">
    <w:abstractNumId w:val="3"/>
  </w:num>
  <w:num w:numId="14" w16cid:durableId="500237434">
    <w:abstractNumId w:val="3"/>
  </w:num>
  <w:num w:numId="15" w16cid:durableId="1028139018">
    <w:abstractNumId w:val="2"/>
  </w:num>
  <w:num w:numId="16" w16cid:durableId="544029801">
    <w:abstractNumId w:val="2"/>
  </w:num>
  <w:num w:numId="17" w16cid:durableId="1821116908">
    <w:abstractNumId w:val="1"/>
  </w:num>
  <w:num w:numId="18" w16cid:durableId="1972907063">
    <w:abstractNumId w:val="1"/>
  </w:num>
  <w:num w:numId="19" w16cid:durableId="983042317">
    <w:abstractNumId w:val="0"/>
  </w:num>
  <w:num w:numId="20" w16cid:durableId="73748491">
    <w:abstractNumId w:val="0"/>
  </w:num>
  <w:num w:numId="21" w16cid:durableId="1462379275">
    <w:abstractNumId w:val="9"/>
  </w:num>
  <w:num w:numId="22" w16cid:durableId="48189790">
    <w:abstractNumId w:val="7"/>
  </w:num>
  <w:num w:numId="23" w16cid:durableId="1441872282">
    <w:abstractNumId w:val="6"/>
  </w:num>
  <w:num w:numId="24" w16cid:durableId="1398551872">
    <w:abstractNumId w:val="5"/>
  </w:num>
  <w:num w:numId="25" w16cid:durableId="1729573349">
    <w:abstractNumId w:val="4"/>
  </w:num>
  <w:num w:numId="26" w16cid:durableId="539561615">
    <w:abstractNumId w:val="8"/>
  </w:num>
  <w:num w:numId="27" w16cid:durableId="1575092898">
    <w:abstractNumId w:val="3"/>
  </w:num>
  <w:num w:numId="28" w16cid:durableId="1787776649">
    <w:abstractNumId w:val="2"/>
  </w:num>
  <w:num w:numId="29" w16cid:durableId="1174295435">
    <w:abstractNumId w:val="1"/>
  </w:num>
  <w:num w:numId="30" w16cid:durableId="1396391124">
    <w:abstractNumId w:val="0"/>
  </w:num>
  <w:num w:numId="31" w16cid:durableId="212155689">
    <w:abstractNumId w:val="9"/>
  </w:num>
  <w:num w:numId="32" w16cid:durableId="768039279">
    <w:abstractNumId w:val="7"/>
  </w:num>
  <w:num w:numId="33" w16cid:durableId="1750736619">
    <w:abstractNumId w:val="6"/>
  </w:num>
  <w:num w:numId="34" w16cid:durableId="1908417753">
    <w:abstractNumId w:val="5"/>
  </w:num>
  <w:num w:numId="35" w16cid:durableId="1219395371">
    <w:abstractNumId w:val="4"/>
  </w:num>
  <w:num w:numId="36" w16cid:durableId="642974497">
    <w:abstractNumId w:val="8"/>
  </w:num>
  <w:num w:numId="37" w16cid:durableId="1207176959">
    <w:abstractNumId w:val="3"/>
  </w:num>
  <w:num w:numId="38" w16cid:durableId="1741520380">
    <w:abstractNumId w:val="2"/>
  </w:num>
  <w:num w:numId="39" w16cid:durableId="211161021">
    <w:abstractNumId w:val="1"/>
  </w:num>
  <w:num w:numId="40" w16cid:durableId="586811872">
    <w:abstractNumId w:val="0"/>
  </w:num>
  <w:num w:numId="41" w16cid:durableId="938410326">
    <w:abstractNumId w:val="10"/>
  </w:num>
  <w:num w:numId="42" w16cid:durableId="1854612856">
    <w:abstractNumId w:val="10"/>
  </w:num>
  <w:num w:numId="43" w16cid:durableId="702749366">
    <w:abstractNumId w:val="10"/>
  </w:num>
  <w:num w:numId="44" w16cid:durableId="10069053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0/2026"/>
    <w:docVar w:name="dvlangue" w:val="HR"/>
    <w:docVar w:name="dvnumam" w:val="0"/>
    <w:docVar w:name="dvpe" w:val="784.507"/>
    <w:docVar w:name="dvrapporteur" w:val="Izvjestitelj: "/>
    <w:docVar w:name="dvtitre" w:val="Rezolucija Europskog parlamenta od .... 2026. o financijskim aktivnostima Grupe Europske investicijske banke – godišnje izvješće za 2025.(2025/2213(INI))"/>
  </w:docVars>
  <w:rsids>
    <w:rsidRoot w:val="00107E67"/>
    <w:rsid w:val="00002272"/>
    <w:rsid w:val="0000567C"/>
    <w:rsid w:val="00064002"/>
    <w:rsid w:val="000677B9"/>
    <w:rsid w:val="000831BA"/>
    <w:rsid w:val="000A42CC"/>
    <w:rsid w:val="000E7DD9"/>
    <w:rsid w:val="0010095E"/>
    <w:rsid w:val="00107E67"/>
    <w:rsid w:val="00125B37"/>
    <w:rsid w:val="001346CA"/>
    <w:rsid w:val="00187494"/>
    <w:rsid w:val="001F32AE"/>
    <w:rsid w:val="00256919"/>
    <w:rsid w:val="002767FF"/>
    <w:rsid w:val="00280619"/>
    <w:rsid w:val="002B18FE"/>
    <w:rsid w:val="002B5493"/>
    <w:rsid w:val="002B6EC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15B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A1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F6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E1E"/>
    <w:rsid w:val="00E14DB7"/>
    <w:rsid w:val="00E365E1"/>
    <w:rsid w:val="00E52F68"/>
    <w:rsid w:val="00E665B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490816"/>
  <w15:chartTrackingRefBased/>
  <w15:docId w15:val="{A5592190-BF2C-4FB8-90F5-DDB9C0AB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72F65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C72F6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72F65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72F65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72F65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72F65"/>
    <w:rPr>
      <w:color w:val="0000FF"/>
      <w:u w:val="single"/>
    </w:rPr>
  </w:style>
  <w:style w:type="paragraph" w:styleId="Revision">
    <w:name w:val="Revision"/>
    <w:hidden/>
    <w:uiPriority w:val="99"/>
    <w:semiHidden/>
    <w:rsid w:val="005D15B0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26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4549</Words>
  <Characters>28779</Characters>
  <Application>Microsoft Office Word</Application>
  <DocSecurity>0</DocSecurity>
  <Lines>239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2026-07-07T13:37:00Z</dcterms:created>
  <dcterms:modified xsi:type="dcterms:W3CDTF">2026-07-07T13:37:00Z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A10-0170/2026</vt:lpwstr>
  </property>
  <property fmtid="{D5CDD505-2E9C-101B-9397-08002B2CF9AE}" pid="4" name="&lt;Type&gt;">
    <vt:lpwstr>RR</vt:lpwstr>
  </property>
</Properties>
</file>