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C41" w14:paraId="3D32312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45E02D3" w14:textId="77777777" w:rsidR="00751A4A" w:rsidRPr="00EC1C41" w:rsidRDefault="001D4DED" w:rsidP="0010095E">
            <w:pPr>
              <w:pStyle w:val="EPName"/>
            </w:pPr>
            <w:r w:rsidRPr="00EC1C41">
              <w:t>Európai Parlament</w:t>
            </w:r>
          </w:p>
          <w:p w14:paraId="559F551B" w14:textId="77777777" w:rsidR="00751A4A" w:rsidRPr="00EC1C4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C41">
              <w:t>2024</w:t>
            </w:r>
            <w:r w:rsidR="00817416" w:rsidRPr="00EC1C41">
              <w:t>-202</w:t>
            </w:r>
            <w:r w:rsidRPr="00EC1C41">
              <w:t>9</w:t>
            </w:r>
          </w:p>
        </w:tc>
        <w:tc>
          <w:tcPr>
            <w:tcW w:w="2268" w:type="dxa"/>
            <w:shd w:val="clear" w:color="auto" w:fill="auto"/>
          </w:tcPr>
          <w:p w14:paraId="5C90E1C5" w14:textId="77777777" w:rsidR="00751A4A" w:rsidRPr="00EC1C41" w:rsidRDefault="00187494" w:rsidP="0010095E">
            <w:pPr>
              <w:pStyle w:val="EPLogo"/>
            </w:pPr>
            <w:r w:rsidRPr="00EC1C41">
              <w:rPr>
                <w:noProof/>
                <w:lang w:eastAsia="ja-JP"/>
              </w:rPr>
              <w:drawing>
                <wp:inline distT="0" distB="0" distL="0" distR="0" wp14:anchorId="50552CAA" wp14:editId="6E9F5CC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994CFA1" w14:textId="77777777" w:rsidR="00D058B8" w:rsidRPr="00EC1C41" w:rsidRDefault="00D058B8" w:rsidP="004C5D52">
      <w:pPr>
        <w:pStyle w:val="LineTop"/>
      </w:pPr>
    </w:p>
    <w:p w14:paraId="6CEE363E" w14:textId="77777777" w:rsidR="00680577" w:rsidRPr="00EC1C41" w:rsidRDefault="001D4DED" w:rsidP="00680577">
      <w:pPr>
        <w:pStyle w:val="EPBodyTA1"/>
      </w:pPr>
      <w:r w:rsidRPr="00EC1C41">
        <w:t>ELFOGADOTT SZÖVEGEK</w:t>
      </w:r>
    </w:p>
    <w:p w14:paraId="09A3D1CD" w14:textId="77777777" w:rsidR="00D058B8" w:rsidRPr="00EC1C41" w:rsidRDefault="00D058B8" w:rsidP="00D058B8">
      <w:pPr>
        <w:pStyle w:val="LineBottom"/>
      </w:pPr>
    </w:p>
    <w:p w14:paraId="6CB460E3" w14:textId="3BC69A1A" w:rsidR="001D4DED" w:rsidRPr="00EC1C41" w:rsidRDefault="001D4DED" w:rsidP="001D4DED">
      <w:pPr>
        <w:pStyle w:val="ATHeading1"/>
      </w:pPr>
      <w:bookmarkStart w:id="0" w:name="TANumber"/>
      <w:r w:rsidRPr="00EC1C41">
        <w:t>P10_TA(2026)0</w:t>
      </w:r>
      <w:r w:rsidR="00EC1C41">
        <w:t>245</w:t>
      </w:r>
      <w:bookmarkEnd w:id="0"/>
    </w:p>
    <w:p w14:paraId="5EF5E63D" w14:textId="77777777" w:rsidR="001D4DED" w:rsidRPr="00EC1C41" w:rsidRDefault="001D4DED" w:rsidP="001D4DED">
      <w:pPr>
        <w:pStyle w:val="ATHeading2"/>
      </w:pPr>
      <w:bookmarkStart w:id="1" w:name="title"/>
      <w:r w:rsidRPr="00EC1C41">
        <w:t>Az Európai Beruházási Bank Csoport pénzügyi tevékenységei – 2025. évi éves jelentés</w:t>
      </w:r>
      <w:bookmarkEnd w:id="1"/>
    </w:p>
    <w:p w14:paraId="1A8EA314" w14:textId="77777777" w:rsidR="001D4DED" w:rsidRPr="00EC1C41" w:rsidRDefault="001D4DED" w:rsidP="001D4DED">
      <w:pPr>
        <w:rPr>
          <w:i/>
          <w:vanish/>
        </w:rPr>
      </w:pPr>
      <w:r w:rsidRPr="00EC1C41">
        <w:rPr>
          <w:i/>
        </w:rPr>
        <w:fldChar w:fldCharType="begin"/>
      </w:r>
      <w:r w:rsidRPr="00EC1C41">
        <w:rPr>
          <w:i/>
        </w:rPr>
        <w:instrText xml:space="preserve"> TC"(</w:instrText>
      </w:r>
      <w:bookmarkStart w:id="2" w:name="DocNumber"/>
      <w:r w:rsidRPr="00EC1C41">
        <w:rPr>
          <w:i/>
        </w:rPr>
        <w:instrText>A10-0170/2026</w:instrText>
      </w:r>
      <w:bookmarkEnd w:id="2"/>
      <w:r w:rsidRPr="00EC1C41">
        <w:rPr>
          <w:i/>
        </w:rPr>
        <w:instrText xml:space="preserve"> - Előadó: Joachim Streit)"\l3 \n&gt; \* MERGEFORMAT </w:instrText>
      </w:r>
      <w:r w:rsidRPr="00EC1C41">
        <w:rPr>
          <w:i/>
        </w:rPr>
        <w:fldChar w:fldCharType="end"/>
      </w:r>
    </w:p>
    <w:p w14:paraId="6D1305D6" w14:textId="77777777" w:rsidR="001D4DED" w:rsidRPr="00EC1C41" w:rsidRDefault="001D4DED" w:rsidP="001D4DED">
      <w:pPr>
        <w:rPr>
          <w:vanish/>
        </w:rPr>
      </w:pPr>
      <w:bookmarkStart w:id="3" w:name="Commission"/>
      <w:r w:rsidRPr="00EC1C41">
        <w:rPr>
          <w:vanish/>
        </w:rPr>
        <w:t>Költségvetési Bizottság</w:t>
      </w:r>
      <w:bookmarkEnd w:id="3"/>
    </w:p>
    <w:p w14:paraId="0DD3DF34" w14:textId="77777777" w:rsidR="001D4DED" w:rsidRPr="00EC1C41" w:rsidRDefault="001D4DED" w:rsidP="001D4DED">
      <w:pPr>
        <w:rPr>
          <w:vanish/>
        </w:rPr>
      </w:pPr>
      <w:bookmarkStart w:id="4" w:name="PE"/>
      <w:r w:rsidRPr="00EC1C41">
        <w:rPr>
          <w:vanish/>
        </w:rPr>
        <w:t>PE784.507</w:t>
      </w:r>
      <w:bookmarkEnd w:id="4"/>
    </w:p>
    <w:p w14:paraId="14267621" w14:textId="0F646A7C" w:rsidR="001D4DED" w:rsidRPr="00EC1C41" w:rsidRDefault="001D4DED" w:rsidP="001D4DED">
      <w:pPr>
        <w:pStyle w:val="ATHeading3"/>
      </w:pPr>
      <w:bookmarkStart w:id="5" w:name="Sujet"/>
      <w:r w:rsidRPr="00EC1C41">
        <w:t xml:space="preserve">Az Európai Parlament 2026. </w:t>
      </w:r>
      <w:r w:rsidR="00487B73" w:rsidRPr="00EC1C41">
        <w:t>július</w:t>
      </w:r>
      <w:r w:rsidRPr="00EC1C41">
        <w:t xml:space="preserve"> </w:t>
      </w:r>
      <w:r w:rsidR="00487B73" w:rsidRPr="00EC1C41">
        <w:t>7-</w:t>
      </w:r>
      <w:r w:rsidRPr="00EC1C41">
        <w:t>i állásfoglalása az Európai Beruházási Bank Csoport pénzügyi tevékenységeiről – 2025. évi éves jelentés</w:t>
      </w:r>
      <w:bookmarkEnd w:id="5"/>
      <w:r w:rsidRPr="00EC1C41">
        <w:t xml:space="preserve"> </w:t>
      </w:r>
      <w:bookmarkStart w:id="6" w:name="References"/>
      <w:r w:rsidRPr="00EC1C41">
        <w:t>(2025/2213(INI))</w:t>
      </w:r>
      <w:bookmarkEnd w:id="6"/>
    </w:p>
    <w:p w14:paraId="5CD0FA05" w14:textId="77777777" w:rsidR="00750E98" w:rsidRPr="00EC1C41" w:rsidRDefault="00750E98" w:rsidP="00487B73">
      <w:pPr>
        <w:pStyle w:val="Normal12"/>
        <w:spacing w:before="360"/>
      </w:pPr>
      <w:r w:rsidRPr="00EC1C41">
        <w:rPr>
          <w:i/>
        </w:rPr>
        <w:t>Az Európai Parlament</w:t>
      </w:r>
      <w:r w:rsidRPr="00EC1C41">
        <w:t>,</w:t>
      </w:r>
    </w:p>
    <w:p w14:paraId="581477DE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Európai Unióról szóló szerződés 2. és 3. cikkére,</w:t>
      </w:r>
    </w:p>
    <w:p w14:paraId="244768A0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Európai Unió működéséről szóló szerződés 15., 126., 174., 175., 177., 208., 209., 271., 308. és 309. cikkére, valamint a Szerződésekhez csatolt, az Európai Beruházási Bank (EBB) alapokmányáról szóló 5. jegyzőkönyvre,</w:t>
      </w:r>
    </w:p>
    <w:p w14:paraId="628587F5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Európai Atomenergia-közösséget létrehozó szerződés 41–43. cikkére,</w:t>
      </w:r>
    </w:p>
    <w:p w14:paraId="37BDA6EF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alapokmányára,</w:t>
      </w:r>
    </w:p>
    <w:p w14:paraId="01B9EC01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csoport 2026–2028 közötti időszakra vonatkozó, 2026. január 29-én közzétett operatív tervére és 2025–2027 közötti időszakra vonatkozó, 2025. január 30-i operatív tervére,</w:t>
      </w:r>
    </w:p>
    <w:p w14:paraId="549F9949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EBB-csoport „Energiát Európának” címmel 2026. január 29-én közzétett 2025. évi tevékenységi jelentésére,</w:t>
      </w:r>
    </w:p>
    <w:p w14:paraId="09C864D6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2025. október 20-án közzétett környezetvédelmi, éghajlati és társadalmi átvilágítási eljárásaira,</w:t>
      </w:r>
    </w:p>
    <w:p w14:paraId="67D10BA7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2025. október 15-én közzétett globál stratégiai irányvonalára,</w:t>
      </w:r>
    </w:p>
    <w:p w14:paraId="59B9026C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„Európai Unió – Áttekintés” című, 2025. október 14-én közzétett 2025. évi beruházási felmérésére,</w:t>
      </w:r>
    </w:p>
    <w:p w14:paraId="299ED3A2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„Az innováció kibontakoztatása: Az uniós technológiai infrastruktúrák finanszírozási igényeinek kezelése” című, 2025. szeptember 15-én közzétett jelentésére,</w:t>
      </w:r>
    </w:p>
    <w:p w14:paraId="4D29C4FE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lastRenderedPageBreak/>
        <w:t>–</w:t>
      </w:r>
      <w:r w:rsidRPr="00EC1C41">
        <w:tab/>
        <w:t>tekintettel az EBB műveleteinek értékeléséről szóló 2022. évi jelentésre és a 2023–2025-ös munkaprogramra, amelyeket 2023. március 3-án tettek közzé,</w:t>
      </w:r>
    </w:p>
    <w:p w14:paraId="567727A1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EBB-csoport 2018. november 13-án közzétett, panaszkezelési mechanizmussal kapcsolatos eljárásaira,</w:t>
      </w:r>
    </w:p>
    <w:p w14:paraId="34381FC9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„Az EBB energiahitel-nyújtási politikája” című, 2023. május 8-án közzétett kiadványára,</w:t>
      </w:r>
    </w:p>
    <w:p w14:paraId="682822C1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 2021 és 2025 közötti időszakra szóló klímabanki ütemtervnek az EBB igazgatótanácsa által 2020. november 11-én történt elfogadására, a klímabanki ütemterv 2025. október 3-án közzétett 2. szakaszára és az EBB 2020. november 15-én közzétett új klímastratégiájára,</w:t>
      </w:r>
    </w:p>
    <w:p w14:paraId="66CA43EA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2022. február 2-i környezetvédelmi és szociális normáira,</w:t>
      </w:r>
    </w:p>
    <w:p w14:paraId="789C673C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csoport megfizethető és fenntartható lakhatásra vonatkozó cselekvési tervére,</w:t>
      </w:r>
    </w:p>
    <w:p w14:paraId="233152F9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2023. február 10-én közzétett, „EBB Global – Partnerships, People, Impact” (EBB Globál – Partnerségek, emberek, hatás) című kiadványára,</w:t>
      </w:r>
    </w:p>
    <w:p w14:paraId="3648DCC5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csoport 2017. január 6-án közzétett, a nemek közötti egyenlőségre és a nők gazdasági szerepvállalásának növelésére vonatkozó stratégiájára, valamint az EBB csoport 2026. március 3-án közzétett, a nemek közötti egyenlőségre vonatkozó III. cselekvési tervére (2026–2030),</w:t>
      </w:r>
    </w:p>
    <w:p w14:paraId="244A41E4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EBB-csoport személyzetére vonatkozó, 2023. február 3-án közzétett magatartási kódexre,</w:t>
      </w:r>
    </w:p>
    <w:p w14:paraId="4FCE96E0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EBB Ukrajnára vonatkozó szolidaritási csomagjára, amelyet az EBB igazgatótanácsa 2022. március 4-én hagyott jóvá,</w:t>
      </w:r>
    </w:p>
    <w:p w14:paraId="437F016A" w14:textId="7CDA55E9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 „Versenyképességi iránytű az EU számára” című, 2025. január 29-i bizottsági közleményre (</w:t>
      </w:r>
      <w:r w:rsidR="00487B73" w:rsidRPr="00EC1C41">
        <w:t>COM(2025)0030</w:t>
      </w:r>
      <w:r w:rsidRPr="00EC1C41">
        <w:t>),</w:t>
      </w:r>
    </w:p>
    <w:p w14:paraId="7A662AE0" w14:textId="5F1ECA7F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 „Tisztaipar-megállapodás: a versenyképességet és a dekarbonizációt szolgáló közös ütemterv” című, 2025. február 26-i bizottsági közleményre (</w:t>
      </w:r>
      <w:r w:rsidR="00487B73" w:rsidRPr="00EC1C41">
        <w:t>COM(2025)0085</w:t>
      </w:r>
      <w:r w:rsidRPr="00EC1C41">
        <w:t>),</w:t>
      </w:r>
    </w:p>
    <w:p w14:paraId="3C87DEBE" w14:textId="3B4B57E8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 Bizottság „Cselekvési terv a megfizethető energiáért: Az energiauniónkban rejlő valós érték kibontakoztatása a megfizethető, hatékony és tiszta energia minden európai számára történő biztosítása érdekében” című, 2025. február 26-i közleményére (</w:t>
      </w:r>
      <w:r w:rsidR="00487B73" w:rsidRPr="00EC1C41">
        <w:t>COM(2025)0079</w:t>
      </w:r>
      <w:r w:rsidRPr="00EC1C41">
        <w:t>),</w:t>
      </w:r>
    </w:p>
    <w:p w14:paraId="4378F32B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Mario Draghi „Az európai versenyképesség jövője” című, 2024. szeptember 9-i jelentésére,</w:t>
      </w:r>
    </w:p>
    <w:p w14:paraId="121591CA" w14:textId="54783D1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 xml:space="preserve">tekintettel az Európai Versenyképességi Alap (EVA) létrehozásáról – beleértve a védelmi kutatási és innovációs tevékenységekre vonatkozó egyedi programot–, az (EU) 2021/522, az (EU) 2021/694, az (EU) 2021/697 és az (EU) 2021/783 rendelet hatályon kívül helyezéséről, valamint az (EU) 2021/696 és az (EU) 2023/588 rendelet egyes </w:t>
      </w:r>
      <w:r w:rsidRPr="00EC1C41">
        <w:lastRenderedPageBreak/>
        <w:t>rendelkezéseinek hatályon kívül helyezéséről, továbbá az (EU) [EDIP] rendelet módosításáról szóló európai parlamenti és tanácsi rendeletre irányuló 2025. július 16-i bizottsági javaslatra (</w:t>
      </w:r>
      <w:r w:rsidR="00487B73" w:rsidRPr="00EC1C41">
        <w:t>COM(2025)0555</w:t>
      </w:r>
      <w:r w:rsidRPr="00EC1C41">
        <w:t>),</w:t>
      </w:r>
    </w:p>
    <w:p w14:paraId="6086ABB4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az Európai Bizottság, az Európai Számvevőszék és a Európai Beruházási Bank közötti, 2021 novemberében hatályba lépett háromoldalú megállapodásra,</w:t>
      </w:r>
    </w:p>
    <w:p w14:paraId="2975F082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eljárási szabályzata 55. cikkére,</w:t>
      </w:r>
    </w:p>
    <w:p w14:paraId="2C987615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–</w:t>
      </w:r>
      <w:r w:rsidRPr="00EC1C41">
        <w:tab/>
        <w:t>tekintettel a Költségvetési Bizottság jelentésére (A10-0170/2026),</w:t>
      </w:r>
    </w:p>
    <w:p w14:paraId="6FF6C8B6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A.</w:t>
      </w:r>
      <w:r w:rsidRPr="00EC1C41">
        <w:tab/>
        <w:t>mivel az EBB megállapítása szerint teljes beruházása 2025-ben rekordszintet, 100 milliárd EUR-t ért el, szemben a 2024. évi 89 milliárd EUR-val; mivel az EBB tőkeáttételi mutatóját 290%-ra emelték, ami további mozgásteret biztosít az EBB számára a beruházásokhoz és az EU közös prioritásainak támogatásához;</w:t>
      </w:r>
    </w:p>
    <w:p w14:paraId="697EDA16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B.</w:t>
      </w:r>
      <w:r w:rsidRPr="00EC1C41">
        <w:tab/>
        <w:t>mivel az EBB hozzájárul a piaci hiányosságok és a beruházási hiányok kezeléséhez azáltal, hogy katalizálja a magántőkét, miközben szilárd banki elveken alapuló, piaci alapú pénzügyi intézményként működik;</w:t>
      </w:r>
    </w:p>
    <w:p w14:paraId="42817474" w14:textId="77777777" w:rsidR="00750E98" w:rsidRPr="00EC1C41" w:rsidRDefault="00750E98" w:rsidP="00487B73">
      <w:pPr>
        <w:pStyle w:val="NormalHanging"/>
        <w:widowControl/>
        <w:ind w:left="567" w:hanging="567"/>
      </w:pPr>
      <w:r w:rsidRPr="00EC1C41">
        <w:t>C.</w:t>
      </w:r>
      <w:r w:rsidRPr="00EC1C41">
        <w:tab/>
        <w:t>mivel a Európai Beruházási Bank teljes egészében a tagállamok tulajdonában van, feladata, hogy hozzájáruljon az Unió célkitűzéseinek megvalósításához, különösen a belső piac fejlődéséhez és az Unió munkahely-teremtési, gazdasági növekedési és versenyképességi potenciáljának megerősítéséhez, valamint a kettős átálláshoz; mivel ez a megbízatás magában foglalja az uniós politikák harmadik országokban történő előmozdítását is;</w:t>
      </w:r>
    </w:p>
    <w:p w14:paraId="7B5D66A5" w14:textId="77777777" w:rsidR="00750E98" w:rsidRPr="00EC1C41" w:rsidRDefault="00750E98" w:rsidP="00487B73">
      <w:pPr>
        <w:pStyle w:val="Normal12a"/>
        <w:ind w:left="567" w:hanging="567"/>
      </w:pPr>
      <w:r w:rsidRPr="00EC1C41">
        <w:rPr>
          <w:b/>
          <w:i/>
        </w:rPr>
        <w:t>Általános megállapítások</w:t>
      </w:r>
    </w:p>
    <w:p w14:paraId="4937C658" w14:textId="77777777" w:rsidR="00750E98" w:rsidRPr="00EC1C41" w:rsidRDefault="00750E98" w:rsidP="00487B73">
      <w:pPr>
        <w:pStyle w:val="NormalHanging12a"/>
        <w:ind w:left="567" w:hanging="567"/>
      </w:pPr>
      <w:r w:rsidRPr="00EC1C41">
        <w:t>1.</w:t>
      </w:r>
      <w:r w:rsidRPr="00EC1C41">
        <w:tab/>
        <w:t>üdvözli az EBB 2024–2027-es időszakra vonatkozó stratégiai ütemtervét, amelynek célja az EU politikai prioritásainak támogatása, beleértve a beruházások mozgósítását Európa gazdasági és ipari bázisának megerősítése, az innováció, a versenyképesség, a kritikus technológiák, a biztonság és a védelem támogatása, a fenntartható növekedés, a zöld és digitális átállás, a regionális fejlesztés, a modern és kritikus infrastruktúra, többek között a szociális infrastruktúrák, például a lakhatás, az oktatás és az egészségügy, valamint a reziliens és innovatív mezőgazdasági ágazat fellendítése, valamint az európai kkv-k és induló innovatív vállalkozások megcélzása érdekében, miközben előmozdítja a nemzetközi partnerségeket és a megtakarítási és beruházási unió kiteljesítését;</w:t>
      </w:r>
    </w:p>
    <w:p w14:paraId="7BC1084A" w14:textId="77777777" w:rsidR="00750E98" w:rsidRPr="00EC1C41" w:rsidRDefault="00750E98" w:rsidP="00487B73">
      <w:pPr>
        <w:pStyle w:val="NormalHanging12a"/>
        <w:ind w:left="567" w:hanging="567"/>
      </w:pPr>
      <w:r w:rsidRPr="00EC1C41">
        <w:t>2.</w:t>
      </w:r>
      <w:r w:rsidRPr="00EC1C41">
        <w:tab/>
        <w:t>hangsúlyozza, hogy az EBB az évek során szorosan igazodott az európai prioritásokhoz; határozottan üdvözli, hogy egyre nagyobb hangsúlyt helyez az Európa versenyképességét, ipari rezilienciáját és biztonságát erősítő beruházásokra, és azok gyors és hatékony végrehajtását szorgalmazza; támogatja az EBB klímabankként betöltött szerepét, megjegyezve, hogy az éghajlat-politikai fellépést az EBB csoport első számú stratégiai prioritásaként határozták meg a 2024–2027-es időszakban – az éves beruházások jóval több mint 50%-át a zöld átállásra különítették el; felszólít a versenyképességgel kapcsolatos prioritásokba történő beruházások szintjének növelésére, különösen a kkv-k és az induló innovatív vállalkozások esetében, valamint az innovatív európai vállalatok felfuttatására, tekintettel az európai versenyképességi szakadék megszüntetésében betöltött kritikus szerepükre; hangsúlyozza, hogy az EBB-</w:t>
      </w:r>
      <w:r w:rsidRPr="00EC1C41">
        <w:lastRenderedPageBreak/>
        <w:t>nek kiegyensúlyozott portfóliót kell fenntartania, beleértve a biztonságot és a védelmet, az éghajlatvédelmet, a versenyképességet, a kohéziót, az innovációt, az együttműködést és a fejlesztést;</w:t>
      </w:r>
    </w:p>
    <w:p w14:paraId="3767F56C" w14:textId="77777777" w:rsidR="00750E98" w:rsidRPr="00EC1C41" w:rsidRDefault="00750E98" w:rsidP="00487B73">
      <w:pPr>
        <w:pStyle w:val="NormalHanging12a"/>
        <w:ind w:left="567" w:hanging="567"/>
      </w:pPr>
      <w:r w:rsidRPr="00EC1C41">
        <w:t>3.</w:t>
      </w:r>
      <w:r w:rsidRPr="00EC1C41">
        <w:tab/>
        <w:t>hangsúlyozza, hogy az EBB hiteles szereplő a nemzetközi pénzügyi piacokon, ahogy azt „AAA” hitelminősítése is mutatja; hangsúlyozza, hogy e minősítés megőrzése elengedhetetlen ahhoz, hogy kedvező feltételek mellett tudjon forrásokat szerezni, és rámutat, hogy bármilyen romlás jelentősen növelné a finanszírozási költségeket; kéri az EBB-t, hogy szorosan kövesse nyomon a kibővített védelmi tevékenységeinek „AAA” minősítésére gyakorolt hatását;</w:t>
      </w:r>
    </w:p>
    <w:p w14:paraId="2A3EF180" w14:textId="77777777" w:rsidR="00750E98" w:rsidRPr="00EC1C41" w:rsidRDefault="00750E98" w:rsidP="00487B73">
      <w:pPr>
        <w:pStyle w:val="NormalHanging12a"/>
        <w:ind w:left="567" w:hanging="567"/>
      </w:pPr>
      <w:r w:rsidRPr="00EC1C41">
        <w:t>4.</w:t>
      </w:r>
      <w:r w:rsidRPr="00EC1C41">
        <w:tab/>
        <w:t>hangsúlyozza az EBB kulcsfontosságú szerepét a köz- és magánfinanszírozás mozgósításában a beruházási hiányok kezelése és az Unió gazdasági rezilienciájának megerősítése érdekében a kihívásokkal teli globális környezetben; emlékeztet arra, hogy a határokon átnyúló koordináció, a tőkepiaci integráció és az egységes piac megfelelő működése alapvető fontosságú; kéri a Bizottságot és az EBB-t, hogy teljes mértékben használják ki az EBB-ben rejlő lehetőségeket, és szabadítsa fel a zöld, digitális és társadalmi átálláshoz szükséges finanszírozást;</w:t>
      </w:r>
    </w:p>
    <w:p w14:paraId="4BC376FE" w14:textId="77777777" w:rsidR="00750E98" w:rsidRPr="00EC1C41" w:rsidRDefault="00750E98" w:rsidP="00487B73">
      <w:pPr>
        <w:pStyle w:val="NormalHanging12a"/>
        <w:ind w:left="567" w:hanging="567"/>
      </w:pPr>
      <w:r w:rsidRPr="00EC1C41">
        <w:t>5.</w:t>
      </w:r>
      <w:r w:rsidRPr="00EC1C41">
        <w:tab/>
        <w:t>hangsúlyozza, hogy az uniós szintű fellépésnek ki kell egészítenie, nem pedig kiszorítania kell a tagállamok beruházásait; ezért megfelelő rugalmasságot kér az EBB támogathatósági és értékelési keretén belül a nemzeti és regionális beruházási igények kielégítése érdekében; emlékeztet arra, hogy az állami fejlesztési bankoknak és a közintézményeknek csökkenteniük kell az életképes projektek kockázatát ott, ahol piaci hiányosságok állnak fenn, anélkül, hogy helyettesítenék a magántőkét; hangsúlyozza továbbá, hogy az EBB-nek kulcsszerepet kell játszania annak biztosításában, hogy a kereskedelmi és az állami bankok egyaránt beruházhassanak az európai védelmi ágazatba; megjegyzi, hogy az EU fenntartható finanszírozási keretei nem vezetnek be általános korlátozásokat a védelmi beruházásokra;</w:t>
      </w:r>
    </w:p>
    <w:p w14:paraId="24B8D0A8" w14:textId="77777777" w:rsidR="00750E98" w:rsidRPr="00EC1C41" w:rsidRDefault="00750E98" w:rsidP="00487B73">
      <w:pPr>
        <w:pStyle w:val="NormalHanging12a"/>
        <w:ind w:left="567" w:hanging="567"/>
      </w:pPr>
      <w:r w:rsidRPr="00EC1C41">
        <w:t>6.</w:t>
      </w:r>
      <w:r w:rsidRPr="00EC1C41">
        <w:tab/>
        <w:t>üdvözli azt a felhívást, hogy a következő többéves pénzügyi keretben erősítsék meg az EBB-t annak érdekében, hogy pénzügyi támogatást tudjon nyújtani az EU közös prioritásaihoz, különösen az EVA-InvestEU keret és a Globális Európa Alap keretében, valamint olyan pénzügyi eszközök és költségvetési garanciák révén, amelyek rendkívül hatékonynak bizonyultak a kulcsfontosságú uniós szakpolitikai célkitűzések előmozdításában; hangsúlyozza, hogy az EBB-nek elegendő finanszírozást kell mozgósítania, likviditást kell injektálnia, és az InvestEU-n keresztül növelnie kell a magán- és közberuházások támogatására irányuló törekvéseket; a 2028–2034 közötti időszakra vonatkozó többéves pénzügyi keretről szóló időközi jelentésével összhangban felszólít a sikeres uniós programok, például az InvestEU megerősítésére és az EBB csoporttal való megerősített beruházási partnerségre, biztosítva, hogy minden uniós szinten elköltött eurót a lehető leghatékonyabb és leghatásosabb módon használjanak fel;</w:t>
      </w:r>
    </w:p>
    <w:p w14:paraId="61298376" w14:textId="77777777" w:rsidR="00750E98" w:rsidRPr="00EC1C41" w:rsidRDefault="00750E98" w:rsidP="00487B73">
      <w:pPr>
        <w:pStyle w:val="NormalHanging12a"/>
        <w:ind w:left="567" w:hanging="567"/>
      </w:pPr>
      <w:r w:rsidRPr="00EC1C41">
        <w:t>7.</w:t>
      </w:r>
      <w:r w:rsidRPr="00EC1C41">
        <w:tab/>
        <w:t>hangsúlyozza, hogy az EBB által nyújtott finanszírozás és más uniós eszközök közötti fokozott kiegészítő jelleg és szinergiák nagy jelentőséggel bírnak a hatás maximalizálása és a koherens területi beruházási stratégiák biztosítása szempontjából; kéri az EBB-t és a Bizottságot, hogy dolgozzanak ki egyértelmű koordinációs kereteket, amelyek megkönnyítik ezen eszközök projektszintű közös használatát;</w:t>
      </w:r>
    </w:p>
    <w:p w14:paraId="10A53C2F" w14:textId="77777777" w:rsidR="00750E98" w:rsidRPr="00EC1C41" w:rsidRDefault="00750E98" w:rsidP="00487B73">
      <w:pPr>
        <w:pStyle w:val="NormalHanging12a"/>
        <w:ind w:left="567" w:hanging="567"/>
      </w:pPr>
      <w:r w:rsidRPr="00EC1C41">
        <w:lastRenderedPageBreak/>
        <w:t>8.</w:t>
      </w:r>
      <w:r w:rsidRPr="00EC1C41">
        <w:tab/>
        <w:t>felhívja az EBB-t, hogy játsszon aktív szerepet a Helyreállítási és Rezilienciaépítési Eszköz keretében kezdeményezett projektek folytonosságának és befejezésének támogatásában, megőrizve a célkitűzéseket a határidő után is; hangsúlyozza, hogy az EBB által nyújtott finanszírozás és technikai segítség döntő szerepet játszhat annak biztosításában, hogy a Helyreállítási és Rezilienciaépítési Eszköz által finanszírozott projektek elérjék a kívánt gazdasági és társadalmi hatást;</w:t>
      </w:r>
    </w:p>
    <w:p w14:paraId="2E028349" w14:textId="77777777" w:rsidR="00750E98" w:rsidRPr="00EC1C41" w:rsidRDefault="00750E98" w:rsidP="00487B73">
      <w:pPr>
        <w:pStyle w:val="NormalHanging12a"/>
        <w:ind w:left="567" w:hanging="567"/>
      </w:pPr>
      <w:r w:rsidRPr="00EC1C41">
        <w:t>9.</w:t>
      </w:r>
      <w:r w:rsidRPr="00EC1C41">
        <w:tab/>
        <w:t>ösztönzi az EBB-t, hogy folytassa az innovatív pénzügyi eszközök kidolgozását annak érdekében, hogy Európa jelentős magánmegtakarításait termelőberuházásokra mozgósítsa, különösen azáltal, hogy bevonja az intézményi befektetőket a kockázati tőke támogatásába, hozzájárulva ezzel a megtakarítási és beruházási unió előmozdításához; hangsúlyozza, hogy az EBB által támogatott beruházásoknak versenyképességi hatásvizsgálatokat kell magukban foglalniuk, biztosítva, hogy az uniós források valóban fellendítsék az innovációt, a termelékenységet és a piacbővítést a kulcsfontosságú ipari ágazatokban;</w:t>
      </w:r>
    </w:p>
    <w:p w14:paraId="31734171" w14:textId="114F5CED" w:rsidR="00750E98" w:rsidRPr="00EC1C41" w:rsidRDefault="00750E98" w:rsidP="00487B73">
      <w:pPr>
        <w:pStyle w:val="NormalHanging12a"/>
        <w:ind w:left="567" w:hanging="567"/>
      </w:pPr>
      <w:r w:rsidRPr="00EC1C41">
        <w:t>10.</w:t>
      </w:r>
      <w:r w:rsidRPr="00EC1C41">
        <w:tab/>
        <w:t>emlékeztet arra, hogy az EBB volt a zöldkötvények első kibocsátója, és jelenleg a zöldkötvények legnagyobb többdevizás kibocsátója; üdvözli, hogy 2025. április 2-án az EBB kiadta az uniós zöldkötvény-standardról szóló rendelettel</w:t>
      </w:r>
      <w:r w:rsidR="00487B73" w:rsidRPr="00EC1C41">
        <w:rPr>
          <w:rStyle w:val="FootnoteReference"/>
        </w:rPr>
        <w:footnoteReference w:id="1"/>
      </w:r>
      <w:r w:rsidRPr="00EC1C41">
        <w:t xml:space="preserve"> összhangban lévő első éghajlattudatossági kötvényt; kiemeli az EBB döntő fontosságú szerepét a zöldkötvények piacának fejlesztésében, finanszírozási megoldásokat kínálva a fenntartható vállalatok számára;</w:t>
      </w:r>
    </w:p>
    <w:p w14:paraId="2DA24F30" w14:textId="77777777" w:rsidR="00750E98" w:rsidRPr="00EC1C41" w:rsidRDefault="00750E98" w:rsidP="00487B73">
      <w:pPr>
        <w:pStyle w:val="Normal12a"/>
        <w:ind w:left="567" w:hanging="567"/>
      </w:pPr>
      <w:r w:rsidRPr="00EC1C41">
        <w:rPr>
          <w:b/>
          <w:i/>
        </w:rPr>
        <w:t xml:space="preserve">Az innováció ösztönzése a technológiai vezető szerep érdekében </w:t>
      </w:r>
    </w:p>
    <w:p w14:paraId="46C4B4B0" w14:textId="77777777" w:rsidR="00750E98" w:rsidRPr="00EC1C41" w:rsidRDefault="00750E98" w:rsidP="00487B73">
      <w:pPr>
        <w:pStyle w:val="NormalHanging12a"/>
        <w:ind w:left="567" w:hanging="567"/>
      </w:pPr>
      <w:r w:rsidRPr="00EC1C41">
        <w:t>11.</w:t>
      </w:r>
      <w:r w:rsidRPr="00EC1C41">
        <w:tab/>
        <w:t xml:space="preserve">aggodalmát fejezi ki amiatt, hogy fennáll a veszélye annak, hogy az EU tőkéje, tehetségei és innovációs kapacitásai átáramlanak a gyorsabb ütemben fejlődő globális versenytársakhoz, és hogy az EU továbbra is lemaradásban van a kulcsfontosságú alaptechnológiák fejlesztése terén; üdvözli a TechEU program elindítását, amely a sikeres „európai technológiai bajnokok” kezdeményezésre épül, és 250 milliárd EUR összegű beruházást mozgósít; kéri, hogy ez a program részesítse előnyben azokat a beruházásokat, amelyek képesek globálisan versenyezni és hozzájárulni a hosszú távú fenntartható növekedéshez, valamint erősítse meg az európai ellátási láncokat és csökkentse a stratégiai függőségeket; hangsúlyozza, hogy növelni kell a hosszú távú reziliencia szempontjából kritikus fontosságú európai technológiákba és ágazatokba, többek között a félvezetőkbe, az akkumulátor-értékláncokba, a digitális szuverenitásba és a tiszta technológiák gyártásába irányuló beruházásokat; ösztönzi az EBB-t, hogy növelje a 2027-ig tervezett finanszírozás arányát; felszólít a TechEU program forrásainak kiegyensúlyozott és átfogó elosztására a kkv-k, valamint az induló és a növekvő innovatív vállalkozások számára annak biztosítása érdekében, hogy a versenyképességet más alapvető célkitűzések mellett megfelelően támogassák; hangsúlyozza, hogy fel kell gyorsítani az ilyen programok bevezetését annak érdekében, hogy lépést lehessen tartani az innováció és az induló innovatív vállalkozások ütemével; </w:t>
      </w:r>
      <w:r w:rsidRPr="00EC1C41">
        <w:lastRenderedPageBreak/>
        <w:t>felszólít az Európai Beruházási Alap uniós kockázatitőke-ökoszisztémára szánt költségvetésének növelésére;</w:t>
      </w:r>
    </w:p>
    <w:p w14:paraId="03548C06" w14:textId="3E77B2F1" w:rsidR="00750E98" w:rsidRPr="00EC1C41" w:rsidRDefault="00750E98" w:rsidP="00487B73">
      <w:pPr>
        <w:pStyle w:val="NormalHanging12a"/>
        <w:ind w:left="567" w:hanging="567"/>
      </w:pPr>
      <w:r w:rsidRPr="00EC1C41">
        <w:t>12.</w:t>
      </w:r>
      <w:r w:rsidRPr="00EC1C41">
        <w:tab/>
        <w:t>megjegyzi, hogy 2025-ben az EBB finanszírozásának közel 60%-át az alacsony szén-dioxid-kibocsátású gazdaságra való átállásra fordították; felhívja az EBB-t, hogy erősítse meg a versenyképességet és a gazdasági biztonságot azáltal, hogy lehetővé teszi a kiszámítható, inkluzív, méltányos és megfizethető átállást, anélkül, hogy indokolatlan terhet róna az iparra és a háztartásokra; hangsúlyozza, hogy az éghajlat-politikai és környezetvédelmi beruházások hozzájárulhatnak Európa ipari bázisának, termelékenységének és globális versenyképességének megerősítéséhez; támogatja az ipari értékláncokon belüli beruházásokat, beleértve a dekarbonizáció gazdaságilag fenntartható módjait lehetővé tevő alacsony szén-dioxid-kibocsátású technológiákat is, amennyiben az ilyen beruházásokat az innováció vezérli, illetve azok egyértelmű potenciállal rendelkeznek a piaci versenyképesség és az európai stratégiai autonómia fokozására;</w:t>
      </w:r>
      <w:r w:rsidR="00EC1C41">
        <w:t xml:space="preserve"> </w:t>
      </w:r>
      <w:r w:rsidR="00EC1C41" w:rsidRPr="00EC1C41">
        <w:t>felhívja az EBB-t, hogy az alacsony szén-dioxid-kibocsátású energetikai projektek – többek között az atomenergia – finanszírozása során alkalmazzon technológiasemleges értékelési kritériumokat, például az életciklusra vetített szén-dioxid-intenzitást és a hálózati stabilitást, teljes mértékben tiszteletben tartva ugyanakkor az egyes tagállamok szuverén jogát saját energiaszerkezetük meghatározására</w:t>
      </w:r>
      <w:r w:rsidR="00EC1C41">
        <w:t>;</w:t>
      </w:r>
    </w:p>
    <w:p w14:paraId="5D8C6B9D" w14:textId="77777777" w:rsidR="00750E98" w:rsidRPr="00EC1C41" w:rsidRDefault="00750E98" w:rsidP="00487B73">
      <w:pPr>
        <w:pStyle w:val="NormalHanging12a"/>
        <w:ind w:left="567" w:hanging="567"/>
      </w:pPr>
      <w:r w:rsidRPr="00EC1C41">
        <w:t>13.</w:t>
      </w:r>
      <w:r w:rsidRPr="00EC1C41">
        <w:tab/>
        <w:t>emlékeztet arra, hogy a tiszta technológia hozzájárulhat az EU szuverenitásának és versenyképességének megerősítéséhez; üdvözli, hogy az EBB igazodik az EU fenntartható finanszírozási keretéhez, beleértve az uniós taxonómia kritériumainak integrálását is; folyamatos beruházásokra szólít fel, amelyek egyértelmű és mérhető hatást gyakorolnak a kibocsátáscsökkentésre; hangsúlyozza, hogy szükség van az éghajlatváltozáshoz való alkalmazkodásra és az éghajlatváltozással szembeni rezilienciára irányuló beruházásokra; ösztönzi az éghajlatváltozásra való felkészültséggel kapcsolatos kutatásba és fejlesztésbe, valamint az innovatív technológiákba történő beruházást; üdvözli az EBB és az Európai Környezetvédelmi Ügynökség megállapodását a biológiai sokféleséggel és az éghajlatváltozással kapcsolatos intézkedések terén folytatott együttműködésük elmélyítéséről; elvárja, hogy az EBB kihasználja technikai segítségnyújtási és tanácsadási szolgáltatásait, különösen a megújuló energiához való megfizethető hozzáférést biztosító projektek támogatása érdekében, különös tekintettel az energiaárak csökkentésére és az energiaellátás biztonságának garantálására, többek között a kiszolgáltatott helyzetben lévő háztartások számára is;</w:t>
      </w:r>
    </w:p>
    <w:p w14:paraId="6F095108" w14:textId="77777777" w:rsidR="00750E98" w:rsidRPr="00EC1C41" w:rsidRDefault="00750E98" w:rsidP="00487B73">
      <w:pPr>
        <w:pStyle w:val="NormalHanging12a"/>
        <w:ind w:left="567" w:hanging="567"/>
      </w:pPr>
      <w:r w:rsidRPr="00EC1C41">
        <w:t>14.</w:t>
      </w:r>
      <w:r w:rsidRPr="00EC1C41">
        <w:tab/>
        <w:t>tudomásul veszi, hogy az EBB 2025-ben 16 milliárd EUR összegű finanszírozást nyújtott kisvállalkozások és induló innovatív vállalkozások számára; hangsúlyozza, hogy a finanszírozáshoz, különösen a kockázati tőkéhez, a magántőkéhez és a növekvő innovatív vállalkozások finanszírozásához való hozzáférés javítása elengedhetetlen a versenyképes európai vállalkozások növekedésének és nemzetközivé tételének támogatásához; fokozott erőfeszítéseket kér a gyorsan növekvő vállalatok finanszírozási hiányának megszüntetése, valamint egy dinamikusabb és integráltabb európai tőkepiac előmozdítása érdekében; úgy véli, hogy a kkv-k és a növekvő innovatív vállalkozások globális versenyképességének biztosítása érdekében fokozni kell az arra irányuló erőfeszítéseket, hogy további forrásokat mozgósítsanak e vállalkozások számára; felhívja az EBB-t, hogy Unió-szerte növelje a kkv-k finanszírozását; ösztönzi az EBA-t, hogy indítson több kezdeményezést az induló és a növekvő innovatív vállalkozások támogatására;</w:t>
      </w:r>
    </w:p>
    <w:p w14:paraId="53769F6F" w14:textId="70368CD5" w:rsidR="00750E98" w:rsidRPr="00EC1C41" w:rsidRDefault="00750E98" w:rsidP="00487B73">
      <w:pPr>
        <w:pStyle w:val="NormalHanging12a"/>
        <w:ind w:left="567" w:hanging="567"/>
      </w:pPr>
      <w:r w:rsidRPr="00EC1C41">
        <w:lastRenderedPageBreak/>
        <w:t>15.</w:t>
      </w:r>
      <w:r w:rsidRPr="00EC1C41">
        <w:tab/>
        <w:t>felhívja az EBB-t, hogy egyszerűsítse tovább és gyorsítsa fel a pályázati és jóváhagyási eljárásokat, csökkentse az adminisztratív terheket és erősítse meg a kis kedvezményezettek, köztük a helyi és regionális hatóságok, az önkormányzatok, a kkv-k és az induló innovatív vállalkozások támogatását annak biztosítása révén, hogy az előfeltételek és a beszámolási követelmények a pénzügyi standardok veszélyeztetése nélkül arányosak legyenek a támogatás értékével és/vagy a kedvezményezett méretével, és a hatékonyság, a gazdasági életképesség és a mérhető hatás alapján ossza el a finanszírozást; különösen azt szorgalmazza, hogy – többek között az InvestEU és az EBA keretében alkalmazott támogathatósági kritériumok és eljárások egyszerűsítése, valamint jobb technikai segítség nyújtása révén – javítsák a kkv-k és az induló innovatív vállalkozások finanszírozási eszközökhöz való hozzáférését, különösen a kevésbé fejlett és vidéki régiókban; felszólít továbbá a finanszírozás hatékonyság, gazdasági életképesség és mérhető hatás alapján történő elosztására, valamint arányos utólagos értékelésekre az erőforrások hatékony felhasználásának és a magánberuházások bevonásának biztosítása érdekében;</w:t>
      </w:r>
      <w:r w:rsidR="00EC1C41">
        <w:t xml:space="preserve"> </w:t>
      </w:r>
      <w:r w:rsidR="00EC1C41" w:rsidRPr="00EC1C41">
        <w:t>aggodalmát fejezi ki amiatt, hogy a kedvezményezettekre rótt aránytalan környezeti, társadalmi és irányítási jelentéstételi követelmények elriasztják a gazdaságilag életképes projekteket, és versenyhátrányba hozzák az európai vállalkozásokat, és felhívja az EBB-t, hogy az arányosság biztosítása érdekében vizsgálja felül ezeket a követelményeket;</w:t>
      </w:r>
    </w:p>
    <w:p w14:paraId="08CF4529" w14:textId="77777777" w:rsidR="00750E98" w:rsidRPr="00EC1C41" w:rsidRDefault="00750E98" w:rsidP="00EC1C41">
      <w:pPr>
        <w:pStyle w:val="Normal12a"/>
      </w:pPr>
      <w:r w:rsidRPr="00EC1C41">
        <w:rPr>
          <w:b/>
          <w:i/>
        </w:rPr>
        <w:t>Az energiabiztonság és a kritikus fontosságú nyersanyagokkal való biztonságos ellátás finanszírozása az ipari versenyképesség érdekében</w:t>
      </w:r>
    </w:p>
    <w:p w14:paraId="129CF596" w14:textId="77777777" w:rsidR="00750E98" w:rsidRPr="00EC1C41" w:rsidRDefault="00750E98" w:rsidP="00487B73">
      <w:pPr>
        <w:pStyle w:val="NormalHanging12a"/>
        <w:ind w:left="567" w:hanging="567"/>
      </w:pPr>
      <w:r w:rsidRPr="00EC1C41">
        <w:t>16.</w:t>
      </w:r>
      <w:r w:rsidRPr="00EC1C41">
        <w:tab/>
        <w:t>kiemeli, hogy az ipari versenyképesség kiszámítható és megfizethető energiaárakra épül; emlékeztet arra, hogy az energiaingadozás a geopolitikai kihívások és az ellátási korlátok miatt továbbra is strukturális kockázatot jelent az EU gazdaságára nézve; megjegyzi, hogy az EBB 2026-ban a versenyképesség és a biztonság megerősítésére összpontosít; felhívja az EBB-t, hogy támogassa az energetikai infrastrukturális projekteket, beleértve az Európai Hálózatfinanszírozási Eszköz keretében finanszírozott projekteket is, hogy csökkentse az energiaárakat a háztartások és a vállalkozások számára, és fokozza az energiaellátást;</w:t>
      </w:r>
    </w:p>
    <w:p w14:paraId="2A863E1B" w14:textId="77777777" w:rsidR="00750E98" w:rsidRPr="00EC1C41" w:rsidRDefault="00750E98" w:rsidP="00487B73">
      <w:pPr>
        <w:pStyle w:val="NormalHanging12a"/>
        <w:ind w:left="567" w:hanging="567"/>
      </w:pPr>
      <w:r w:rsidRPr="00EC1C41">
        <w:t>17.</w:t>
      </w:r>
      <w:r w:rsidRPr="00EC1C41">
        <w:tab/>
        <w:t>megelégedéssel veszi tudomásul, hogy 2025-ben az EBB 33 milliárd EUR összegű finanszírozást nyújtott Európa energiabiztonságának támogatására, összesen 108 milliárd EUR összegű beruházást eszközölve, amelyből 2025-ben 11 milliárd EUR-t a megújuló energiaforrásokra fordítottak; kéri, hogy az éghajlat- és energiapolitikákat pragmatikus módon hajtsák végre, biztosítva a költséghatékony megoldások finanszírozását, összhangban az uniós taxonómiával, és olyan mérhető gazdasági hatások vezéreljék őket, amelyek garantálják a megfizethető energiát, a stratégiai függetlenséget és a rendszer megbízhatóságát, valamint az infrastruktúra fejlesztését; emlékeztet arra, hogy az igazságos átmenet az EBB éghajlat-politikai ütemtervének egyik pillére, és üdvözli az EBB annak biztosítására irányuló erőfeszítéseit, hogy az alacsony szén-dioxid-kibocsátású gazdaságra való átállás társadalmilag méltányos és fenntartható legyen, és senkit ne hagyjon hátra;</w:t>
      </w:r>
    </w:p>
    <w:p w14:paraId="7B0957A3" w14:textId="385F0C83" w:rsidR="00750E98" w:rsidRPr="00EC1C41" w:rsidRDefault="00750E98" w:rsidP="00487B73">
      <w:pPr>
        <w:pStyle w:val="NormalHanging12a"/>
        <w:ind w:left="567" w:hanging="567"/>
      </w:pPr>
      <w:r w:rsidRPr="00EC1C41">
        <w:t>18.</w:t>
      </w:r>
      <w:r w:rsidRPr="00EC1C41">
        <w:tab/>
        <w:t xml:space="preserve">kiemeli, hogy a kritikus fontosságú nyersanyagokkal való ellátás biztonsága kulcsfontosságú a zöld és digitális átállás, a védelmi ágazat, és általában az uniós ipari bázis szempontjából; emlékeztet az EBB által az Európai Nyersanyagszövetségben betöltött szerepre és az Unió azon céljára, hogy a kritikus fontosságú nyersanyagok ellátása nagyobb fokú autonómiára tegyen szert; hangsúlyozza annak fontosságát, hogy a kritikus fontosságú nyersanyagok tekintetében a körforgásos gazdaság megközelítést </w:t>
      </w:r>
      <w:r w:rsidRPr="00EC1C41">
        <w:lastRenderedPageBreak/>
        <w:t>alkalmazzák az újrafeldolgozás és újrafelhasználás alapján, az EU harmadik országoktól való függőségének csökkentése és stratégiai autonómiájának növelése érdekében; felhívja ezért az EBB-t, hogy ruházzon be többet a kritikus fontosságú nyersanyagok ágazatába a nyersanyagok rezilienciájának fokozása érdekében, különös tekintettel a kritikus fontosságú nyersanyagokról szóló jogszabály</w:t>
      </w:r>
      <w:r w:rsidR="00487B73" w:rsidRPr="00EC1C41">
        <w:rPr>
          <w:rStyle w:val="FootnoteReference"/>
        </w:rPr>
        <w:footnoteReference w:id="2"/>
      </w:r>
      <w:r w:rsidRPr="00EC1C41">
        <w:t xml:space="preserve"> céljainak elérésére, nevezetesen a másodlagos nyersanyagok kitermelésére, újrafeldolgozására és feldolgozására;</w:t>
      </w:r>
    </w:p>
    <w:p w14:paraId="30741382" w14:textId="77777777" w:rsidR="00750E98" w:rsidRPr="00EC1C41" w:rsidRDefault="00750E98" w:rsidP="00487B73">
      <w:pPr>
        <w:pStyle w:val="NormalHanging12a"/>
        <w:ind w:left="567" w:hanging="567"/>
      </w:pPr>
      <w:r w:rsidRPr="00EC1C41">
        <w:t>19.</w:t>
      </w:r>
      <w:r w:rsidRPr="00EC1C41">
        <w:tab/>
        <w:t>a kritikus fontosságú nyersanyagokkal kapcsolatos uniós szintű koordináció megerősítését szorgalmazza, ideértve az EBB, az exporthitel-ügynökségek és más állami pénzügyi intézmények közötti szorosabb együttműködést is; megjegyzi, hogy az EU lemaradt versenytársaitól, például Kanadától, az Egyesült Államoktól és Ausztráliától, amelyek összehangoltabb „összkormányzati” finanszírozási megközelítéseket alkalmaznak; hangsúlyozza, hogy a kritikus fontosságú nyersanyagokkal kapcsolatos valamennyi támogatott projektnek magas szintű környezetvédelmi és szociális normáknak kell megfelelnie; felhívja az EBB-t, hogy javítsa a kritikus fontosságú nyersanyagokról szóló jogszabályban meghatározott kritikus fontosságú nyersanyagok valamennyi szakaszára kiterjedő projektek kiválasztásának és finanszírozásának átláthatóságát;</w:t>
      </w:r>
    </w:p>
    <w:p w14:paraId="701D2F7A" w14:textId="77777777" w:rsidR="00750E98" w:rsidRPr="00EC1C41" w:rsidRDefault="00750E98" w:rsidP="00487B73">
      <w:pPr>
        <w:pStyle w:val="Normal12a"/>
        <w:ind w:left="567" w:hanging="567"/>
      </w:pPr>
      <w:r w:rsidRPr="00EC1C41">
        <w:rPr>
          <w:b/>
          <w:i/>
        </w:rPr>
        <w:t>Védelem és külpolitika</w:t>
      </w:r>
    </w:p>
    <w:p w14:paraId="2AB33F93" w14:textId="77777777" w:rsidR="00750E98" w:rsidRPr="00EC1C41" w:rsidRDefault="00750E98" w:rsidP="00487B73">
      <w:pPr>
        <w:pStyle w:val="NormalHanging12a"/>
        <w:ind w:left="567" w:hanging="567"/>
      </w:pPr>
      <w:r w:rsidRPr="00EC1C41">
        <w:t>20.</w:t>
      </w:r>
      <w:r w:rsidRPr="00EC1C41">
        <w:tab/>
        <w:t>támogatja az EBB Európa biztonsági és védelmi képességeinek megerősítésére vonatkozó, 2025. márciusi cselekvési tervét; üdvözli a további 4 milliárd EUR összegű új finanszírozást, amely az EBB összes uniós beruházásának közel 5%-át teszi ki; emlékeztet arra, hogy változtak a rövid és középtávú uniós prioritások, ami jelentős nyomást gyakorolt a nemzeti költségvetésekre a védelmi és biztonsági beruházások tekintetében; hangsúlyozza, hogy tekintettel az EBB uniós célkitűzések támogatására vonatkozó megbízatására, az EBB-nek tovább kell fokoznia szerepvállalását ezekben a stratégiai ágazatokban, megőrizve ugyanakkor AAA minősítését; megjegyzi, hogy az EBB által a katonai mobilitáshoz, a stratégiai infrastruktúrához és a fejlett technológiákhoz nyújtott pénzügyi támogatás az egyik legfőbb tényező a piaci integráció előmozdítása és a közös európai érdekek megerősítése szempontjából; üdvözli az aktualizált támogathatósági kritériumokat, amelyek testre szabott pénzügyi eszközök, például kockázati hitel, tőkebefektetések és célzott hitelkeretek révén növelik a kis- és középvállalkozások és az induló innovatív vállalkozások támogatását; megjegyzi, hogy a védelmi kiadásoknak biztosítaniuk kell a stratégiai koherenciát és a kiegyensúlyozott megközelítést, és nem áshatják alá a szociális és környezetvédelmi kiadásokat vagy a régóta fennálló uniós szakpolitikákat;</w:t>
      </w:r>
    </w:p>
    <w:p w14:paraId="399AC5BE" w14:textId="77777777" w:rsidR="00750E98" w:rsidRPr="00EC1C41" w:rsidRDefault="00750E98" w:rsidP="00487B73">
      <w:pPr>
        <w:pStyle w:val="NormalHanging12a"/>
        <w:ind w:left="567" w:hanging="567"/>
      </w:pPr>
      <w:r w:rsidRPr="00EC1C41">
        <w:t>21.</w:t>
      </w:r>
      <w:r w:rsidRPr="00EC1C41">
        <w:tab/>
        <w:t xml:space="preserve">emlékeztet arra, hogy a védelmi és biztonsági iparon belül egyes stratégiai ágazatok továbbra is az EBB finanszírozási korlátozásaival szembesülnek; megjegyzi, hogy az EBB-nek a támogathatóság kiterjesztésére vonatkozó, 2025. március 21-i határozata ellenére még mindig vannak olyan akadályok, amelyek gátolják a magántőke európai biztonság érdekében történő, teljes körű mozgósítását; felhívja az EBB Kormányzótanácsát, hogy az Európai Tanács 2025. március 6-i következtetéseiben </w:t>
      </w:r>
      <w:r w:rsidRPr="00EC1C41">
        <w:lastRenderedPageBreak/>
        <w:t>foglaltaknak megfelelően folytassa az EBB védelmi iparnak nyújtott hitelezéssel kapcsolatos gyakorlatainak kiigazítását;</w:t>
      </w:r>
    </w:p>
    <w:p w14:paraId="01A0CD9D" w14:textId="77777777" w:rsidR="00750E98" w:rsidRPr="00EC1C41" w:rsidRDefault="00750E98" w:rsidP="00487B73">
      <w:pPr>
        <w:pStyle w:val="NormalHanging12a"/>
        <w:ind w:left="567" w:hanging="567"/>
      </w:pPr>
      <w:r w:rsidRPr="00EC1C41">
        <w:t>22.</w:t>
      </w:r>
      <w:r w:rsidRPr="00EC1C41">
        <w:tab/>
        <w:t>kiemeli az EU és az EBB szerepének fontosságát a nem uniós országokkal való kölcsönösen előnyös gazdasági partnerségek kiépítésében – ami az EU globális pozícióját tekintve döntő jelentőséggel bír a szabályokon alapuló multilaterális rendszer, a fenntartható fejlődés, a demokrácia, az emberi jogok, a jogállamiság előmozdítása szempontjából –, valamint a reziliens ellátási láncok és a fenntartható infrastruktúra megerősítésében; hangsúlyozza, hogy az EBB-nek szisztematikusan be kell vonnia a civil társadalmat és a helyi közösségeket a projektek tervezésének, végrehajtásának és értékelésének valamennyi szakaszába annak biztosítása érdekében, hogy a Global Gateway projektjei választ adjanak a helyi igényekre és érdemi fejlesztési eredményeket érjenek el; megjegyzi, hogy az EBB Globál döntő szerepet játszik a Global Gateway kezdeményezés keretében a fenntartható fejlődésbe történő beruházások mozgósításában, és hogy 2025-ben meghaladta a 100 milliárd EUR összegű célját, ezáltal erősítve Európa gazdasági érdekeit és piaci hozzáférését a versenyképes globális környezetben;</w:t>
      </w:r>
    </w:p>
    <w:p w14:paraId="10FCAD5F" w14:textId="77777777" w:rsidR="00750E98" w:rsidRPr="00EC1C41" w:rsidRDefault="00750E98" w:rsidP="00487B73">
      <w:pPr>
        <w:pStyle w:val="NormalHanging12a"/>
        <w:ind w:left="567" w:hanging="567"/>
      </w:pPr>
      <w:r w:rsidRPr="00EC1C41">
        <w:t>23.</w:t>
      </w:r>
      <w:r w:rsidRPr="00EC1C41">
        <w:tab/>
        <w:t>határozottan üdvözli, hogy az EBB továbbra is támogatja az ukrajnai köz- és magánszférabeli műveletek végrehajtását és megerősítését, valamint hogy az Európával való kapcsolatok megerősítése érdekében támogatja a pánafrikai kereskedelmet, infrastruktúrát és regionális integrációt; hangsúlyozza, hogy az EBB és az uniós támogatás önmagában nem elegendő Ukrajna finanszírozási szükségleteinek kielégítéséhez;</w:t>
      </w:r>
    </w:p>
    <w:p w14:paraId="4893C4DE" w14:textId="77777777" w:rsidR="00750E98" w:rsidRPr="00EC1C41" w:rsidRDefault="00750E98" w:rsidP="00487B73">
      <w:pPr>
        <w:pStyle w:val="NormalHanging12a"/>
        <w:ind w:left="567" w:hanging="567"/>
      </w:pPr>
      <w:r w:rsidRPr="00EC1C41">
        <w:t>24.</w:t>
      </w:r>
      <w:r w:rsidRPr="00EC1C41">
        <w:tab/>
        <w:t>aggodalmát fejezi ki a feltörekvő piacokon és a fejlődő gazdaságokban egy olyan időszakban jelentkező, gyorsan növekvő adósságszintek és magasabb hitelfelvételi költségek miatt, amikor egyre gyakoribbak a globális sokkok, illetve ezen országok államadóssága 55 éves csúcsra emelkedett; kiemeli az EIB a finanszírozásban betöltött fontos szerepét; üdvözli a többi multilaterális intézmény szerepét a fenntarthatatlan adósságterhek enyhítésének elősegítésében;</w:t>
      </w:r>
    </w:p>
    <w:p w14:paraId="67F45632" w14:textId="77777777" w:rsidR="00750E98" w:rsidRDefault="00750E98" w:rsidP="00487B73">
      <w:pPr>
        <w:pStyle w:val="NormalHanging12a"/>
        <w:ind w:left="567" w:hanging="567"/>
      </w:pPr>
      <w:r w:rsidRPr="00EC1C41">
        <w:t>25.</w:t>
      </w:r>
      <w:r w:rsidRPr="00EC1C41">
        <w:tab/>
        <w:t>megismétli az EBB Globálhoz intézett felhívását, hogy korlátozzák a vegyesfinanszírozási műveleteket azokra a területekre, ahol hozzáadott értéket tudnak teremteni a helyi gazdaság számára, ugyanakkor kerüljék a magántőke kiszorítását, és biztosítsák, hogy a vegyes finanszírozást ne használják fel alapvető közszolgáltatásokra, különösen egészségügyre, oktatásra és szociális védelemre; emlékeztet arra, hogy az uniós fejlesztéspolitikai céloknak és különösen az egészségügyi ellátáshoz való egyetemes és megfizethető hozzáférés javításának kell vezérelniük az EBB e területre irányuló beruházásait annak érdekében, hogy mindenki számára jobb egészségügyi eredményeket biztosítsanak;</w:t>
      </w:r>
    </w:p>
    <w:p w14:paraId="217B7807" w14:textId="17B37C22" w:rsidR="00EC1C41" w:rsidRDefault="004B6938" w:rsidP="00487B73">
      <w:pPr>
        <w:pStyle w:val="NormalHanging12a"/>
        <w:ind w:left="567" w:hanging="567"/>
      </w:pPr>
      <w:r>
        <w:t>26</w:t>
      </w:r>
      <w:r w:rsidR="00EC1C41" w:rsidRPr="00EC1C41">
        <w:t>.</w:t>
      </w:r>
      <w:r w:rsidR="00EC1C41" w:rsidRPr="00EC1C41">
        <w:tab/>
        <w:t>felszólítja a tagállamokat, hogy módosítsák az EBB kizárási listáját annak érdekében, hogy lehetővé tegyék a fegyverek és lőszerek finanszírozását, és túllépjenek a pusztán kettős felhasználású technológiákon, hozzájárulva ezáltal az európai védelmi ipar fejlődéséhez;</w:t>
      </w:r>
    </w:p>
    <w:p w14:paraId="52A55A36" w14:textId="3A1D9095" w:rsidR="00EC1C41" w:rsidRPr="00EC1C41" w:rsidRDefault="004B6938" w:rsidP="00487B73">
      <w:pPr>
        <w:pStyle w:val="NormalHanging12a"/>
        <w:ind w:left="567" w:hanging="567"/>
      </w:pPr>
      <w:r>
        <w:t>27</w:t>
      </w:r>
      <w:r w:rsidR="00EC1C41" w:rsidRPr="00EC1C41">
        <w:t>.</w:t>
      </w:r>
      <w:r w:rsidR="00EC1C41" w:rsidRPr="00EC1C41">
        <w:tab/>
        <w:t xml:space="preserve">hangsúlyozza, hogy az EBB nem uniós országoknak nyújtott hitelezésének meg kell erősítenie az EU külső prioritásait; felhívja az EBB-t, hogy a nem uniós országokra vonatkozó külső hitelezési keretébe releváns kritériumként építse be a partnerországok </w:t>
      </w:r>
      <w:r w:rsidR="00EC1C41" w:rsidRPr="00EC1C41">
        <w:lastRenderedPageBreak/>
        <w:t>hatékony együttműködését a migráció kezelése – többek között az EU-ban való tartózkodásra nem jogosult migránsok visszafogadása és visszaküldése – terén;</w:t>
      </w:r>
    </w:p>
    <w:p w14:paraId="239BA0B8" w14:textId="77777777" w:rsidR="00750E98" w:rsidRPr="00EC1C41" w:rsidRDefault="00750E98" w:rsidP="00487B73">
      <w:pPr>
        <w:pStyle w:val="Normal12a"/>
        <w:ind w:left="567" w:hanging="567"/>
      </w:pPr>
      <w:r w:rsidRPr="00EC1C41">
        <w:rPr>
          <w:b/>
          <w:i/>
        </w:rPr>
        <w:t>A kohézió, a mezőgazdaság és a lakhatás támogatása</w:t>
      </w:r>
    </w:p>
    <w:p w14:paraId="2471838B" w14:textId="1B406A57" w:rsidR="00750E98" w:rsidRPr="00EC1C41" w:rsidRDefault="004B6938" w:rsidP="00487B73">
      <w:pPr>
        <w:pStyle w:val="NormalHanging12a"/>
        <w:ind w:left="567" w:hanging="567"/>
      </w:pPr>
      <w:r>
        <w:t>28</w:t>
      </w:r>
      <w:r w:rsidR="00750E98" w:rsidRPr="00EC1C41">
        <w:t>.</w:t>
      </w:r>
      <w:r w:rsidR="00750E98" w:rsidRPr="00EC1C41">
        <w:tab/>
        <w:t>megjegyzi, hogy 2025-ben az EBB finanszírozásának mintegy fele az EU kevésbé fejlett régióiban támogatott beruházásokat, és 3 milliárd EUR-t fordítottak a mezőgazdaságra és a bioökonómiára; ösztönzi az EBB-t, hogy mélyítse el az együttműködést a nemzeti fejlesztési bankokkal és a regionális pénzügyi intézményekkel az uniós finanszírozás területi hatásának maximalizálása és a regionális beruházási egyenlőtlenségek csökkentése érdekében; vegyes finanszírozás alkalmazására szólít fel az uniós kohéziós alapoknak az EBB eszközeivel való ötvözése révén; hangsúlyozza, hogy a közvetlen finanszírozáshoz való hozzáférés valamennyi régióban történő biztosítása elengedhetetlen a gazdasági konvergencia, valamint a gazdasági és területi kohézió előmozdításához, és hogy ez az élelmezésbiztonság megerősítésével együtt alapvető fontosságú az EU stratégiai autonómiája szempontjából; felhívja az EBB-t, hogy mozgósítson kiszámítható és elegendő finanszírozást a fiatal mezőgazdasági termelők számára;</w:t>
      </w:r>
    </w:p>
    <w:p w14:paraId="31D03706" w14:textId="113C46A7" w:rsidR="00750E98" w:rsidRPr="00EC1C41" w:rsidRDefault="004B6938" w:rsidP="00487B73">
      <w:pPr>
        <w:pStyle w:val="NormalHanging12a"/>
        <w:ind w:left="567" w:hanging="567"/>
      </w:pPr>
      <w:r>
        <w:t>29</w:t>
      </w:r>
      <w:r w:rsidR="00750E98" w:rsidRPr="00EC1C41">
        <w:t>.</w:t>
      </w:r>
      <w:r w:rsidR="00750E98" w:rsidRPr="00EC1C41">
        <w:tab/>
        <w:t>az EBB csoport mezőgazdasági és kohéziós politikához nyújtott támogatásának megőrzését szorgalmazza, ideértve a pénzügyi eszközök szélesebb körű felhasználását is az uniós támogatások mozgósítása és a magánberuházások vonzása érdekében; kiemeli az EBB és a Bizottság által a végrehajtó hatóságoknak nyújtott közös technikai segítségnyújtás megfelelő finanszírozásának hozzáadott értékét a beruházások időben történő végrehajtásának és addicionalitásának – különösen az igazgatási kapacitás kiépítése és a beruházási portfóliók fejlesztése révén történő – biztosítása szempontjából; kéri a vegyes finanszírozás szélesebb körű alkalmazását a rosszul ellátott régiók és a kohéziós régiók megcélzása érdekében, az uniós strukturális és beruházási alapok más eszközökkel való kombinálása révén;</w:t>
      </w:r>
    </w:p>
    <w:p w14:paraId="1BDBBE9E" w14:textId="506F2D3D" w:rsidR="00750E98" w:rsidRPr="00EC1C41" w:rsidRDefault="004B6938" w:rsidP="00487B73">
      <w:pPr>
        <w:pStyle w:val="NormalHanging12a"/>
        <w:ind w:left="567" w:hanging="567"/>
      </w:pPr>
      <w:r>
        <w:t>30</w:t>
      </w:r>
      <w:r w:rsidR="00750E98" w:rsidRPr="00EC1C41">
        <w:t>.</w:t>
      </w:r>
      <w:r w:rsidR="00750E98" w:rsidRPr="00EC1C41">
        <w:tab/>
        <w:t>üdvözli az EBB csoportnak a szociális lakhatási projektek Unión belüli finanszírozására irányuló erőfeszítéseit; kéri a bankot, hogy a növekvő európai lakhatási válságra tekintettel fokozza a megfizethető lakáshoz jutás javítására irányuló tevékenységeit; ösztönzi az EBB-t, hogy a lakhatási megoldások finanszírozása és a megélhetési válság hosszú távú megoldása érdekében működjön együtt más európai állami beruházási bankokkal, helyi állami pénzügyi intézményekkel, helyi önkormányzatokkal, szövetkezeti és szociális lakásépítő társaságokkal és önkormányzatokkal;</w:t>
      </w:r>
    </w:p>
    <w:p w14:paraId="582C7A48" w14:textId="54275C51" w:rsidR="00750E98" w:rsidRPr="00EC1C41" w:rsidRDefault="004B6938" w:rsidP="00487B73">
      <w:pPr>
        <w:pStyle w:val="NormalHanging12a"/>
        <w:ind w:left="567" w:hanging="567"/>
      </w:pPr>
      <w:r>
        <w:t>31</w:t>
      </w:r>
      <w:r w:rsidR="00750E98" w:rsidRPr="00EC1C41">
        <w:t>.</w:t>
      </w:r>
      <w:r w:rsidR="00750E98" w:rsidRPr="00EC1C41">
        <w:tab/>
        <w:t>üdvözli az EBB arra irányuló erőfeszítéseit, hogy olyan projekteket támogasson, amelyek hozzájárulnak a szociális jogok európai pillérének és az ENSZ fenntartható fejlődési céljainak végrehajtásához; felkéri az EBB-t, hogy a hosszú távú, megfizethető megoldások biztosítása érdekében növelje a szociális juttatások súlyozását a projektértékelésekben;</w:t>
      </w:r>
    </w:p>
    <w:p w14:paraId="3D5BEF8D" w14:textId="77777777" w:rsidR="00750E98" w:rsidRPr="00EC1C41" w:rsidRDefault="00750E98" w:rsidP="00487B73">
      <w:pPr>
        <w:pStyle w:val="Normal12a"/>
        <w:ind w:left="567" w:hanging="567"/>
      </w:pPr>
      <w:r w:rsidRPr="00EC1C41">
        <w:rPr>
          <w:b/>
          <w:i/>
        </w:rPr>
        <w:t>Átláthatóság és elszámoltathatóság</w:t>
      </w:r>
    </w:p>
    <w:p w14:paraId="0B01D46F" w14:textId="050D837E" w:rsidR="00750E98" w:rsidRPr="00EC1C41" w:rsidRDefault="004B6938" w:rsidP="00487B73">
      <w:pPr>
        <w:pStyle w:val="NormalHanging12a"/>
        <w:ind w:left="567" w:hanging="567"/>
      </w:pPr>
      <w:r>
        <w:t>32</w:t>
      </w:r>
      <w:r w:rsidR="00750E98" w:rsidRPr="00EC1C41">
        <w:t>.</w:t>
      </w:r>
      <w:r w:rsidR="00750E98" w:rsidRPr="00EC1C41">
        <w:tab/>
        <w:t xml:space="preserve">emlékeztet arra, hogy az EBB pénzeszközei közpénzek, és azokra mindenkor vonatkozik a nyilvánosság általi ellenőrzés és az elszámoltathatóság, különösen akkor, ha azokat uniós garanciák vagy uniós költségvetési alapok támogatják; ismét kéri, hogy hozzanak létre strukturált intézményközi keretet, amely biztosítja a fokozott parlamenti felügyeletet és az információkhoz való jobb hozzáférést, a Parlament számára pedig </w:t>
      </w:r>
      <w:r w:rsidR="00750E98" w:rsidRPr="00EC1C41">
        <w:lastRenderedPageBreak/>
        <w:t>lehetőséget biztosít arra, hogy észrevételeket tegyen az EBB stratégiai irányvonalával kapcsolatban; tudomásul veszi a közvetlen külföldi befektetések 2025. évi átláthatósági indexe terén elért eredményeket, de további javításokra szólít fel; hangsúlyozza, hogy az adófizetők pénzének védelme érdekében felelősségteljes költségvetési gazdálkodásra és a források hatékony felhasználására van szükség; megjegyzi, hogy a megerősített jelentéstételi mechanizmusok elengedhetetlenek a hatékony parlamenti ellenőrzéshez;</w:t>
      </w:r>
    </w:p>
    <w:p w14:paraId="603F627D" w14:textId="727A3A1C" w:rsidR="00750E98" w:rsidRPr="00EC1C41" w:rsidRDefault="004B6938" w:rsidP="00487B73">
      <w:pPr>
        <w:pStyle w:val="NormalHanging12a"/>
        <w:ind w:left="567" w:hanging="567"/>
      </w:pPr>
      <w:r>
        <w:t>33</w:t>
      </w:r>
      <w:r w:rsidR="00750E98" w:rsidRPr="00EC1C41">
        <w:t>.</w:t>
      </w:r>
      <w:r w:rsidR="00750E98" w:rsidRPr="00EC1C41">
        <w:tab/>
        <w:t>hangsúlyozza annak fontosságát, hogy az EBB biztosítsa a finanszírozott projektek nyomonkövethetőségét; hangsúlyozza, hogy az EBB-nek kellő időben részletesebb információkat kellene közzétennie projektjeiről, beleértve azok indokolását és kontextusát, azok magyarázatát, hogy azok hogyan igazodnak az EU közös prioritásaihoz, valamint a tényleges fogadó gazdasági szereplőkre vonatkozó információkat, egyértelműen kiemelve, hogy mely projekteket támogatja az uniós költségvetés; üdvözli az EBB azon döntését, hogy az ombudsman vizsgálatát követően proaktívan közzéteszi az EU-n kívül található olyan projektek környezeti és társadalmi értékelését, amelyek valószínűleg jelentős hatást gyakorolnak ezeken a területeken;</w:t>
      </w:r>
    </w:p>
    <w:p w14:paraId="7AB25024" w14:textId="56142CFF" w:rsidR="00750E98" w:rsidRPr="00EC1C41" w:rsidRDefault="004B6938" w:rsidP="00487B73">
      <w:pPr>
        <w:pStyle w:val="NormalHanging12a"/>
        <w:ind w:left="567" w:hanging="567"/>
      </w:pPr>
      <w:r>
        <w:t>34</w:t>
      </w:r>
      <w:r w:rsidR="00750E98" w:rsidRPr="00EC1C41">
        <w:t>.</w:t>
      </w:r>
      <w:r w:rsidR="00750E98" w:rsidRPr="00EC1C41">
        <w:tab/>
        <w:t>hangsúlyozza, hogy a támogatások helyett adott esetben gondosan megtervezett ideiglenes garanciákat kell alkalmazni, korlátozva a közvetlen költségvetési hatást és előnyben részesítve a magántőke bevonását; emlékeztet arra, hogy a garanciák valódi költségvetési kockázatot jelentenek, és ugyanazoknak a szabályoknak kell rájuk vonatkozniuk, mint a közvetlen kiadásokra; hangsúlyozza, hogy a garanciák alkalmazását erős átláthatóságnak, demokratikus felügyeletnek és megfelelő kockázatértékelési mechanizmusoknak kell kísérniük; hangsúlyozza, hogy a magánbefektetőknek kell vállalniuk a kereskedelmi kockázatnak való elsődleges kitettséget, míg az EBB beavatkozásának korlátozottnak, egyértelműen meghatározottnak és ideiglenesnek kell maradnia, a magánpiaci szereplők által nem viselhető kockázatokra és a projektspecifikus kockázatcsökkentésre összpontosítva; felhívja az EBB-t, hogy a vegyesfinanszírozási műveleteket azokra a területekre korlátozza, ahol azok hozzáadott értéket teremthetnek a helyi gazdaság számára, elkerülve ugyanakkor a magántőke kiszorítását;</w:t>
      </w:r>
    </w:p>
    <w:p w14:paraId="25B96326" w14:textId="5F0F10F8" w:rsidR="00750E98" w:rsidRPr="00EC1C41" w:rsidRDefault="004B6938" w:rsidP="00487B73">
      <w:pPr>
        <w:pStyle w:val="NormalHanging12a"/>
        <w:ind w:left="567" w:hanging="567"/>
      </w:pPr>
      <w:r>
        <w:t>35</w:t>
      </w:r>
      <w:r w:rsidR="00750E98" w:rsidRPr="00EC1C41">
        <w:t>.</w:t>
      </w:r>
      <w:r w:rsidR="00750E98" w:rsidRPr="00EC1C41">
        <w:tab/>
        <w:t>kiemeli az EBB általános magas működési költségeit; ezért kéri, hogy a költséghatékonyság növelése érdekében, a bank működési hatékonyságának megőrzése mellett határozzanak meg megfelelő mérséklési intézkedéseket;</w:t>
      </w:r>
    </w:p>
    <w:p w14:paraId="541D7C33" w14:textId="600AEE3B" w:rsidR="00750E98" w:rsidRDefault="004B6938" w:rsidP="00487B73">
      <w:pPr>
        <w:pStyle w:val="NormalHanging12a"/>
        <w:ind w:left="567" w:hanging="567"/>
      </w:pPr>
      <w:r>
        <w:t>36</w:t>
      </w:r>
      <w:r w:rsidR="00750E98" w:rsidRPr="00EC1C41">
        <w:t>.</w:t>
      </w:r>
      <w:r w:rsidR="00750E98" w:rsidRPr="00EC1C41">
        <w:tab/>
        <w:t xml:space="preserve">megjegyzi, hogy az EBB csoport kettős rendszerben működik, amelynek keretében az uniós költségvetésből támogatott műveleteket közvetve a Bizottság és a Számvevőszék, valamint az uniós költségvetés mentesítéséről szóló határozatában a Parlament ellenőrzi, míg az EBB saját forrásaiból finanszírozott tagállami műveletek – az EBB műveleteinek több mint háromnegyede – nagyrészt kívül esnek a nemzeti parlamentek és az Európai Parlament szisztematikus külső ellenőrzésén és vizsgálatán; megjegyzi, hogy az EBB komoly belső elszámoltathatósági struktúrával rendelkezik, és hogy egy külső ellenőr felügyeli az EBB műveleteit és számviteli rendszerét; egyetért azzal, hogy ez a struktúra nagyjából összhangban van a nemzetközi gyakorlatokkal; megjegyzi, hogy az Európai Parlamentnek történő jelentéstétel alkalmi jellegű, hogy az európai ombudsmannal való együttműködés már nem a régi, és hogy a Számvevőszék szerepét a jelenlegi szabályok és végrehajtási rendelkezések korlátozzák; hangsúlyozza, hogy az EBB-nek kézzelfogható lépéseket kell tennie e helyzet kezelése érdekében, a Parlament állásfoglalásaiban megismételt számos felhívással, valamint a költségvetési és mentesítésért felelős európai hatóság által megfogalmazott azon kéréssel összhangban, </w:t>
      </w:r>
      <w:r w:rsidR="00750E98" w:rsidRPr="00EC1C41">
        <w:lastRenderedPageBreak/>
        <w:t>hogy a párbeszéd és az együttműködés tekintetében álljon rendelkezésre; felhívja az EBB-t, hogy aktívan vonja be a nemzeti legfőbb ellenőrző intézményeket ebbe a folyamatba a jelenleg a Számvevőszék hatáskörébe nem tartozó műveletek elszámoltathatóságának biztosítása, valamint a szigorú elszámoltathatóság és felügyelet garantálása érdekében;</w:t>
      </w:r>
    </w:p>
    <w:p w14:paraId="52B38BED" w14:textId="1E623C1B" w:rsidR="00EC1C41" w:rsidRPr="00EC1C41" w:rsidRDefault="004B6938" w:rsidP="00487B73">
      <w:pPr>
        <w:pStyle w:val="NormalHanging12a"/>
        <w:ind w:left="567" w:hanging="567"/>
      </w:pPr>
      <w:r>
        <w:t>37</w:t>
      </w:r>
      <w:r w:rsidR="00EC1C41" w:rsidRPr="00EC1C41">
        <w:t>.</w:t>
      </w:r>
      <w:r w:rsidR="00EC1C41" w:rsidRPr="00EC1C41">
        <w:tab/>
        <w:t>tudomásul veszi az EBB auditbizottságának belső felügyeleti szerepét; rámutat, hogy a likviditáskezelés területe kivételével nem kerül sor a nemzetközileg elfogadott felügyeleti standardoknak megfelelő külső prudenciális felügyeletre; ösztönzi az EBB kormányzótanácsát, hogy tekintettel az EBB üzleti modelljének méretére, összetettségére és sajátosságaira, hozzon létre megfelelő intézkedéseket a külső prudenciális felügyelet legmagasabb szintű standardjainak való megfelelés érdekében, figyelembe véve az EBB egyedi üzleti modelljéből eredő szükséges kiigazításokat;</w:t>
      </w:r>
    </w:p>
    <w:p w14:paraId="0A3290BD" w14:textId="39A89626" w:rsidR="00750E98" w:rsidRPr="00EC1C41" w:rsidRDefault="004B6938" w:rsidP="00487B73">
      <w:pPr>
        <w:pStyle w:val="NormalHanging12a"/>
        <w:ind w:left="567" w:hanging="567"/>
      </w:pPr>
      <w:r>
        <w:t>38</w:t>
      </w:r>
      <w:r w:rsidR="00750E98" w:rsidRPr="00EC1C41">
        <w:t>.</w:t>
      </w:r>
      <w:r w:rsidR="00750E98" w:rsidRPr="00EC1C41">
        <w:tab/>
        <w:t>aggodalmát fejezi ki az EBB korábbi elnöke ellen folyó korrupciós vizsgálat miatt; elvárja, hogy az Európai Ügyészség és az Európai Csalás Elleni Hivatal alaposan vizsgálja ki az ügyet, és teljes egyértelműséget vár az ügyben; emlékeztet arra, hogy a visszaéléseket és a pénzeszközök hűtlen kezelését szigorúan meg kell büntetni;</w:t>
      </w:r>
    </w:p>
    <w:p w14:paraId="50E75ED4" w14:textId="13950E71" w:rsidR="00750E98" w:rsidRPr="00EC1C41" w:rsidRDefault="004B6938" w:rsidP="00487B73">
      <w:pPr>
        <w:pStyle w:val="NormalHanging12a"/>
        <w:ind w:left="567" w:hanging="567"/>
      </w:pPr>
      <w:r>
        <w:t>39</w:t>
      </w:r>
      <w:r w:rsidR="00750E98" w:rsidRPr="00EC1C41">
        <w:t>.</w:t>
      </w:r>
      <w:r w:rsidR="00750E98" w:rsidRPr="00EC1C41">
        <w:tab/>
        <w:t>felszólít az EBB emberi jogi politikáinak megerősítésére; hangsúlyozza, hogy a környezeti és társadalmi hatásvizsgálatokat független szakértőknek kell elvégezniük, és hogy független ellenőrzési mechanizmusokat kell bevezetni az EBB ügyfelei által végzett önellenőrzés és önbeszámolók felügyeletére;</w:t>
      </w:r>
    </w:p>
    <w:p w14:paraId="572DBF62" w14:textId="5857C856" w:rsidR="00750E98" w:rsidRPr="00EC1C41" w:rsidRDefault="004B6938" w:rsidP="00487B73">
      <w:pPr>
        <w:pStyle w:val="NormalHanging12a"/>
        <w:ind w:left="567" w:hanging="567"/>
      </w:pPr>
      <w:r>
        <w:t>40</w:t>
      </w:r>
      <w:r w:rsidR="00750E98" w:rsidRPr="00EC1C41">
        <w:t>.</w:t>
      </w:r>
      <w:r w:rsidR="00750E98" w:rsidRPr="00EC1C41">
        <w:tab/>
        <w:t>elismeri az EBB arra irányuló erőfeszítéseit, hogy az EBB 2023. évi belső felmérését követően javítsa az irányítási gyakorlatokat; kéri, hogy a továbbiakban is hajtsák végre az EBB sokszínűségre, méltányosságra és befogadásra vonatkozó elveit, ideértve azt a célkitűzést is, hogy 2026 végére a vezetői pozíciók legalább 40%-át nők töltsék be;</w:t>
      </w:r>
    </w:p>
    <w:p w14:paraId="111400AD" w14:textId="3AAD696D" w:rsidR="00750E98" w:rsidRPr="00EC1C41" w:rsidRDefault="004B6938" w:rsidP="00487B73">
      <w:pPr>
        <w:pStyle w:val="NormalHanging12a"/>
        <w:ind w:left="567" w:hanging="567"/>
      </w:pPr>
      <w:r>
        <w:t>41</w:t>
      </w:r>
      <w:r w:rsidR="00750E98" w:rsidRPr="00EC1C41">
        <w:t>.</w:t>
      </w:r>
      <w:r w:rsidR="00750E98" w:rsidRPr="00EC1C41">
        <w:tab/>
        <w:t>ismételten arra kéri az EBB-t, hogy sürgősen vizsgálja felül az Igazgatási Bizottságon belüli munkamegosztást, és kéri különösen annak biztosítására, hogy az EBB alelnökei soha ne vállaljanak vezető szerepet a saját országukból eredő projektekben, még akkor sem, ha az Igazgatási Bizottság kollektív felelősséget vállal a döntésekért, tekintettel az összeférhetetlenség nyilvánvaló kockázatára; hangsúlyozza, hogy az uniós intézmények számos ajánlást fogalmaztak meg ezzel kapcsolatban;</w:t>
      </w:r>
    </w:p>
    <w:p w14:paraId="476A99CE" w14:textId="29B260CD" w:rsidR="00750E98" w:rsidRPr="00EC1C41" w:rsidRDefault="004B6938" w:rsidP="00487B73">
      <w:pPr>
        <w:pStyle w:val="NormalHanging12a"/>
        <w:ind w:left="567" w:hanging="567"/>
      </w:pPr>
      <w:r>
        <w:t>42</w:t>
      </w:r>
      <w:r w:rsidR="00750E98" w:rsidRPr="00EC1C41">
        <w:t>.</w:t>
      </w:r>
      <w:r w:rsidR="00750E98" w:rsidRPr="00EC1C41">
        <w:tab/>
        <w:t>üdvözli, hogy 2025-ben a Parlament többszöri felhívását követően az EBB készen állt arra, hogy tárgyalásokat kezdjen a Parlament és az EBB közötti megerősített együttműködésről szóló „megállapodás” létrehozása céljából; üdvözli továbbá azt a közös értelmezést, hogy a tárgyalásokat időben le kell zárni; hangsúlyozza, hogy egy ilyen „megállapodás” hivatalossá teszi és megerősíti a Parlament és az EBB közötti interakciókat, ezáltal tükrözve a szorosabb együttműködés iránti kölcsönös elkötelezettséget; megjegyzi, hogy az ilyen megállapodások hozzáadott értékét a Parlament és más uniós intézmények és szervek vagy kormányközi szervezetek között létrejött hasonló megállapodások végrehajtása is tanúsítja;</w:t>
      </w:r>
    </w:p>
    <w:p w14:paraId="5F9B4D13" w14:textId="77777777" w:rsidR="00750E98" w:rsidRPr="00EC1C41" w:rsidRDefault="00750E98" w:rsidP="00487B73">
      <w:pPr>
        <w:pStyle w:val="NormalCenter12a"/>
        <w:ind w:left="567" w:hanging="567"/>
      </w:pPr>
      <w:r w:rsidRPr="00EC1C41">
        <w:t>°</w:t>
      </w:r>
    </w:p>
    <w:p w14:paraId="63E8B88D" w14:textId="77777777" w:rsidR="00750E98" w:rsidRPr="00EC1C41" w:rsidRDefault="00750E98" w:rsidP="00487B73">
      <w:pPr>
        <w:pStyle w:val="NormalCenter12a"/>
        <w:ind w:left="567" w:hanging="567"/>
      </w:pPr>
      <w:r w:rsidRPr="00EC1C41">
        <w:t>°</w:t>
      </w:r>
      <w:r w:rsidRPr="00EC1C41">
        <w:tab/>
        <w:t>°</w:t>
      </w:r>
    </w:p>
    <w:p w14:paraId="71FCF394" w14:textId="3B386905" w:rsidR="008D03C1" w:rsidRPr="008D03C1" w:rsidRDefault="004B6938" w:rsidP="00487B73">
      <w:pPr>
        <w:pStyle w:val="NormalHanging12a"/>
        <w:ind w:left="567" w:hanging="567"/>
      </w:pPr>
      <w:r>
        <w:t>43</w:t>
      </w:r>
      <w:r w:rsidR="00750E98" w:rsidRPr="00EC1C41">
        <w:t>.</w:t>
      </w:r>
      <w:r w:rsidR="00750E98" w:rsidRPr="00EC1C41">
        <w:tab/>
        <w:t>utasítja elnökét, hogy továbbítsa ezt az állásfoglalást a Tanácsnak és a Bizottságnak.</w:t>
      </w:r>
    </w:p>
    <w:sectPr w:rsidR="008D03C1" w:rsidRPr="008D03C1" w:rsidSect="008D03C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3ADB4" w14:textId="77777777" w:rsidR="001D4DED" w:rsidRPr="008D03C1" w:rsidRDefault="001D4DED">
      <w:r w:rsidRPr="008D03C1">
        <w:separator/>
      </w:r>
    </w:p>
  </w:endnote>
  <w:endnote w:type="continuationSeparator" w:id="0">
    <w:p w14:paraId="42E150AC" w14:textId="77777777" w:rsidR="001D4DED" w:rsidRPr="008D03C1" w:rsidRDefault="001D4DED">
      <w:r w:rsidRPr="008D03C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3D2C" w14:textId="77777777" w:rsidR="00064002" w:rsidRPr="008D03C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C127E" w14:textId="77777777" w:rsidR="00064002" w:rsidRPr="008D03C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1DC62" w14:textId="77777777" w:rsidR="00064002" w:rsidRPr="008D03C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DCDE8" w14:textId="77777777" w:rsidR="001D4DED" w:rsidRPr="008D03C1" w:rsidRDefault="001D4DED">
      <w:r w:rsidRPr="008D03C1">
        <w:separator/>
      </w:r>
    </w:p>
  </w:footnote>
  <w:footnote w:type="continuationSeparator" w:id="0">
    <w:p w14:paraId="0C2E9E48" w14:textId="77777777" w:rsidR="001D4DED" w:rsidRPr="008D03C1" w:rsidRDefault="001D4DED">
      <w:r w:rsidRPr="008D03C1">
        <w:continuationSeparator/>
      </w:r>
    </w:p>
  </w:footnote>
  <w:footnote w:id="1">
    <w:p w14:paraId="433CDF4D" w14:textId="74F53C9E" w:rsidR="00487B73" w:rsidRPr="008D03C1" w:rsidRDefault="00487B73" w:rsidP="008D03C1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8D03C1">
        <w:rPr>
          <w:sz w:val="24"/>
          <w:lang w:val="hu-HU"/>
        </w:rPr>
        <w:t xml:space="preserve"> </w:t>
      </w:r>
      <w:r w:rsidRPr="008D03C1">
        <w:rPr>
          <w:sz w:val="24"/>
          <w:lang w:val="hu-HU"/>
        </w:rPr>
        <w:tab/>
        <w:t xml:space="preserve">Az Európai Parlament és a Tanács (EU) 2023/2631 rendelete (2023. november 22.) az európai zöldkötvényekről és a környezeti szempontból fenntarthatóként forgalmazott kötvényekre és a fenntarthatósághoz kapcsolódó kötvényekre vonatkozó opcionális közzétételekről (HL L, 2023/2631, 2023.11.30., ELI: </w:t>
      </w:r>
      <w:hyperlink r:id="rId1" w:tgtFrame="http://data.europa.eu/eli/reg/2023/2631/oj" w:history="1">
        <w:r w:rsidRPr="008D03C1">
          <w:rPr>
            <w:rStyle w:val="Hyperlink"/>
            <w:sz w:val="24"/>
            <w:lang w:val="hu-HU"/>
          </w:rPr>
          <w:t>http://data.europa.eu/eli/reg/2023/2631/oj</w:t>
        </w:r>
      </w:hyperlink>
      <w:r w:rsidRPr="008D03C1">
        <w:rPr>
          <w:sz w:val="24"/>
          <w:lang w:val="hu-HU"/>
        </w:rPr>
        <w:t>).</w:t>
      </w:r>
    </w:p>
  </w:footnote>
  <w:footnote w:id="2">
    <w:p w14:paraId="137CDE0B" w14:textId="272A70DB" w:rsidR="00487B73" w:rsidRPr="008D03C1" w:rsidRDefault="00487B73" w:rsidP="008D03C1">
      <w:pPr>
        <w:pStyle w:val="FootnoteText"/>
        <w:ind w:left="567" w:hanging="567"/>
        <w:rPr>
          <w:sz w:val="24"/>
          <w:lang w:val="hu-HU"/>
        </w:rPr>
      </w:pPr>
      <w:r>
        <w:rPr>
          <w:rStyle w:val="FootnoteReference"/>
        </w:rPr>
        <w:footnoteRef/>
      </w:r>
      <w:r w:rsidRPr="008D03C1">
        <w:rPr>
          <w:sz w:val="24"/>
          <w:lang w:val="hu-HU"/>
        </w:rPr>
        <w:t xml:space="preserve"> </w:t>
      </w:r>
      <w:r w:rsidRPr="008D03C1">
        <w:rPr>
          <w:sz w:val="24"/>
          <w:lang w:val="hu-HU"/>
        </w:rPr>
        <w:tab/>
        <w:t xml:space="preserve">Az Európai Parlament és a Tanács (EU) 2024/1252 rendelete (2024. április 11.) a kritikus fontosságú nyersanyagokkal való biztonságos és fenntartható ellátást biztosító keret létrehozásáról és a 168/2013/EU, az (EU) 2018/858, az (EU) 2018/1724 és az (EU) 2019/1020 rendelet módosításáról (HL L, 2024/1252, 2024.5.3., ELI: </w:t>
      </w:r>
      <w:hyperlink r:id="rId2" w:tgtFrame="http://data.europa.eu/eli/reg/2024/1252/oj" w:history="1">
        <w:r w:rsidRPr="008D03C1">
          <w:rPr>
            <w:rStyle w:val="Hyperlink"/>
            <w:sz w:val="24"/>
            <w:lang w:val="hu-HU"/>
          </w:rPr>
          <w:t>http://data.europa.eu/eli/reg/2024/1252/oj</w:t>
        </w:r>
      </w:hyperlink>
      <w:r w:rsidRPr="008D03C1">
        <w:rPr>
          <w:sz w:val="24"/>
          <w:lang w:val="hu-HU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F030CA" w14:textId="77777777" w:rsidR="00064002" w:rsidRPr="008D03C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D06D7" w14:textId="77777777" w:rsidR="00064002" w:rsidRPr="008D03C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5FBD6" w14:textId="77777777" w:rsidR="00064002" w:rsidRPr="008D03C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47207415">
    <w:abstractNumId w:val="9"/>
  </w:num>
  <w:num w:numId="2" w16cid:durableId="148062575">
    <w:abstractNumId w:val="9"/>
  </w:num>
  <w:num w:numId="3" w16cid:durableId="1167786738">
    <w:abstractNumId w:val="7"/>
  </w:num>
  <w:num w:numId="4" w16cid:durableId="137499886">
    <w:abstractNumId w:val="7"/>
  </w:num>
  <w:num w:numId="5" w16cid:durableId="1584071934">
    <w:abstractNumId w:val="6"/>
  </w:num>
  <w:num w:numId="6" w16cid:durableId="1384409197">
    <w:abstractNumId w:val="6"/>
  </w:num>
  <w:num w:numId="7" w16cid:durableId="1068963851">
    <w:abstractNumId w:val="5"/>
  </w:num>
  <w:num w:numId="8" w16cid:durableId="344940183">
    <w:abstractNumId w:val="5"/>
  </w:num>
  <w:num w:numId="9" w16cid:durableId="1031078142">
    <w:abstractNumId w:val="4"/>
  </w:num>
  <w:num w:numId="10" w16cid:durableId="774405628">
    <w:abstractNumId w:val="4"/>
  </w:num>
  <w:num w:numId="11" w16cid:durableId="1591574344">
    <w:abstractNumId w:val="8"/>
  </w:num>
  <w:num w:numId="12" w16cid:durableId="1308978812">
    <w:abstractNumId w:val="8"/>
  </w:num>
  <w:num w:numId="13" w16cid:durableId="1409619434">
    <w:abstractNumId w:val="3"/>
  </w:num>
  <w:num w:numId="14" w16cid:durableId="1372683508">
    <w:abstractNumId w:val="3"/>
  </w:num>
  <w:num w:numId="15" w16cid:durableId="430008789">
    <w:abstractNumId w:val="2"/>
  </w:num>
  <w:num w:numId="16" w16cid:durableId="60719011">
    <w:abstractNumId w:val="2"/>
  </w:num>
  <w:num w:numId="17" w16cid:durableId="549801155">
    <w:abstractNumId w:val="1"/>
  </w:num>
  <w:num w:numId="18" w16cid:durableId="358700861">
    <w:abstractNumId w:val="1"/>
  </w:num>
  <w:num w:numId="19" w16cid:durableId="1306664752">
    <w:abstractNumId w:val="0"/>
  </w:num>
  <w:num w:numId="20" w16cid:durableId="340594626">
    <w:abstractNumId w:val="0"/>
  </w:num>
  <w:num w:numId="21" w16cid:durableId="1705131623">
    <w:abstractNumId w:val="9"/>
  </w:num>
  <w:num w:numId="22" w16cid:durableId="1880312438">
    <w:abstractNumId w:val="7"/>
  </w:num>
  <w:num w:numId="23" w16cid:durableId="305667862">
    <w:abstractNumId w:val="6"/>
  </w:num>
  <w:num w:numId="24" w16cid:durableId="149105390">
    <w:abstractNumId w:val="5"/>
  </w:num>
  <w:num w:numId="25" w16cid:durableId="143280041">
    <w:abstractNumId w:val="4"/>
  </w:num>
  <w:num w:numId="26" w16cid:durableId="895556237">
    <w:abstractNumId w:val="8"/>
  </w:num>
  <w:num w:numId="27" w16cid:durableId="645554327">
    <w:abstractNumId w:val="3"/>
  </w:num>
  <w:num w:numId="28" w16cid:durableId="1624533521">
    <w:abstractNumId w:val="2"/>
  </w:num>
  <w:num w:numId="29" w16cid:durableId="649871979">
    <w:abstractNumId w:val="1"/>
  </w:num>
  <w:num w:numId="30" w16cid:durableId="2072193646">
    <w:abstractNumId w:val="0"/>
  </w:num>
  <w:num w:numId="31" w16cid:durableId="1644699191">
    <w:abstractNumId w:val="9"/>
  </w:num>
  <w:num w:numId="32" w16cid:durableId="961300969">
    <w:abstractNumId w:val="7"/>
  </w:num>
  <w:num w:numId="33" w16cid:durableId="1205753023">
    <w:abstractNumId w:val="6"/>
  </w:num>
  <w:num w:numId="34" w16cid:durableId="1750036497">
    <w:abstractNumId w:val="5"/>
  </w:num>
  <w:num w:numId="35" w16cid:durableId="1910770620">
    <w:abstractNumId w:val="4"/>
  </w:num>
  <w:num w:numId="36" w16cid:durableId="148713660">
    <w:abstractNumId w:val="8"/>
  </w:num>
  <w:num w:numId="37" w16cid:durableId="941641832">
    <w:abstractNumId w:val="3"/>
  </w:num>
  <w:num w:numId="38" w16cid:durableId="10644167">
    <w:abstractNumId w:val="2"/>
  </w:num>
  <w:num w:numId="39" w16cid:durableId="1814836403">
    <w:abstractNumId w:val="1"/>
  </w:num>
  <w:num w:numId="40" w16cid:durableId="1556816551">
    <w:abstractNumId w:val="0"/>
  </w:num>
  <w:num w:numId="41" w16cid:durableId="230820798">
    <w:abstractNumId w:val="10"/>
  </w:num>
  <w:num w:numId="42" w16cid:durableId="1582644481">
    <w:abstractNumId w:val="10"/>
  </w:num>
  <w:num w:numId="43" w16cid:durableId="1749617740">
    <w:abstractNumId w:val="10"/>
  </w:num>
  <w:num w:numId="44" w16cid:durableId="21247621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0/2026"/>
    <w:docVar w:name="dvlangue" w:val="HU"/>
    <w:docVar w:name="dvnumam" w:val="0"/>
    <w:docVar w:name="dvpe" w:val="784.507"/>
    <w:docVar w:name="dvrapporteur" w:val="Előadó: "/>
    <w:docVar w:name="dvtitre" w:val="Az Európai Parlament 2026.  ...-i állásfoglalása az Európai Beruházási Bank Csoport pénzügyi tevékenységeiről – 2025. évi éves jelentés(2025/2213(INI))"/>
  </w:docVars>
  <w:rsids>
    <w:rsidRoot w:val="001D4DE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4DED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87B73"/>
    <w:rsid w:val="00494A28"/>
    <w:rsid w:val="004B693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56C"/>
    <w:rsid w:val="006F74FA"/>
    <w:rsid w:val="00731ADD"/>
    <w:rsid w:val="00734777"/>
    <w:rsid w:val="00747932"/>
    <w:rsid w:val="00750E98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03C1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C41"/>
    <w:rsid w:val="00ED169E"/>
    <w:rsid w:val="00ED4235"/>
    <w:rsid w:val="00F04346"/>
    <w:rsid w:val="00F075DC"/>
    <w:rsid w:val="00F149E9"/>
    <w:rsid w:val="00F5134D"/>
    <w:rsid w:val="00F74202"/>
    <w:rsid w:val="00F87713"/>
    <w:rsid w:val="00FA09FF"/>
    <w:rsid w:val="00FB4360"/>
    <w:rsid w:val="00FD0C70"/>
    <w:rsid w:val="00FD68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589AE7"/>
  <w15:chartTrackingRefBased/>
  <w15:docId w15:val="{D4F013F6-8915-4DB2-9B4C-643474B65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12a">
    <w:name w:val="Normal12a"/>
    <w:basedOn w:val="Normal"/>
    <w:rsid w:val="00750E98"/>
    <w:pPr>
      <w:widowControl/>
      <w:spacing w:after="240"/>
    </w:pPr>
    <w:rPr>
      <w:szCs w:val="24"/>
      <w:lang w:eastAsia="en-US"/>
    </w:rPr>
  </w:style>
  <w:style w:type="paragraph" w:customStyle="1" w:styleId="NormalHanging12a">
    <w:name w:val="NormalHanging12a"/>
    <w:basedOn w:val="Normal"/>
    <w:rsid w:val="00750E98"/>
    <w:pPr>
      <w:widowControl/>
      <w:spacing w:after="240"/>
      <w:ind w:left="566" w:hanging="566"/>
    </w:pPr>
    <w:rPr>
      <w:szCs w:val="24"/>
      <w:lang w:eastAsia="en-US"/>
    </w:rPr>
  </w:style>
  <w:style w:type="paragraph" w:customStyle="1" w:styleId="Normal12">
    <w:name w:val="Normal12"/>
    <w:basedOn w:val="Normal"/>
    <w:rsid w:val="00750E98"/>
    <w:pPr>
      <w:spacing w:after="240"/>
    </w:pPr>
    <w:rPr>
      <w:szCs w:val="24"/>
      <w:lang w:eastAsia="en-US"/>
    </w:rPr>
  </w:style>
  <w:style w:type="paragraph" w:customStyle="1" w:styleId="NormalHanging">
    <w:name w:val="NormalHanging"/>
    <w:basedOn w:val="Normal"/>
    <w:rsid w:val="00750E98"/>
    <w:pPr>
      <w:spacing w:after="240"/>
      <w:ind w:left="566" w:hanging="566"/>
    </w:pPr>
    <w:rPr>
      <w:szCs w:val="24"/>
      <w:lang w:eastAsia="en-US"/>
    </w:rPr>
  </w:style>
  <w:style w:type="paragraph" w:customStyle="1" w:styleId="NormalCenter12a">
    <w:name w:val="NormalCenter12a"/>
    <w:basedOn w:val="Normal"/>
    <w:rsid w:val="00750E98"/>
    <w:pPr>
      <w:widowControl/>
      <w:spacing w:after="240"/>
      <w:jc w:val="center"/>
    </w:pPr>
    <w:rPr>
      <w:szCs w:val="24"/>
      <w:lang w:eastAsia="en-US"/>
    </w:rPr>
  </w:style>
  <w:style w:type="character" w:styleId="Hyperlink">
    <w:name w:val="Hyperlink"/>
    <w:basedOn w:val="DefaultParagraphFont"/>
    <w:rsid w:val="00750E98"/>
    <w:rPr>
      <w:color w:val="0000FF"/>
      <w:u w:val="single"/>
    </w:rPr>
  </w:style>
  <w:style w:type="paragraph" w:styleId="Revision">
    <w:name w:val="Revision"/>
    <w:hidden/>
    <w:uiPriority w:val="99"/>
    <w:semiHidden/>
    <w:rsid w:val="00487B73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252/oj" TargetMode="External"/><Relationship Id="rId1" Type="http://schemas.openxmlformats.org/officeDocument/2006/relationships/hyperlink" Target="http://data.europa.eu/eli/reg/2023/263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4595</Words>
  <Characters>33530</Characters>
  <Application>Microsoft Office Word</Application>
  <DocSecurity>0</DocSecurity>
  <Lines>279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2026-07-07T12:42:00Z</dcterms:created>
  <dcterms:modified xsi:type="dcterms:W3CDTF">2026-07-07T12:42:00Z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A10-0170/2026</vt:lpwstr>
  </property>
  <property fmtid="{D5CDD505-2E9C-101B-9397-08002B2CF9AE}" pid="4" name="&lt;Type&gt;">
    <vt:lpwstr>RR</vt:lpwstr>
  </property>
</Properties>
</file>