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D2774" w14:paraId="6A9245A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547CD0E" w14:textId="6BD83251" w:rsidR="00751A4A" w:rsidRPr="006D2774" w:rsidRDefault="00F97CE8" w:rsidP="0010095E">
            <w:pPr>
              <w:pStyle w:val="EPName"/>
            </w:pPr>
            <w:r w:rsidRPr="006D2774">
              <w:t>Parlament Europejski</w:t>
            </w:r>
          </w:p>
          <w:p w14:paraId="5E927D28" w14:textId="77777777" w:rsidR="00751A4A" w:rsidRPr="006D277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D2774">
              <w:t>2024</w:t>
            </w:r>
            <w:r w:rsidR="00817416" w:rsidRPr="006D2774">
              <w:t>-202</w:t>
            </w:r>
            <w:r w:rsidRPr="006D2774">
              <w:t>9</w:t>
            </w:r>
          </w:p>
        </w:tc>
        <w:tc>
          <w:tcPr>
            <w:tcW w:w="2268" w:type="dxa"/>
            <w:shd w:val="clear" w:color="auto" w:fill="auto"/>
          </w:tcPr>
          <w:p w14:paraId="34D8571A" w14:textId="77777777" w:rsidR="00751A4A" w:rsidRPr="006D2774" w:rsidRDefault="00187494" w:rsidP="0010095E">
            <w:pPr>
              <w:pStyle w:val="EPLogo"/>
            </w:pPr>
            <w:r w:rsidRPr="006D2774">
              <w:rPr>
                <w:noProof/>
                <w:lang w:eastAsia="ja-JP"/>
              </w:rPr>
              <w:drawing>
                <wp:inline distT="0" distB="0" distL="0" distR="0" wp14:anchorId="6A736354" wp14:editId="67B66CD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87F7C2" w14:textId="77777777" w:rsidR="00D058B8" w:rsidRPr="006D2774" w:rsidRDefault="00D058B8" w:rsidP="004C5D52">
      <w:pPr>
        <w:pStyle w:val="LineTop"/>
      </w:pPr>
    </w:p>
    <w:p w14:paraId="63389542" w14:textId="450837E9" w:rsidR="00680577" w:rsidRPr="006D2774" w:rsidRDefault="00F97CE8" w:rsidP="00680577">
      <w:pPr>
        <w:pStyle w:val="EPBodyTA1"/>
      </w:pPr>
      <w:r w:rsidRPr="006D2774">
        <w:t>TEKSTY PRZYJĘTE</w:t>
      </w:r>
    </w:p>
    <w:p w14:paraId="0CC2DF45" w14:textId="77777777" w:rsidR="00D058B8" w:rsidRPr="006D2774" w:rsidRDefault="00D058B8" w:rsidP="00D058B8">
      <w:pPr>
        <w:pStyle w:val="LineBottom"/>
      </w:pPr>
    </w:p>
    <w:p w14:paraId="4B68542E" w14:textId="0E0227DA" w:rsidR="00F97CE8" w:rsidRPr="006D2774" w:rsidRDefault="00F97CE8" w:rsidP="00F97CE8">
      <w:pPr>
        <w:pStyle w:val="ATHeading1"/>
      </w:pPr>
      <w:bookmarkStart w:id="0" w:name="TANumber"/>
      <w:r w:rsidRPr="006D2774">
        <w:t>P10_TA(2026)0</w:t>
      </w:r>
      <w:bookmarkEnd w:id="0"/>
      <w:r w:rsidR="00C7468A">
        <w:t>245</w:t>
      </w:r>
    </w:p>
    <w:p w14:paraId="4CBAC84E" w14:textId="77777777" w:rsidR="00F97CE8" w:rsidRPr="006D2774" w:rsidRDefault="00F97CE8" w:rsidP="00F97CE8">
      <w:pPr>
        <w:pStyle w:val="ATHeading2"/>
      </w:pPr>
      <w:bookmarkStart w:id="1" w:name="title"/>
      <w:r w:rsidRPr="006D2774">
        <w:t>Działalność finansowa Grupy Europejskiego Banku Inwestycyjnego – sprawozdanie roczne 2025</w:t>
      </w:r>
      <w:bookmarkEnd w:id="1"/>
    </w:p>
    <w:p w14:paraId="422EF819" w14:textId="77777777" w:rsidR="00F97CE8" w:rsidRPr="006D2774" w:rsidRDefault="00F97CE8" w:rsidP="00F97CE8">
      <w:pPr>
        <w:rPr>
          <w:i/>
          <w:vanish/>
        </w:rPr>
      </w:pPr>
      <w:r w:rsidRPr="006D2774">
        <w:rPr>
          <w:i/>
        </w:rPr>
        <w:fldChar w:fldCharType="begin"/>
      </w:r>
      <w:r w:rsidRPr="006D2774">
        <w:rPr>
          <w:i/>
        </w:rPr>
        <w:instrText xml:space="preserve"> TC"(</w:instrText>
      </w:r>
      <w:bookmarkStart w:id="2" w:name="DocNumber"/>
      <w:r w:rsidRPr="006D2774">
        <w:rPr>
          <w:i/>
        </w:rPr>
        <w:instrText>A10-0170/2026</w:instrText>
      </w:r>
      <w:bookmarkEnd w:id="2"/>
      <w:r w:rsidRPr="006D2774">
        <w:rPr>
          <w:i/>
        </w:rPr>
        <w:instrText xml:space="preserve"> - Sprawozdawca: Joachim Streit)"\l3 \n&gt; \* MERGEFORMAT </w:instrText>
      </w:r>
      <w:r w:rsidRPr="006D2774">
        <w:rPr>
          <w:i/>
        </w:rPr>
        <w:fldChar w:fldCharType="end"/>
      </w:r>
    </w:p>
    <w:p w14:paraId="602B748D" w14:textId="77777777" w:rsidR="00F97CE8" w:rsidRPr="006D2774" w:rsidRDefault="00F97CE8" w:rsidP="00F97CE8">
      <w:pPr>
        <w:rPr>
          <w:vanish/>
        </w:rPr>
      </w:pPr>
      <w:bookmarkStart w:id="3" w:name="Commission"/>
      <w:r w:rsidRPr="006D2774">
        <w:rPr>
          <w:vanish/>
        </w:rPr>
        <w:t>Komisja Budżetowa</w:t>
      </w:r>
      <w:bookmarkEnd w:id="3"/>
    </w:p>
    <w:p w14:paraId="5F70C75A" w14:textId="77777777" w:rsidR="00F97CE8" w:rsidRPr="006D2774" w:rsidRDefault="00F97CE8" w:rsidP="00F97CE8">
      <w:pPr>
        <w:rPr>
          <w:vanish/>
        </w:rPr>
      </w:pPr>
      <w:bookmarkStart w:id="4" w:name="PE"/>
      <w:r w:rsidRPr="006D2774">
        <w:rPr>
          <w:vanish/>
        </w:rPr>
        <w:t>PE784.507</w:t>
      </w:r>
      <w:bookmarkEnd w:id="4"/>
    </w:p>
    <w:p w14:paraId="1FB15744" w14:textId="74A4B7BB" w:rsidR="00F97CE8" w:rsidRPr="006D2774" w:rsidRDefault="00F97CE8" w:rsidP="00F97CE8">
      <w:pPr>
        <w:pStyle w:val="ATHeading3"/>
      </w:pPr>
      <w:bookmarkStart w:id="5" w:name="Sujet"/>
      <w:r w:rsidRPr="006D2774">
        <w:t xml:space="preserve">Rezolucja Parlamentu Europejskiego z dnia </w:t>
      </w:r>
      <w:r w:rsidR="00C7468A">
        <w:t>7 lipca</w:t>
      </w:r>
      <w:r w:rsidRPr="006D2774">
        <w:t xml:space="preserve"> 2026 r. w sprawie działalności finansowej Grupy Europejskiego Banku Inwestycyjnego – sprawozdanie roczne 2025</w:t>
      </w:r>
      <w:bookmarkEnd w:id="5"/>
      <w:r w:rsidRPr="006D2774">
        <w:t xml:space="preserve"> </w:t>
      </w:r>
      <w:bookmarkStart w:id="6" w:name="References"/>
      <w:r w:rsidRPr="006D2774">
        <w:t>(2025/2213(INI))</w:t>
      </w:r>
      <w:bookmarkEnd w:id="6"/>
    </w:p>
    <w:p w14:paraId="5DA69E3D" w14:textId="77777777" w:rsidR="008A53EC" w:rsidRPr="006D2774" w:rsidRDefault="008A53EC" w:rsidP="008A53EC">
      <w:pPr>
        <w:pStyle w:val="Normal12"/>
      </w:pPr>
      <w:r w:rsidRPr="006D2774">
        <w:t>Parlament Europejski,</w:t>
      </w:r>
    </w:p>
    <w:p w14:paraId="5C117036" w14:textId="77777777" w:rsidR="008A53EC" w:rsidRPr="006D2774" w:rsidRDefault="008A53EC" w:rsidP="008A53EC">
      <w:pPr>
        <w:pStyle w:val="NormalHanging"/>
      </w:pPr>
      <w:r w:rsidRPr="006D2774">
        <w:t>–</w:t>
      </w:r>
      <w:r w:rsidRPr="006D2774">
        <w:tab/>
        <w:t>uwzględniając art. 2 i 3 Traktatu o Unii Europejskiej,</w:t>
      </w:r>
    </w:p>
    <w:p w14:paraId="240AB098" w14:textId="77777777" w:rsidR="008A53EC" w:rsidRPr="006D2774" w:rsidRDefault="008A53EC" w:rsidP="008A53EC">
      <w:pPr>
        <w:pStyle w:val="NormalHanging"/>
      </w:pPr>
      <w:r w:rsidRPr="006D2774">
        <w:t>–</w:t>
      </w:r>
      <w:r w:rsidRPr="006D2774">
        <w:tab/>
        <w:t>uwzględniając art. 15, 126, 174, 175, 177, 208, 209, 271, 308 i 309 Traktatu o funkcjonowaniu Unii Europejskiej oraz Protokół nr 5 w sprawie statutu Europejskiego Banku Inwestycyjnego (EBI),</w:t>
      </w:r>
    </w:p>
    <w:p w14:paraId="49257D0D" w14:textId="77777777" w:rsidR="008A53EC" w:rsidRPr="006D2774" w:rsidRDefault="008A53EC" w:rsidP="008A53EC">
      <w:pPr>
        <w:pStyle w:val="NormalHanging"/>
      </w:pPr>
      <w:r w:rsidRPr="006D2774">
        <w:t>–</w:t>
      </w:r>
      <w:r w:rsidRPr="006D2774">
        <w:tab/>
        <w:t>uwzględniając art. 41–43 Traktatu ustanawiającego Europejską Wspólnotę Energii Atomowej,</w:t>
      </w:r>
    </w:p>
    <w:p w14:paraId="3E3B40A7" w14:textId="77777777" w:rsidR="008A53EC" w:rsidRPr="006D2774" w:rsidRDefault="008A53EC" w:rsidP="008A53EC">
      <w:pPr>
        <w:pStyle w:val="NormalHanging"/>
      </w:pPr>
      <w:r w:rsidRPr="006D2774">
        <w:t>–</w:t>
      </w:r>
      <w:r w:rsidRPr="006D2774">
        <w:tab/>
        <w:t>uwzględniając Statut EBI,</w:t>
      </w:r>
    </w:p>
    <w:p w14:paraId="022C13D9" w14:textId="77777777" w:rsidR="008A53EC" w:rsidRPr="006D2774" w:rsidRDefault="008A53EC" w:rsidP="008A53EC">
      <w:pPr>
        <w:pStyle w:val="NormalHanging"/>
      </w:pPr>
      <w:r w:rsidRPr="006D2774">
        <w:t>–</w:t>
      </w:r>
      <w:r w:rsidRPr="006D2774">
        <w:tab/>
        <w:t>uwzględniając plan operacyjny grupy EBI na lata 2026–2028 opublikowany 29 stycznia 2026 r. oraz plan operacyjny grupy EBI na lata 2025–2027 z 30 stycznia 2025 r.,</w:t>
      </w:r>
    </w:p>
    <w:p w14:paraId="700222C0" w14:textId="77777777" w:rsidR="008A53EC" w:rsidRPr="006D2774" w:rsidRDefault="008A53EC" w:rsidP="008A53EC">
      <w:pPr>
        <w:pStyle w:val="NormalHanging"/>
      </w:pPr>
      <w:r w:rsidRPr="006D2774">
        <w:t>–</w:t>
      </w:r>
      <w:r w:rsidRPr="006D2774">
        <w:tab/>
        <w:t>uwzględniając sprawozdanie z działalności grupy EBI za 2025 r. zatytułowane „Nowe źródła energii w Europie” opublikowane 29 stycznia 2026 r.,</w:t>
      </w:r>
    </w:p>
    <w:p w14:paraId="1CFC256D" w14:textId="77777777" w:rsidR="008A53EC" w:rsidRPr="006D2774" w:rsidRDefault="008A53EC" w:rsidP="008A53EC">
      <w:pPr>
        <w:pStyle w:val="NormalHanging"/>
      </w:pPr>
      <w:r w:rsidRPr="006D2774">
        <w:t>–</w:t>
      </w:r>
      <w:r w:rsidRPr="006D2774">
        <w:tab/>
        <w:t>uwzględniając procedury EBI w zakresie należytej staranności w dziedzinie środowiska, klimatu i kwestii społecznych opublikowane 20 października 2025 r.,</w:t>
      </w:r>
    </w:p>
    <w:p w14:paraId="103492F4" w14:textId="77777777" w:rsidR="008A53EC" w:rsidRPr="006D2774" w:rsidRDefault="008A53EC" w:rsidP="008A53EC">
      <w:pPr>
        <w:pStyle w:val="NormalHanging"/>
      </w:pPr>
      <w:r w:rsidRPr="006D2774">
        <w:t>–</w:t>
      </w:r>
      <w:r w:rsidRPr="006D2774">
        <w:tab/>
        <w:t>uwzględniając globalną orientację strategiczną EBI opublikowaną 15 października 2025 r.,</w:t>
      </w:r>
    </w:p>
    <w:p w14:paraId="4BF651A3" w14:textId="77777777" w:rsidR="008A53EC" w:rsidRPr="006D2774" w:rsidRDefault="008A53EC" w:rsidP="008A53EC">
      <w:pPr>
        <w:pStyle w:val="NormalHanging"/>
      </w:pPr>
      <w:r w:rsidRPr="006D2774">
        <w:t>–</w:t>
      </w:r>
      <w:r w:rsidRPr="006D2774">
        <w:tab/>
        <w:t>uwzględniając badanie EBI dotyczące inwestycji w 2025 r. – przegląd w Unii Europejskiej opublikowane 14 października 2025 r.,</w:t>
      </w:r>
    </w:p>
    <w:p w14:paraId="43A6C07E" w14:textId="77777777" w:rsidR="008A53EC" w:rsidRPr="006D2774" w:rsidRDefault="008A53EC" w:rsidP="008A53EC">
      <w:pPr>
        <w:pStyle w:val="NormalHanging"/>
      </w:pPr>
      <w:r w:rsidRPr="006D2774">
        <w:t>–</w:t>
      </w:r>
      <w:r w:rsidRPr="006D2774">
        <w:tab/>
        <w:t>uwzględniając dokument EBI zatytułowany „</w:t>
      </w:r>
      <w:proofErr w:type="spellStart"/>
      <w:r w:rsidRPr="006D2774">
        <w:t>Unlocking</w:t>
      </w:r>
      <w:proofErr w:type="spellEnd"/>
      <w:r w:rsidRPr="006D2774">
        <w:t xml:space="preserve"> </w:t>
      </w:r>
      <w:proofErr w:type="spellStart"/>
      <w:r w:rsidRPr="006D2774">
        <w:t>innovation</w:t>
      </w:r>
      <w:proofErr w:type="spellEnd"/>
      <w:r w:rsidRPr="006D2774">
        <w:t xml:space="preserve">: </w:t>
      </w:r>
      <w:proofErr w:type="spellStart"/>
      <w:r w:rsidRPr="006D2774">
        <w:t>Addressing</w:t>
      </w:r>
      <w:proofErr w:type="spellEnd"/>
      <w:r w:rsidRPr="006D2774">
        <w:t xml:space="preserve"> the </w:t>
      </w:r>
      <w:proofErr w:type="spellStart"/>
      <w:r w:rsidRPr="006D2774">
        <w:t>funding</w:t>
      </w:r>
      <w:proofErr w:type="spellEnd"/>
      <w:r w:rsidRPr="006D2774">
        <w:t xml:space="preserve"> </w:t>
      </w:r>
      <w:proofErr w:type="spellStart"/>
      <w:r w:rsidRPr="006D2774">
        <w:t>needs</w:t>
      </w:r>
      <w:proofErr w:type="spellEnd"/>
      <w:r w:rsidRPr="006D2774">
        <w:t xml:space="preserve"> of EU </w:t>
      </w:r>
      <w:proofErr w:type="spellStart"/>
      <w:r w:rsidRPr="006D2774">
        <w:t>technology</w:t>
      </w:r>
      <w:proofErr w:type="spellEnd"/>
      <w:r w:rsidRPr="006D2774">
        <w:t xml:space="preserve"> </w:t>
      </w:r>
      <w:proofErr w:type="spellStart"/>
      <w:r w:rsidRPr="006D2774">
        <w:t>infrastructures</w:t>
      </w:r>
      <w:proofErr w:type="spellEnd"/>
      <w:r w:rsidRPr="006D2774">
        <w:t>” [Odblokowanie potencjału innowacyjności – uwzględnianie potrzeb w zakresie finansowania infrastruktur technologicznych UE], opublikowany 15 września 2025 r.,</w:t>
      </w:r>
    </w:p>
    <w:p w14:paraId="6F33794A" w14:textId="77777777" w:rsidR="008A53EC" w:rsidRPr="006D2774" w:rsidRDefault="008A53EC" w:rsidP="008A53EC">
      <w:pPr>
        <w:pStyle w:val="NormalHanging"/>
      </w:pPr>
      <w:r w:rsidRPr="006D2774">
        <w:t>–</w:t>
      </w:r>
      <w:r w:rsidRPr="006D2774">
        <w:tab/>
        <w:t>uwzględniając sprawozdanie z działalności EBI dotyczące oceny za 2022 r. i program prac na lata 2023–2025 opublikowane 3 marca 2023 r.,</w:t>
      </w:r>
    </w:p>
    <w:p w14:paraId="24C0EBB8" w14:textId="77777777" w:rsidR="008A53EC" w:rsidRPr="006D2774" w:rsidRDefault="008A53EC" w:rsidP="008A53EC">
      <w:pPr>
        <w:pStyle w:val="NormalHanging"/>
      </w:pPr>
      <w:r w:rsidRPr="006D2774">
        <w:t>–</w:t>
      </w:r>
      <w:r w:rsidRPr="006D2774">
        <w:tab/>
        <w:t>uwzględniając Politykę mechanizmu rozpatrywania skarg Grupy EBI opublikowaną 13 listopada 2018 r.,</w:t>
      </w:r>
    </w:p>
    <w:p w14:paraId="181FB19C" w14:textId="77777777" w:rsidR="008A53EC" w:rsidRPr="006D2774" w:rsidRDefault="008A53EC" w:rsidP="008A53EC">
      <w:pPr>
        <w:pStyle w:val="NormalHanging"/>
      </w:pPr>
      <w:r w:rsidRPr="006D2774">
        <w:t>–</w:t>
      </w:r>
      <w:r w:rsidRPr="006D2774">
        <w:tab/>
        <w:t>uwzględniając dokument EBI zatytułowany „Polityka kredytowania energetyki EBI” opublikowany 8 maja 2023 r.,</w:t>
      </w:r>
    </w:p>
    <w:p w14:paraId="12ED7741" w14:textId="77777777" w:rsidR="008A53EC" w:rsidRPr="006D2774" w:rsidRDefault="008A53EC" w:rsidP="008A53EC">
      <w:pPr>
        <w:pStyle w:val="NormalHanging"/>
      </w:pPr>
      <w:r w:rsidRPr="006D2774">
        <w:t>–</w:t>
      </w:r>
      <w:r w:rsidRPr="006D2774">
        <w:tab/>
        <w:t>uwzględniając plan działania banku klimatycznego grupy EBI na lata 2021–2025 przyjęty 11 listopada 2020 r. przez Radę Dyrektorów EBI, drugi etap planu działania grupy EBI w roli banku klimatycznego opublikowany 3 października 2025 r. oraz strategię klimatyczną EBI opublikowaną 15 listopada 2020 r.,</w:t>
      </w:r>
    </w:p>
    <w:p w14:paraId="3B04BA53" w14:textId="77777777" w:rsidR="008A53EC" w:rsidRPr="006D2774" w:rsidRDefault="008A53EC" w:rsidP="008A53EC">
      <w:pPr>
        <w:pStyle w:val="NormalHanging"/>
      </w:pPr>
      <w:r w:rsidRPr="006D2774">
        <w:t>–</w:t>
      </w:r>
      <w:r w:rsidRPr="006D2774">
        <w:tab/>
        <w:t>uwzględniając normy środowiskowe i społeczne EBI z 2 lutego 2022 r.,</w:t>
      </w:r>
    </w:p>
    <w:p w14:paraId="3F6CE775" w14:textId="77777777" w:rsidR="008A53EC" w:rsidRPr="006D2774" w:rsidRDefault="008A53EC" w:rsidP="008A53EC">
      <w:pPr>
        <w:pStyle w:val="NormalHanging"/>
      </w:pPr>
      <w:r w:rsidRPr="006D2774">
        <w:t>–</w:t>
      </w:r>
      <w:r w:rsidRPr="006D2774">
        <w:tab/>
        <w:t>uwzględniając plan działania grupy EBI na rzecz przystępnych cenowo i zrównoważonych mieszkań,</w:t>
      </w:r>
    </w:p>
    <w:p w14:paraId="4FF83D28" w14:textId="77777777" w:rsidR="008A53EC" w:rsidRPr="006D2774" w:rsidRDefault="008A53EC" w:rsidP="008A53EC">
      <w:pPr>
        <w:pStyle w:val="NormalHanging"/>
      </w:pPr>
      <w:r w:rsidRPr="006D2774">
        <w:t>–</w:t>
      </w:r>
      <w:r w:rsidRPr="006D2774">
        <w:tab/>
        <w:t xml:space="preserve">uwzględniając dokument EBI zatytułowany „EIB Global – </w:t>
      </w:r>
      <w:proofErr w:type="spellStart"/>
      <w:r w:rsidRPr="006D2774">
        <w:t>Partnerships</w:t>
      </w:r>
      <w:proofErr w:type="spellEnd"/>
      <w:r w:rsidRPr="006D2774">
        <w:t xml:space="preserve">, People, </w:t>
      </w:r>
      <w:proofErr w:type="spellStart"/>
      <w:r w:rsidRPr="006D2774">
        <w:t>Impact</w:t>
      </w:r>
      <w:proofErr w:type="spellEnd"/>
      <w:r w:rsidRPr="006D2774">
        <w:t>” [EBI Global – partnerstwa, ludzie, wpływ] opublikowany 10 lutego 2023 r.,</w:t>
      </w:r>
    </w:p>
    <w:p w14:paraId="014F1694" w14:textId="77777777" w:rsidR="008A53EC" w:rsidRPr="006D2774" w:rsidRDefault="008A53EC" w:rsidP="008A53EC">
      <w:pPr>
        <w:pStyle w:val="NormalHanging"/>
      </w:pPr>
      <w:r w:rsidRPr="006D2774">
        <w:t>–</w:t>
      </w:r>
      <w:r w:rsidRPr="006D2774">
        <w:tab/>
        <w:t>uwzględniając strategię grupy EBI na rzecz równouprawnienia płci i upodmiotowienia ekonomicznego kobiet opublikowaną 6 stycznia 2017 r. oraz trzeci plan działania grupy EBI w sprawie równości płci (2026–2030) opublikowany 3 marca 2026 r.,</w:t>
      </w:r>
    </w:p>
    <w:p w14:paraId="5221E695" w14:textId="77777777" w:rsidR="008A53EC" w:rsidRPr="006D2774" w:rsidRDefault="008A53EC" w:rsidP="008A53EC">
      <w:pPr>
        <w:pStyle w:val="NormalHanging"/>
      </w:pPr>
      <w:r w:rsidRPr="006D2774">
        <w:t>–</w:t>
      </w:r>
      <w:r w:rsidRPr="006D2774">
        <w:tab/>
        <w:t>uwzględniając kodeks postępowania pracowników grupy EBI opublikowany 3 lutego 2023 r.,</w:t>
      </w:r>
    </w:p>
    <w:p w14:paraId="7997D285" w14:textId="77777777" w:rsidR="008A53EC" w:rsidRPr="006D2774" w:rsidRDefault="008A53EC" w:rsidP="008A53EC">
      <w:pPr>
        <w:pStyle w:val="NormalHanging"/>
      </w:pPr>
      <w:r w:rsidRPr="006D2774">
        <w:t>–</w:t>
      </w:r>
      <w:r w:rsidRPr="006D2774">
        <w:tab/>
        <w:t>uwzględniając Pakiet Solidarnościowy EBI dla Ukrainy zatwierdzony przez Radę EBI 4 marca 2022 r.,</w:t>
      </w:r>
    </w:p>
    <w:p w14:paraId="50742F4D" w14:textId="77777777" w:rsidR="008A53EC" w:rsidRPr="006D2774" w:rsidRDefault="008A53EC" w:rsidP="008A53EC">
      <w:pPr>
        <w:pStyle w:val="NormalHanging"/>
      </w:pPr>
      <w:r w:rsidRPr="006D2774">
        <w:t>–</w:t>
      </w:r>
      <w:r w:rsidRPr="006D2774">
        <w:tab/>
        <w:t>uwzględniając komunikat Komisji z 29 stycznia 2025 r. pt. „Kompas konkurencyjności dla UE” (COM(2025)0030),</w:t>
      </w:r>
    </w:p>
    <w:p w14:paraId="144787E6" w14:textId="77777777" w:rsidR="008A53EC" w:rsidRPr="006D2774" w:rsidRDefault="008A53EC" w:rsidP="008A53EC">
      <w:pPr>
        <w:pStyle w:val="NormalHanging"/>
      </w:pPr>
      <w:r w:rsidRPr="006D2774">
        <w:t>–</w:t>
      </w:r>
      <w:r w:rsidRPr="006D2774">
        <w:tab/>
        <w:t>uwzględniając komunikat Komisji z 26 lutego 2025 r. pt. „Pakt dla czystego przemysłu: wspólny plan działania na rzecz konkurencyjności i dekarbonizacji” (COM(2025)0085),</w:t>
      </w:r>
    </w:p>
    <w:p w14:paraId="17353DC0" w14:textId="77777777" w:rsidR="008A53EC" w:rsidRPr="006D2774" w:rsidRDefault="008A53EC" w:rsidP="008A53EC">
      <w:pPr>
        <w:pStyle w:val="NormalHanging"/>
      </w:pPr>
      <w:r w:rsidRPr="006D2774">
        <w:t>–</w:t>
      </w:r>
      <w:r w:rsidRPr="006D2774">
        <w:tab/>
        <w:t>uwzględniając komunikat Komisji z 26 lutego 2025 r. pt. „Plan działania na rzecz przystępnej cenowo energii – Odblokowanie prawdziwego potencjału unii energetycznej w celu zapewnienia przystępnej cenowo, efektywnej i czystej energii dla wszystkich Europejczyków (COM(2025)0079),</w:t>
      </w:r>
    </w:p>
    <w:p w14:paraId="708EB541" w14:textId="77777777" w:rsidR="008A53EC" w:rsidRPr="006D2774" w:rsidRDefault="008A53EC" w:rsidP="008A53EC">
      <w:pPr>
        <w:pStyle w:val="NormalHanging"/>
      </w:pPr>
      <w:r w:rsidRPr="006D2774">
        <w:t>–</w:t>
      </w:r>
      <w:r w:rsidRPr="006D2774">
        <w:tab/>
        <w:t xml:space="preserve">uwzględniając sprawozdanie Maria </w:t>
      </w:r>
      <w:proofErr w:type="spellStart"/>
      <w:r w:rsidRPr="006D2774">
        <w:t>Draghiego</w:t>
      </w:r>
      <w:proofErr w:type="spellEnd"/>
      <w:r w:rsidRPr="006D2774">
        <w:t xml:space="preserve"> z 9 września 2024 r. na temat przyszłości europejskiej konkurencyjności,</w:t>
      </w:r>
    </w:p>
    <w:p w14:paraId="2DCC7BE5" w14:textId="77777777" w:rsidR="008A53EC" w:rsidRPr="006D2774" w:rsidRDefault="008A53EC" w:rsidP="008A53EC">
      <w:pPr>
        <w:pStyle w:val="NormalHanging"/>
      </w:pPr>
      <w:r w:rsidRPr="006D2774">
        <w:t>–</w:t>
      </w:r>
      <w:r w:rsidRPr="006D2774">
        <w:tab/>
        <w:t>uwzględniając wniosek Komisji z 16 lipca 2025 r. dotyczący rozporządzenia Parlamentu Europejskiego i Rady w sprawie ustanowienia Europejskiego Funduszu Konkurencyjności („EFK”), w tym programu szczegółowego działań na rzecz badań naukowych i innowacji w dziedzinie obronności, uchylenia rozporządzeń (UE) 2021/522, (UE) 2021/694, (UE) 2021/697, (UE) 2021/783, uchylenia przepisów rozporządzeń (UE) 2021/696, (UE) 2023/588 oraz zmiany rozporządzenia (UE) [EDIP] (COM(2025)0555),</w:t>
      </w:r>
    </w:p>
    <w:p w14:paraId="18B9CEA5" w14:textId="77777777" w:rsidR="008A53EC" w:rsidRPr="006D2774" w:rsidRDefault="008A53EC" w:rsidP="008A53EC">
      <w:pPr>
        <w:pStyle w:val="NormalHanging"/>
      </w:pPr>
      <w:r w:rsidRPr="006D2774">
        <w:t>–</w:t>
      </w:r>
      <w:r w:rsidRPr="006D2774">
        <w:tab/>
        <w:t>uwzględniając porozumienie trójstronne między Komisją, Europejskim Trybunałem Obrachunkowym i Europejskim Bankiem Inwestycyjnym, które weszło w życie w listopadzie 2021 r.,</w:t>
      </w:r>
    </w:p>
    <w:p w14:paraId="2B394A3D" w14:textId="77777777" w:rsidR="008A53EC" w:rsidRPr="006D2774" w:rsidRDefault="008A53EC" w:rsidP="008A53EC">
      <w:pPr>
        <w:pStyle w:val="NormalHanging"/>
      </w:pPr>
      <w:r w:rsidRPr="006D2774">
        <w:t>–</w:t>
      </w:r>
      <w:r w:rsidRPr="006D2774">
        <w:tab/>
        <w:t>uwzględniając art. 55 Regulaminu,</w:t>
      </w:r>
    </w:p>
    <w:p w14:paraId="4FE1C5C6" w14:textId="77777777" w:rsidR="008A53EC" w:rsidRPr="006D2774" w:rsidRDefault="008A53EC" w:rsidP="008A53EC">
      <w:pPr>
        <w:pStyle w:val="NormalHanging"/>
      </w:pPr>
      <w:r w:rsidRPr="006D2774">
        <w:t>–</w:t>
      </w:r>
      <w:r w:rsidRPr="006D2774">
        <w:tab/>
        <w:t>uwzględniając sprawozdanie Komisji Budżetowej (A10-0170/2026),</w:t>
      </w:r>
    </w:p>
    <w:p w14:paraId="236D1EF0" w14:textId="77777777" w:rsidR="008A53EC" w:rsidRPr="006D2774" w:rsidRDefault="008A53EC" w:rsidP="008A53EC">
      <w:pPr>
        <w:pStyle w:val="NormalHanging"/>
      </w:pPr>
      <w:r w:rsidRPr="006D2774">
        <w:t>A.</w:t>
      </w:r>
      <w:r w:rsidRPr="006D2774">
        <w:tab/>
        <w:t>mając na uwadze, że według informacji przedstawionych przez EBI jego łączne inwestycje osiągnęły rekordowy poziom 100 mld EUR w 2025 r. w porównaniu z 89 mld EUR w 2024 r.; mając na uwadze, że wskaźnik dźwigni EBI zwiększono do 290 %, co daje EBI dodatkową przestrzeń do inwestowania i wspierania wspólnych priorytetów UE;</w:t>
      </w:r>
    </w:p>
    <w:p w14:paraId="2C48A725" w14:textId="77777777" w:rsidR="008A53EC" w:rsidRPr="006D2774" w:rsidRDefault="008A53EC" w:rsidP="008A53EC">
      <w:pPr>
        <w:pStyle w:val="NormalHanging"/>
      </w:pPr>
      <w:r w:rsidRPr="006D2774">
        <w:t>B.</w:t>
      </w:r>
      <w:r w:rsidRPr="006D2774">
        <w:tab/>
        <w:t>mając na uwadze, że EBI przyczynia się do eliminowania niedoskonałości rynku i luk inwestycyjnych przez mobilizowanie kapitału prywatnego, a jednocześnie jest rynkową instytucją finansową funkcjonującą w oparciu o solidne zasady bankowe;</w:t>
      </w:r>
    </w:p>
    <w:p w14:paraId="7A40F4A1" w14:textId="77777777" w:rsidR="008A53EC" w:rsidRPr="006D2774" w:rsidRDefault="008A53EC" w:rsidP="008A53EC">
      <w:pPr>
        <w:pStyle w:val="NormalHanging"/>
      </w:pPr>
      <w:r w:rsidRPr="006D2774">
        <w:t>C.</w:t>
      </w:r>
      <w:r w:rsidRPr="006D2774">
        <w:tab/>
        <w:t>mając na uwadze, że EBI, należący w całości do państw członkowskich, ma przyczyniać się do osiągnięcia celów Unii, w szczególności do rozwoju rynku wewnętrznego i wzmocnienia potencjału Unii w zakresie tworzenia miejsc pracy, wzrostu gospodarczego i konkurencyjności oraz dwojakiej transformacji; mając na uwadze, że jego mandat obejmuje również promowanie polityki Unii w państwach trzecich;</w:t>
      </w:r>
    </w:p>
    <w:p w14:paraId="28F5BB8D" w14:textId="77777777" w:rsidR="008A53EC" w:rsidRPr="006D2774" w:rsidRDefault="008A53EC" w:rsidP="008A53EC">
      <w:pPr>
        <w:pStyle w:val="Normal12a"/>
      </w:pPr>
      <w:r w:rsidRPr="006D2774">
        <w:rPr>
          <w:b/>
          <w:i/>
        </w:rPr>
        <w:t>Informacje ogólne</w:t>
      </w:r>
    </w:p>
    <w:p w14:paraId="7628DBD3" w14:textId="77777777" w:rsidR="008A53EC" w:rsidRPr="006D2774" w:rsidRDefault="008A53EC" w:rsidP="008A53EC">
      <w:pPr>
        <w:pStyle w:val="NormalHanging12a"/>
      </w:pPr>
      <w:r w:rsidRPr="006D2774">
        <w:t>1.</w:t>
      </w:r>
      <w:r w:rsidRPr="006D2774">
        <w:tab/>
        <w:t>z zadowoleniem przyjmuje strategiczny plan działania EBI na lata 2024–2027 służący wspieraniu priorytetów politycznych UE, w tym uruchomieniu inwestycji w celu wzmocnienia bazy gospodarczej i przemysłowej Europy, wspierania innowacji, konkurencyjności, technologii krytycznych, bezpieczeństwa i obrony, pobudzenia zrównoważonego wzrostu gospodarczego, transformacji ekologicznej i cyfrowej, rozwoju regionalnego, nowoczesnej i krytycznej infrastruktury, w tym infrastruktury społecznej, takiej jak mieszkalnictwo, edukacja i zdrowie, oraz odpornego i innowacyjnego sektora rolnego, a także ukierunkowania na europejskie MŚP i przedsiębiorstwa typu start-</w:t>
      </w:r>
      <w:proofErr w:type="spellStart"/>
      <w:r w:rsidRPr="006D2774">
        <w:t>up</w:t>
      </w:r>
      <w:proofErr w:type="spellEnd"/>
      <w:r w:rsidRPr="006D2774">
        <w:t>, przy jednoczesnym sprzyjaniu partnerstwom międzynarodowym oraz sfinalizowaniu unii oszczędności i inwestycji;</w:t>
      </w:r>
    </w:p>
    <w:p w14:paraId="1886120F" w14:textId="77777777" w:rsidR="008A53EC" w:rsidRPr="006D2774" w:rsidRDefault="008A53EC" w:rsidP="008A53EC">
      <w:pPr>
        <w:pStyle w:val="NormalHanging12a"/>
      </w:pPr>
      <w:r w:rsidRPr="006D2774">
        <w:t>2.</w:t>
      </w:r>
      <w:r w:rsidRPr="006D2774">
        <w:tab/>
        <w:t>podkreśla, że na przestrzeni lat EBI ściśle kierował się priorytetami europejskimi; z dużym zadowoleniem przyjmuje nadanie większego priorytetu inwestycjom wzmacniającym konkurencyjność, odporność przemysłową i bezpieczeństwo Europy oraz wzywa do ich szybkiego i skutecznego wdrożenia; popiera rolę EBI jako banku klimatycznego oraz zauważa, że działania w dziedzinie klimatu uznano za najważniejszy priorytet strategiczny grupy EBI na lata 2024–2027 – na transformację ekologiczną przeznaczono znacznie ponad 50 % rocznych inwestycji; apeluje o wyższe poziomy inwestycji w priorytety związane z konkurencyjnością, w szczególności dla MŚP i przedsiębiorstw typu start-</w:t>
      </w:r>
      <w:proofErr w:type="spellStart"/>
      <w:r w:rsidRPr="006D2774">
        <w:t>up</w:t>
      </w:r>
      <w:proofErr w:type="spellEnd"/>
      <w:r w:rsidRPr="006D2774">
        <w:t>, oraz o zwiększenie skali działalności innowacyjnych przedsiębiorstw europejskich, biorąc pod uwagę ich kluczową rolę w niwelowaniu luki w konkurencyjności Europy; podkreśla konieczność utrzymania równowagi w portfelu EBI, w tym w zakresie bezpieczeństwa i obrony, klimatu, konkurencyjności, spójności, innowacji, współpracy i rozwoju;</w:t>
      </w:r>
    </w:p>
    <w:p w14:paraId="6A6F8C35" w14:textId="77777777" w:rsidR="008A53EC" w:rsidRPr="006D2774" w:rsidRDefault="008A53EC" w:rsidP="008A53EC">
      <w:pPr>
        <w:pStyle w:val="NormalHanging12a"/>
      </w:pPr>
      <w:r w:rsidRPr="006D2774">
        <w:t>3.</w:t>
      </w:r>
      <w:r w:rsidRPr="006D2774">
        <w:tab/>
        <w:t>zwraca uwagę, że EBI jest wiarygodnym podmiotem na międzynarodowych rynkach finansowych, o czym świadczy jego rating kredytowy na poziomie „potrójnego A”; podkreśla, że utrzymanie tego ratingu jest kluczowe, aby umożliwić EBI pozyskiwanie funduszy na korzystnych warunkach, oraz że obniżenie tego ratingu znacznie zwiększyłoby koszty finansowania; wzywa EBI do ścisłego monitorowania wpływu jego rozszerzonych działań obronnych na jego rating kredytowy na poziomie „potrójnego A”;</w:t>
      </w:r>
    </w:p>
    <w:p w14:paraId="5462C763" w14:textId="77777777" w:rsidR="008A53EC" w:rsidRPr="006D2774" w:rsidRDefault="008A53EC" w:rsidP="008A53EC">
      <w:pPr>
        <w:pStyle w:val="NormalHanging12a"/>
      </w:pPr>
      <w:r w:rsidRPr="006D2774">
        <w:t>4.</w:t>
      </w:r>
      <w:r w:rsidRPr="006D2774">
        <w:tab/>
        <w:t>podkreśla kluczową rolę EBI w mobilizowaniu finansowania publicznego i prywatnego w celu wyeliminowania luk inwestycyjnych i wzmocnienia odporności gospodarczej Unii w obliczu wyzwań na świecie; przypomina zasadnicze znaczenie koordynacji transgranicznej, integracji rynku kapitałowego i dobrego funkcjonowania jednolitego rynku; wzywa Komisję i EBI do pełnego wykorzystania potencjału EBI i odblokowania finansowania potrzebnego do transformacji ekologicznej, cyfrowej i społecznej;</w:t>
      </w:r>
    </w:p>
    <w:p w14:paraId="6C87FDA6" w14:textId="77777777" w:rsidR="008A53EC" w:rsidRPr="006D2774" w:rsidRDefault="008A53EC" w:rsidP="008A53EC">
      <w:pPr>
        <w:pStyle w:val="NormalHanging12a"/>
      </w:pPr>
      <w:r w:rsidRPr="006D2774">
        <w:t>5.</w:t>
      </w:r>
      <w:r w:rsidRPr="006D2774">
        <w:tab/>
        <w:t>podkreśla, że działania na szczeblu UE powinny uzupełniać inwestycje państw członkowskich, zamiast te inwestycje wypierać; apeluje zatem o odpowiednią elastyczność w ramach EBI dotyczących kwalifikowalności i oceny, aby uwzględnić krajowe i regionalne potrzeby inwestycyjne; przypomina, że publiczne banki i instytucje rozwoju powinny zmniejszać ryzyko rentownych projektów tam, gdzie istnieją luki rynkowe, ale nie zastępować kapitału prywatnego; podkreśla ponadto, że EBI powinien odgrywać kluczową rolę w umożliwianiu zarówno bankom komercyjnym, jak i publicznym inwestowania w europejski sektor obronny; zauważa, że unijne ramy zrównoważonego finansowania nie nakładają ogólnych ograniczeń na inwestycje w obronność;</w:t>
      </w:r>
    </w:p>
    <w:p w14:paraId="381ABD98" w14:textId="77777777" w:rsidR="008A53EC" w:rsidRPr="006D2774" w:rsidRDefault="008A53EC" w:rsidP="008A53EC">
      <w:pPr>
        <w:pStyle w:val="NormalHanging12a"/>
      </w:pPr>
      <w:r w:rsidRPr="006D2774">
        <w:t>6.</w:t>
      </w:r>
      <w:r w:rsidRPr="006D2774">
        <w:tab/>
        <w:t xml:space="preserve">z zadowoleniem przyjmuje apel o wzmocnienie EBI w kolejnych wieloletnich ramach finansowych, aby umożliwić mu udzielanie wsparcia finansowego na rzecz wspólnych priorytetów unijnych, w szczególności w ramach Instrumentu EFK </w:t>
      </w:r>
      <w:proofErr w:type="spellStart"/>
      <w:r w:rsidRPr="006D2774">
        <w:t>InvestEU</w:t>
      </w:r>
      <w:proofErr w:type="spellEnd"/>
      <w:r w:rsidRPr="006D2774">
        <w:t xml:space="preserve"> i funduszu „Globalny wymiar Europy”, a także za pośrednictwem instrumentów finansowych i gwarancji budżetowych, które okazały się bardzo skuteczne w realizacji kluczowych celów polityki UE; podkreśla, że EBI powinien uruchomić wystarczające finansowanie, zasilić płynność i zwiększyć ambicje w zakresie wspierania inwestycji prywatnych i publicznych za pośrednictwem </w:t>
      </w:r>
      <w:proofErr w:type="spellStart"/>
      <w:r w:rsidRPr="006D2774">
        <w:t>InvestEU</w:t>
      </w:r>
      <w:proofErr w:type="spellEnd"/>
      <w:r w:rsidRPr="006D2774">
        <w:t xml:space="preserve">; zgodnie ze swoim wstępnym sprawozdaniem w sprawie wieloletnich ram finansowych na lata 2028–2034 wzywa do wzmocnienia udanych programów unijnych, takich jak </w:t>
      </w:r>
      <w:proofErr w:type="spellStart"/>
      <w:r w:rsidRPr="006D2774">
        <w:t>InvestEU</w:t>
      </w:r>
      <w:proofErr w:type="spellEnd"/>
      <w:r w:rsidRPr="006D2774">
        <w:t>, oraz do pogłębienia partnerstwa inwestycyjnego z grupą EBI, tak aby każde euro wydane na szczeblu Unii było wykorzystywane w jak najbardziej skuteczny sposób, przynosząc rzeczywisty wpływ;</w:t>
      </w:r>
    </w:p>
    <w:p w14:paraId="74E84675" w14:textId="77777777" w:rsidR="008A53EC" w:rsidRPr="006D2774" w:rsidRDefault="008A53EC" w:rsidP="008A53EC">
      <w:pPr>
        <w:pStyle w:val="NormalHanging12a"/>
      </w:pPr>
      <w:r w:rsidRPr="006D2774">
        <w:t>7.</w:t>
      </w:r>
      <w:r w:rsidRPr="006D2774">
        <w:tab/>
        <w:t>podkreśla znaczenie zwiększonej komplementarności i synergii między finansowaniem EBI a innymi instrumentami UE, aby zmaksymalizować wpływ i zapewnić spójne strategie inwestycji terytorialnych; wzywa EBI i Komisję do opracowania jasnych ram koordynacji ułatwiających wspólne korzystanie z tych instrumentów na poziomie projektu;</w:t>
      </w:r>
    </w:p>
    <w:p w14:paraId="0DE3F955" w14:textId="77777777" w:rsidR="008A53EC" w:rsidRPr="006D2774" w:rsidRDefault="008A53EC" w:rsidP="008A53EC">
      <w:pPr>
        <w:pStyle w:val="NormalHanging12a"/>
      </w:pPr>
      <w:r w:rsidRPr="006D2774">
        <w:t>8.</w:t>
      </w:r>
      <w:r w:rsidRPr="006D2774">
        <w:tab/>
        <w:t>wzywa EBI do odgrywania aktywnej roli we wspieraniu ciągłości i ukończenia projektów zainicjowanych w ramach Instrumentu na rzecz Odbudowy i Zwiększania Odporności (RRF), chroniąc cele po dacie granicznej; podkreśla, że finansowanie i pomoc techniczna EBI mogą stanowić kluczowy pomost gwarantujący, że projekty finansowane z RRF przyniosą zamierzone skutki gospodarcze i społeczne;</w:t>
      </w:r>
    </w:p>
    <w:p w14:paraId="7DE0EB0C" w14:textId="77777777" w:rsidR="008A53EC" w:rsidRPr="006D2774" w:rsidRDefault="008A53EC" w:rsidP="008A53EC">
      <w:pPr>
        <w:pStyle w:val="NormalHanging12a"/>
      </w:pPr>
      <w:r w:rsidRPr="006D2774">
        <w:t>9.</w:t>
      </w:r>
      <w:r w:rsidRPr="006D2774">
        <w:tab/>
        <w:t>zachęca EBI, aby w dalszym ciągu pracował nad innowacyjnymi instrumentami finansowymi w celu zmobilizowania znacznych oszczędności prywatnych w Europie na rzecz inwestycji produkcyjnych, zwłaszcza przez zaangażowanie inwestorów instytucjonalnych we wspieranie kapitału wysokiego ryzyka, tak aby sprzyjać realizacji unii oszczędności i inwestycji; podkreśla, że inwestycje wspierane przez EBI powinny obejmować ocenę wpływu na konkurencyjność, tak aby fundusze UE skutecznie pobudzały innowacje, wydajność i skalowanie rynku w kluczowych gałęziach przemysłu;</w:t>
      </w:r>
    </w:p>
    <w:p w14:paraId="38A61BE7" w14:textId="77777777" w:rsidR="008A53EC" w:rsidRPr="006D2774" w:rsidRDefault="008A53EC" w:rsidP="008A53EC">
      <w:pPr>
        <w:pStyle w:val="NormalHanging12a"/>
      </w:pPr>
      <w:r w:rsidRPr="006D2774">
        <w:t>10.</w:t>
      </w:r>
      <w:r w:rsidRPr="006D2774">
        <w:tab/>
        <w:t>przypomina, że EBI był pierwszym emitentem zielonych obligacji i jest obecnie ich największym wielowalutowym emitentem; z zadowoleniem przyjmuje fakt, że 2 kwietnia 2025 r. EBI wyemitował swoje pierwsze obligacje „odpowiedzialne środowiskowo” zgodne z rozporządzeniem w sprawie unijnych standardów zielonych obligacji</w:t>
      </w:r>
      <w:r w:rsidRPr="006D2774">
        <w:rPr>
          <w:rStyle w:val="FootnoteReference"/>
        </w:rPr>
        <w:footnoteReference w:customMarkFollows="1" w:id="1"/>
        <w:t>1</w:t>
      </w:r>
      <w:r w:rsidRPr="006D2774">
        <w:t>; podkreśla kluczową rolę EBI w rozwoju rynku zielonych obligacji i zapewnianiu rozwiązań finansowych dla przedsiębiorstw działających w sposób zrównoważony;</w:t>
      </w:r>
    </w:p>
    <w:p w14:paraId="5789402A" w14:textId="77777777" w:rsidR="008A53EC" w:rsidRPr="006D2774" w:rsidRDefault="008A53EC" w:rsidP="008A53EC">
      <w:pPr>
        <w:pStyle w:val="Normal12a"/>
      </w:pPr>
      <w:r w:rsidRPr="006D2774">
        <w:rPr>
          <w:b/>
          <w:i/>
        </w:rPr>
        <w:t xml:space="preserve">Wspieranie innowacji z myślą o wiodącej pozycji technologicznej </w:t>
      </w:r>
    </w:p>
    <w:p w14:paraId="476F5D87" w14:textId="77777777" w:rsidR="008A53EC" w:rsidRPr="006D2774" w:rsidRDefault="008A53EC" w:rsidP="008A53EC">
      <w:pPr>
        <w:pStyle w:val="NormalHanging12a"/>
      </w:pPr>
      <w:r w:rsidRPr="006D2774">
        <w:t>11.</w:t>
      </w:r>
      <w:r w:rsidRPr="006D2774">
        <w:tab/>
        <w:t xml:space="preserve">wyraża zaniepokojenie, że UE grozi utrata kapitału, talentów i zdolności innowacyjnych na rzecz szybciej zmieniających się światowych konkurentów oraz że UE nadal pozostaje w tyle pod względem kluczowych technologii prorozwojowych; z zadowoleniem przyjmuje uruchomienie programu </w:t>
      </w:r>
      <w:proofErr w:type="spellStart"/>
      <w:r w:rsidRPr="006D2774">
        <w:t>TechEU</w:t>
      </w:r>
      <w:proofErr w:type="spellEnd"/>
      <w:r w:rsidRPr="006D2774">
        <w:t xml:space="preserve"> w oparciu o udaną europejską inicjatywę na rzecz liderów technologii (</w:t>
      </w:r>
      <w:proofErr w:type="spellStart"/>
      <w:r w:rsidRPr="006D2774">
        <w:t>European</w:t>
      </w:r>
      <w:proofErr w:type="spellEnd"/>
      <w:r w:rsidRPr="006D2774">
        <w:t xml:space="preserve"> Tech </w:t>
      </w:r>
      <w:proofErr w:type="spellStart"/>
      <w:r w:rsidRPr="006D2774">
        <w:t>Champions</w:t>
      </w:r>
      <w:proofErr w:type="spellEnd"/>
      <w:r w:rsidRPr="006D2774">
        <w:t xml:space="preserve"> </w:t>
      </w:r>
      <w:proofErr w:type="spellStart"/>
      <w:r w:rsidRPr="006D2774">
        <w:t>Initiative</w:t>
      </w:r>
      <w:proofErr w:type="spellEnd"/>
      <w:r w:rsidRPr="006D2774">
        <w:t xml:space="preserve"> – ETCI), w ramach której zmobilizowano inwestycje o wartości do 250 mld EUR; apeluje, aby w tym programie priorytetowo traktować inwestycje, które mogą konkurować w skali globalnej i przyczynić się do długoterminowego zrównoważonego wzrostu gospodarczego, a także wzmocnić europejskie łańcuchy dostaw i zmniejszyć strategiczne zależności; podkreśla potrzebę zwiększenia inwestycji w europejskie technologie i sektory o kluczowym znaczeniu dla długoterminowej odporności, w tym półprzewodniki, łańcuchy wartości baterii, suwerenność cyfrową i produkcję czystych technologii; zachęca EBI do zwiększenia udziału finansowania prognozowanego na 2027 r.; apeluje o zrównoważoną i kompleksową alokację zasobów w ramach programu </w:t>
      </w:r>
      <w:proofErr w:type="spellStart"/>
      <w:r w:rsidRPr="006D2774">
        <w:t>TechEU</w:t>
      </w:r>
      <w:proofErr w:type="spellEnd"/>
      <w:r w:rsidRPr="006D2774">
        <w:t xml:space="preserve"> dla MŚP, przedsiębiorstw typu start-</w:t>
      </w:r>
      <w:proofErr w:type="spellStart"/>
      <w:r w:rsidRPr="006D2774">
        <w:t>up</w:t>
      </w:r>
      <w:proofErr w:type="spellEnd"/>
      <w:r w:rsidRPr="006D2774">
        <w:t xml:space="preserve"> i przedsiębiorstw </w:t>
      </w:r>
      <w:proofErr w:type="spellStart"/>
      <w:r w:rsidRPr="006D2774">
        <w:t>scale-up</w:t>
      </w:r>
      <w:proofErr w:type="spellEnd"/>
      <w:r w:rsidRPr="006D2774">
        <w:t>, aby zapewnić odpowiednie wsparcie konkurencyjności wraz z innymi podstawowymi celami; podkreśla potrzebę szybszego wdrażania takich programów, aby nadążyć za tempem innowacji i przedsiębiorstw typu start-</w:t>
      </w:r>
      <w:proofErr w:type="spellStart"/>
      <w:r w:rsidRPr="006D2774">
        <w:t>up</w:t>
      </w:r>
      <w:proofErr w:type="spellEnd"/>
      <w:r w:rsidRPr="006D2774">
        <w:t>; wzywa do zwiększenia budżetu Europejskiego Funduszu Inwestycyjnego przeznaczonego na ekosystem kapitału wysokiego ryzyka UE;</w:t>
      </w:r>
    </w:p>
    <w:p w14:paraId="1663EED2" w14:textId="245449F8" w:rsidR="008A53EC" w:rsidRPr="006D2774" w:rsidRDefault="008A53EC" w:rsidP="008A53EC">
      <w:pPr>
        <w:pStyle w:val="NormalHanging12a"/>
      </w:pPr>
      <w:r w:rsidRPr="006D2774">
        <w:t>12.</w:t>
      </w:r>
      <w:r w:rsidRPr="006D2774">
        <w:tab/>
        <w:t xml:space="preserve">zauważa, że niemal 60 % finansowania EBI w 2025 r. przeznaczono na przejście na gospodarkę niskoemisyjną; apeluje do EBI, aby umożliwił przewidywalną, </w:t>
      </w:r>
      <w:proofErr w:type="spellStart"/>
      <w:r w:rsidRPr="006D2774">
        <w:t>inkluzywną</w:t>
      </w:r>
      <w:proofErr w:type="spellEnd"/>
      <w:r w:rsidRPr="006D2774">
        <w:t>, sprawiedliwą i przystępną cenowo transformację, bez nakładania nadmiernych obciążeń na przemysł i gospodarstwa domowe, co pozwoli zwiększyć konkurencyjność i bezpieczeństwo gospodarcze; podkreśla, że inwestycje w dziedzinie klimatu i środowiska mogą przyczyniać się do wzmocnienia europejskiej bazy przemysłowej, wydajności i globalnej konkurencyjności; popiera inwestycje we wszystkich przemysłowych łańcuchach wartości, w tym w technologie niskowęglowe, aby umożliwić zrównoważone pod względem gospodarczym ścieżki dekarbonizacji, jeżeli takie inwestycje są napędzane innowacjami i mają wyraźny potencjał zwiększenia konkurencyjności rynku i europejskiej autonomii strategicznej;</w:t>
      </w:r>
      <w:r w:rsidR="00C7468A">
        <w:t xml:space="preserve"> </w:t>
      </w:r>
      <w:r w:rsidR="00C7468A" w:rsidRPr="00C7468A">
        <w:t>wzywa EBI do stosowania neutralnych pod względem technologicznym kryteriów oceny, takich jak intensywność emisji dwutlenku węgla i stabilność sieci w całym cyklu życia, podczas finansowania projektów dotyczących energii niskoemisyjnej, w tym energii jądrowej, przy pełnym poszanowaniu suwerennego prawa każdego państwa członkowskiego do określania własnego koszyka energetycznego;</w:t>
      </w:r>
    </w:p>
    <w:p w14:paraId="12CD9B8D" w14:textId="77777777" w:rsidR="008A53EC" w:rsidRPr="006D2774" w:rsidRDefault="008A53EC" w:rsidP="008A53EC">
      <w:pPr>
        <w:pStyle w:val="NormalHanging12a"/>
      </w:pPr>
      <w:r w:rsidRPr="006D2774">
        <w:t>13.</w:t>
      </w:r>
      <w:r w:rsidRPr="006D2774">
        <w:tab/>
        <w:t>przypomina, że czyste technologie mogą przyczynić się do wzmocnienia suwerenności i konkurencyjności UE; z zadowoleniem przyjmuje dostosowanie się EBI do unijnych ram zrównoważonego finansowania, w tym włączenie unijnych kryteriów systematyki; wzywa do dalszych inwestycji o wyraźnym i wymiernym wpływie na redukcję emisji; podkreśla potrzebę inwestowania w przystosowanie się do zmiany klimatu i odporność na nią; zachęca do inwestycji w badania i rozwój, a także w innowacyjne technologie, jako przygotowanie na zmianę klimatu; z zadowoleniem przyjmuje porozumienie EBI i Europejskiej Agencji Środowiska w sprawie pogłębienia współpracy w zakresie różnorodności biologicznej i działań na rzecz klimatu; oczekuje, że EBI wykorzysta swoją pomoc techniczną i usługi doradcze, w szczególności do wspierania projektów zapewniających przystępny cenowo dostęp do energii ze źródeł odnawialnych, ze szczególnym uwzględnieniem obniżenia cen energii i zagwarantowania bezpieczeństwa dostaw energii, w tym dla gospodarstw domowych znajdujących się w trudnej sytuacji;</w:t>
      </w:r>
    </w:p>
    <w:p w14:paraId="74D5189B" w14:textId="77777777" w:rsidR="008A53EC" w:rsidRPr="006D2774" w:rsidRDefault="008A53EC" w:rsidP="008A53EC">
      <w:pPr>
        <w:pStyle w:val="NormalHanging12a"/>
      </w:pPr>
      <w:r w:rsidRPr="006D2774">
        <w:t>14.</w:t>
      </w:r>
      <w:r w:rsidRPr="006D2774">
        <w:tab/>
        <w:t>zauważa, że w 2025 r. EBI zapewnił małym przedsiębiorstwom i przedsiębiorstwom typu start-</w:t>
      </w:r>
      <w:proofErr w:type="spellStart"/>
      <w:r w:rsidRPr="006D2774">
        <w:t>up</w:t>
      </w:r>
      <w:proofErr w:type="spellEnd"/>
      <w:r w:rsidRPr="006D2774">
        <w:t xml:space="preserve"> finansowanie w wysokości 16 mld EUR; podkreśla, że poprawa dostępu do finansowania, w szczególności do kapitału wysokiego ryzyka, </w:t>
      </w:r>
      <w:proofErr w:type="spellStart"/>
      <w:r w:rsidRPr="006D2774">
        <w:t>private</w:t>
      </w:r>
      <w:proofErr w:type="spellEnd"/>
      <w:r w:rsidRPr="006D2774">
        <w:t xml:space="preserve"> equity i finansowania na rzecz przedsiębiorstw </w:t>
      </w:r>
      <w:proofErr w:type="spellStart"/>
      <w:r w:rsidRPr="006D2774">
        <w:t>scale-up</w:t>
      </w:r>
      <w:proofErr w:type="spellEnd"/>
      <w:r w:rsidRPr="006D2774">
        <w:t xml:space="preserve">, ma kluczowe znaczenie dla wspierania wzrostu i umiędzynarodowienia konkurencyjnych przedsiębiorstw europejskich; apeluje o wzmożenie wysiłków na rzecz usunięcia luki w finansowaniu dla szybko rozwijających się przedsiębiorstw oraz wspierania bardziej dynamicznego i zintegrowanego europejskiego rynku kapitałowego; jest zdania, że należy zintensyfikować wysiłki na rzecz mobilizacji dodatkowych zasobów dla MŚP i przedsiębiorstw </w:t>
      </w:r>
      <w:proofErr w:type="spellStart"/>
      <w:r w:rsidRPr="006D2774">
        <w:t>scale-up</w:t>
      </w:r>
      <w:proofErr w:type="spellEnd"/>
      <w:r w:rsidRPr="006D2774">
        <w:t>, aby zapewnić im możliwość konkurowania w skali globalnej; wzywa EBI do większego finansowania MŚP w całej Unii; zachęca EFI do zwiększenia liczby inicjatyw wspierających przedsiębiorstwa typu start-</w:t>
      </w:r>
      <w:proofErr w:type="spellStart"/>
      <w:r w:rsidRPr="006D2774">
        <w:t>up</w:t>
      </w:r>
      <w:proofErr w:type="spellEnd"/>
      <w:r w:rsidRPr="006D2774">
        <w:t xml:space="preserve"> i przedsiębiorstwa </w:t>
      </w:r>
      <w:proofErr w:type="spellStart"/>
      <w:r w:rsidRPr="006D2774">
        <w:t>scale-up</w:t>
      </w:r>
      <w:proofErr w:type="spellEnd"/>
      <w:r w:rsidRPr="006D2774">
        <w:t>;</w:t>
      </w:r>
    </w:p>
    <w:p w14:paraId="2E1DEED7" w14:textId="29310022" w:rsidR="008A53EC" w:rsidRPr="006D2774" w:rsidRDefault="008A53EC" w:rsidP="008A53EC">
      <w:pPr>
        <w:pStyle w:val="NormalHanging12a"/>
      </w:pPr>
      <w:r w:rsidRPr="006D2774">
        <w:t>15.</w:t>
      </w:r>
      <w:r w:rsidRPr="006D2774">
        <w:tab/>
        <w:t>wzywa EBI do dalszego uproszczenia i przyspieszenia procedur składania i zatwierdzania wniosków, zmniejszenia obciążeń administracyjnych i wzmocnienia wsparcia dla małych beneficjentów, w tym władz lokalnych i regionalnych, gmin, MŚP i przedsiębiorstw typu start-</w:t>
      </w:r>
      <w:proofErr w:type="spellStart"/>
      <w:r w:rsidRPr="006D2774">
        <w:t>up</w:t>
      </w:r>
      <w:proofErr w:type="spellEnd"/>
      <w:r w:rsidRPr="006D2774">
        <w:t>, przez zapewnienie, aby warunki wstępne i wymogi w zakresie sprawozdawczości były proporcjonalne do wartości przydziału lub wielkości beneficjenta, bez uszczerbku dla standardów finansowych, oraz do przydzielania środków finansowych w oparciu o efektywność, rentowność i wymierny wpływ; apeluje w szczególności o lepszy dostęp do finansowania dla MŚP i przedsiębiorstw typu start-</w:t>
      </w:r>
      <w:proofErr w:type="spellStart"/>
      <w:r w:rsidRPr="006D2774">
        <w:t>up</w:t>
      </w:r>
      <w:proofErr w:type="spellEnd"/>
      <w:r w:rsidRPr="006D2774">
        <w:t xml:space="preserve">, w tym przez uproszczone kryteria kwalifikowalności i procedury w ramach </w:t>
      </w:r>
      <w:proofErr w:type="spellStart"/>
      <w:r w:rsidRPr="006D2774">
        <w:t>InvestEU</w:t>
      </w:r>
      <w:proofErr w:type="spellEnd"/>
      <w:r w:rsidRPr="006D2774">
        <w:t xml:space="preserve"> i EFI, zwłaszcza w regionach słabiej rozwiniętych i wiejskich, a także o zwiększoną pomoc techniczną; apeluje ponadto, aby środki finansowe były przydzielane w oparciu o efektywność, rentowność i wymierny wpływ, a także aby przeprowadzano proporcjonalne oceny ex post w celu zapewnienia skutecznego wykorzystania zasobów i przyciągania inwestycji prywatnych;</w:t>
      </w:r>
      <w:r w:rsidR="00C7468A">
        <w:t xml:space="preserve"> </w:t>
      </w:r>
      <w:r w:rsidR="00C7468A" w:rsidRPr="00C7468A">
        <w:t>wyraża zaniepokojenie, że nieproporcjonalne wymogi dotyczące sprawozdawczości w zakresie ochrony środowiska, polityki społecznej i ładu korporacyjnego nakładane na beneficjentów zniechęcają do realizacji opłacalnych ekonomicznie projektów i stawiają europejskie przedsiębiorstwa w niekorzystnej sytuacji konkurencyjnej, oraz wzywa EBI do przeglądu tych wymogów w celu zapewnienia proporcjonalności;</w:t>
      </w:r>
    </w:p>
    <w:p w14:paraId="4D6083BF" w14:textId="77777777" w:rsidR="008A53EC" w:rsidRPr="006D2774" w:rsidRDefault="008A53EC" w:rsidP="008A53EC">
      <w:pPr>
        <w:pStyle w:val="Normal12a"/>
      </w:pPr>
      <w:r w:rsidRPr="006D2774">
        <w:rPr>
          <w:b/>
          <w:i/>
        </w:rPr>
        <w:t>Finansowanie bezpieczeństwa energetycznego i bezpiecznych dostaw surowców krytycznych dla konkurencyjności przemysłu</w:t>
      </w:r>
    </w:p>
    <w:p w14:paraId="0AAB27D5" w14:textId="77777777" w:rsidR="008A53EC" w:rsidRPr="006D2774" w:rsidRDefault="008A53EC" w:rsidP="008A53EC">
      <w:pPr>
        <w:pStyle w:val="NormalHanging12a"/>
      </w:pPr>
      <w:r w:rsidRPr="006D2774">
        <w:t>16.</w:t>
      </w:r>
      <w:r w:rsidRPr="006D2774">
        <w:tab/>
        <w:t>podkreśla, że konkurencyjność przemysłu opiera się na przewidywalnych i przystępnych cenach energii; przypomina, że zmienność cen energii pozostaje zagrożeniem strukturalnym dla gospodarki UE ze względu na wyzwania geopolityczne i ograniczenia dostaw; odnotowuje, że w 2026 r. EBI koncentruje się na wzmocnieniu konkurencyjności i bezpieczeństwa; wzywa EBI do wspierania projektów dotyczących infrastruktury energetycznej, w tym projektów finansowanych w ramach instrumentu „Łącząc Europę”, w celu obniżenia cen energii dla gospodarstw domowych i przedsiębiorstw oraz zwiększenia podaży energii;</w:t>
      </w:r>
    </w:p>
    <w:p w14:paraId="6323CA01" w14:textId="77777777" w:rsidR="008A53EC" w:rsidRPr="006D2774" w:rsidRDefault="008A53EC" w:rsidP="008A53EC">
      <w:pPr>
        <w:pStyle w:val="NormalHanging12a"/>
      </w:pPr>
      <w:r w:rsidRPr="006D2774">
        <w:t>17.</w:t>
      </w:r>
      <w:r w:rsidRPr="006D2774">
        <w:tab/>
        <w:t>zauważa z zadowoleniem, że w 2025 r. EBI odnotował 33 mld EUR finansowania na rzecz bezpieczeństwa energetycznego Europy, wspierając inwestycje o łącznej wartości 108 mld EUR, w tym 11 mld EUR na odnawialne źródła energii w 2025 r.; apeluje o pragmatyczne wdrażanie polityki klimatycznej i energetycznej, aby zapewnić finansowanie opłacalnych rozwiązań, zgodnie z unijną systematyką dotyczącą zrównoważonego rozwoju i z uwzględnieniem wymiernych skutków gospodarczych, gwarantujących przystępną cenowo energię, strategiczną niezależność, niezawodność systemu i rozwój infrastruktury; przypomina, że sprawiedliwa transformacja jest jednym z filarów planu działania EBI w dziedzinie klimatu, i z zadowoleniem przyjmuje dążenie EBI do zapewnienia, aby przejście na gospodarkę niskoemisyjną było sprawiedliwe społecznie i zrównoważone oraz nie pozostawiło nikogo w tyle;</w:t>
      </w:r>
    </w:p>
    <w:p w14:paraId="6F0967F8" w14:textId="77777777" w:rsidR="008A53EC" w:rsidRPr="006D2774" w:rsidRDefault="008A53EC" w:rsidP="008A53EC">
      <w:pPr>
        <w:pStyle w:val="NormalHanging12a"/>
      </w:pPr>
      <w:r w:rsidRPr="006D2774">
        <w:t>18.</w:t>
      </w:r>
      <w:r w:rsidRPr="006D2774">
        <w:tab/>
        <w:t>podkreśla, że bezpieczeństwo dostaw surowców krytycznych ma kluczowe znaczenie dla transformacji ekologicznej i cyfrowej, sektora obronności oraz bazy przemysłowej UE w ogóle; przypomina o roli EBI w europejskim sojuszu na rzecz surowców oraz o celu Unii polegającym na zwiększeniu autonomii w zakresie dostaw surowców krytycznych; podkreśla, że w odniesieniu do surowców krytycznych należy przyjąć podejście oparte na gospodarce o obiegu zamkniętym, uwzględniające recykling i ponowne wykorzystanie, aby zmniejszyć zależność UE od państw trzecich i zwiększyć jej autonomię strategiczną; w związku z tym wzywa EBI do zwiększenia inwestycji w sektor surowców krytycznych, by poprawić odporność surowców, ze szczególnym uwzględnieniem osiągnięcia celów europejskiego aktu w sprawie surowców krytycznych</w:t>
      </w:r>
      <w:r w:rsidRPr="006D2774">
        <w:rPr>
          <w:rStyle w:val="FootnoteReference"/>
        </w:rPr>
        <w:footnoteReference w:customMarkFollows="1" w:id="2"/>
        <w:t>2</w:t>
      </w:r>
      <w:r w:rsidRPr="006D2774">
        <w:t>, zwłaszcza wydobycia, recyklingu i przetwarzania surowców wtórnych;</w:t>
      </w:r>
    </w:p>
    <w:p w14:paraId="56E68C9A" w14:textId="77777777" w:rsidR="008A53EC" w:rsidRPr="006D2774" w:rsidRDefault="008A53EC" w:rsidP="008A53EC">
      <w:pPr>
        <w:pStyle w:val="NormalHanging12a"/>
      </w:pPr>
      <w:r w:rsidRPr="006D2774">
        <w:t>19.</w:t>
      </w:r>
      <w:r w:rsidRPr="006D2774">
        <w:tab/>
        <w:t>apeluje o ściślejszą koordynację na szczeblu UE w zakresie surowców krytycznych, w tym do pogłębionej współpracy między EBI, agencjami kredytów eksportowych i innymi publicznymi instytucjami finansowymi; zauważa, że UE pozostaje w tyle za konkurentami takimi jak Kanada, Stany Zjednoczone i Australia, którzy stosują bardziej skoordynowane podejścia do finansowania obejmujące całą administrację rządową; podkreśla, że wszystkie projekty związane z surowcami krytycznymi uzyskujące wsparcie muszą spełniać wysokie normy środowiskowe i społeczne; wzywa EBI do zwiększenia przejrzystości wyboru i finansowania projektów na wszystkich etapach dotyczących surowców krytycznych określonych w akcie w sprawie surowców krytycznych;</w:t>
      </w:r>
    </w:p>
    <w:p w14:paraId="65ACE55B" w14:textId="77777777" w:rsidR="008A53EC" w:rsidRPr="006D2774" w:rsidRDefault="008A53EC" w:rsidP="008A53EC">
      <w:pPr>
        <w:pStyle w:val="Normal12a"/>
      </w:pPr>
      <w:r w:rsidRPr="006D2774">
        <w:rPr>
          <w:b/>
          <w:i/>
        </w:rPr>
        <w:t>Obronność i działania zewnętrzne</w:t>
      </w:r>
    </w:p>
    <w:p w14:paraId="34E7C61A" w14:textId="77777777" w:rsidR="008A53EC" w:rsidRPr="006D2774" w:rsidRDefault="008A53EC" w:rsidP="008A53EC">
      <w:pPr>
        <w:pStyle w:val="NormalHanging12a"/>
      </w:pPr>
      <w:r w:rsidRPr="006D2774">
        <w:t>20.</w:t>
      </w:r>
      <w:r w:rsidRPr="006D2774">
        <w:tab/>
        <w:t>popiera plan działania EBI z marca 2025 r. dotyczący wzmocnienia zdolności Europy w zakresie bezpieczeństwa i obrony; wyraża zadowolenie z dodatkowych 4 mld EUR nowego finansowania, co stanowi blisko 5 % całkowitych inwestycji EBI w UE; przypomina o zmianie unijnych priorytetów krótko- i średnioterminowych, która wywarła znaczną presję na budżety krajowe w odniesieniu do inwestycji w obronność i bezpieczeństwo; podkreśla, że biorąc pod uwagę mandat EBI do wspierania celów Unii, EBI powinien jeszcze bardziej zwiększyć swoje zaangażowanie w tych strategicznych sektorach, przy jednoczesnym utrzymaniu oceny ratingowej AAA; zauważa, że wsparcie finansowe EBI na rzecz mobilności wojskowej, infrastruktury strategicznej i zaawansowanych technologii jest jednym z kluczowych czynników napędzających integrację rynku i wzmacniających wspólne interesy europejskie; z zadowoleniem przyjmuje zaktualizowane kryteria kwalifikowalności zwiększające wsparcie dla małych i średnich przedsiębiorstw oraz przedsiębiorstw typu start-</w:t>
      </w:r>
      <w:proofErr w:type="spellStart"/>
      <w:r w:rsidRPr="006D2774">
        <w:t>up</w:t>
      </w:r>
      <w:proofErr w:type="spellEnd"/>
      <w:r w:rsidRPr="006D2774">
        <w:t xml:space="preserve"> za pomocą dostosowanych do potrzeb instrumentów finansowych, takich jak instrumenty dłużne typu venture, inwestycje kapitałowe i specjalne linie kredytowe; zauważa, że wydatki na obronność powinny zagwarantować strategiczną spójność i zrównoważone podejście oraz nie powinny podważać wydatków na działania społeczne i środowiskowe ani wieloletnich strategii politycznych Unii;</w:t>
      </w:r>
    </w:p>
    <w:p w14:paraId="3AA79874" w14:textId="77777777" w:rsidR="008A53EC" w:rsidRPr="006D2774" w:rsidRDefault="008A53EC" w:rsidP="008A53EC">
      <w:pPr>
        <w:pStyle w:val="NormalHanging12a"/>
      </w:pPr>
      <w:r w:rsidRPr="006D2774">
        <w:t>21.</w:t>
      </w:r>
      <w:r w:rsidRPr="006D2774">
        <w:tab/>
        <w:t>przypomina, że niektóre strategiczne sektory przemysłu obronnego i bezpieczeństwa nadal borykają się z ograniczeniami finansowania EBI; zauważa, że mimo decyzji EBI z 21 marca 2025 r. o rozszerzeniu kwalifikowalności utrzymują się pozostałe bariery, które utrudniają pełną mobilizację kapitału prywatnego na rzecz wspierania bezpieczeństwa europejskiego; wzywa Radę Gubernatorów EBI do dalszego dostosowywania praktyk EBI w zakresie udzielania pożyczek przemysłowi obronnemu zgodnie z konkluzjami Rady Europejskiej z 6 marca 2025 r.;</w:t>
      </w:r>
    </w:p>
    <w:p w14:paraId="4A907F25" w14:textId="77777777" w:rsidR="008A53EC" w:rsidRPr="006D2774" w:rsidRDefault="008A53EC" w:rsidP="008A53EC">
      <w:pPr>
        <w:pStyle w:val="NormalHanging12a"/>
      </w:pPr>
      <w:r w:rsidRPr="006D2774">
        <w:t>22.</w:t>
      </w:r>
      <w:r w:rsidRPr="006D2774">
        <w:tab/>
        <w:t>podkreśla znaczącą rolę UE i EBI w budowaniu wzajemnie korzystnych partnerstw gospodarczych z państwami spoza UE, co ma kluczowe znaczenie dla pozycji Europy na świecie w zakresie promowania wielostronnego systemu opartego na zasadach, zrównoważonego rozwoju, demokracji, praw człowieka i praworządności oraz wzmacniania odpornych łańcuchów dostaw i zrównoważonej infrastruktury; podkreśla, że EBI powinien systematycznie angażować społeczeństwo obywatelskie i społeczności lokalne na wszystkich etapach projektowania, wdrażania i oceny projektów, aby zagwarantować, że projekty realizowane w ramach Global Gateway odpowiadają lokalnym potrzebom i przynoszą znaczące wyniki w zakresie rozwoju; zauważa kluczową rolę EBI Global w odniesieniu do mobilizacji inwestycji w zrównoważony rozwój w ramach strategii Global Gateway oraz przekroczenie celu 100 mld EUR w 2025 r., a tym samym wzmocnienie interesów gospodarczych Europy i dostępu do rynku w konkurencyjnym środowisku globalnym;</w:t>
      </w:r>
    </w:p>
    <w:p w14:paraId="246A8296" w14:textId="77777777" w:rsidR="008A53EC" w:rsidRPr="006D2774" w:rsidRDefault="008A53EC" w:rsidP="008A53EC">
      <w:pPr>
        <w:pStyle w:val="NormalHanging12a"/>
      </w:pPr>
      <w:r w:rsidRPr="006D2774">
        <w:t>23.</w:t>
      </w:r>
      <w:r w:rsidRPr="006D2774">
        <w:tab/>
        <w:t>z dużym zadowoleniem przyjmuje stałe wsparcie EBI na rzecz realizacji i wzmacniania operacji sektorów publicznego i prywatnego w Ukrainie oraz na rzecz wspierania panafrykańskiego handlu, infrastruktury i integracji regionalnej w celu zacieśnienia więzi z Europą; podkreśla, że samo wsparcie ze strony EBI i UE nie wystarczy, aby zaspokoić potrzeby finansowe Ukrainy;</w:t>
      </w:r>
    </w:p>
    <w:p w14:paraId="25208DA9" w14:textId="77777777" w:rsidR="008A53EC" w:rsidRPr="006D2774" w:rsidRDefault="008A53EC" w:rsidP="008A53EC">
      <w:pPr>
        <w:pStyle w:val="NormalHanging12a"/>
      </w:pPr>
      <w:r w:rsidRPr="006D2774">
        <w:t>24.</w:t>
      </w:r>
      <w:r w:rsidRPr="006D2774">
        <w:tab/>
        <w:t>jest zaniepokojony szybko rosnącym poziomem zadłużenia i wyższymi kosztami finansowania zewnętrznego na rynkach wschodzących i w gospodarkach rozwijających się w czasie, gdy globalne wstrząsy stały się częstsze, a dług publiczny w takich krajach wzrósł do poziomu nienotowanego od 55 lat; podkreśla znaczenie EBI w zakresie finansowania; z zadowoleniem przyjmuje rolę innych instytucji wielostronnych w przyczynianiu się do zmniejszenia niezrównoważonego zadłużenia;</w:t>
      </w:r>
    </w:p>
    <w:p w14:paraId="6CE745B6" w14:textId="77777777" w:rsidR="008A53EC" w:rsidRDefault="008A53EC" w:rsidP="008A53EC">
      <w:pPr>
        <w:pStyle w:val="NormalHanging12a"/>
      </w:pPr>
      <w:r w:rsidRPr="006D2774">
        <w:t>25.</w:t>
      </w:r>
      <w:r w:rsidRPr="006D2774">
        <w:tab/>
        <w:t>ponawia swój apel do EBI Global o ograniczenie działań łączonych do obszarów, na których mogą one zapewnić wartość dodaną dla lokalnej gospodarki, o unikanie wypierania kapitału prywatnego oraz o dopilnowanie, aby finansowanie mieszane nie było wykorzystywane na potrzeby podstawowych usług publicznych, zwłaszcza związanych ze zdrowiem, edukacją i ochroną socjalną; przypomina, że inwestycjom EBI w tej dziedzinie powinny przyświecać cele polityki rozwojowej UE, zwłaszcza zwiększenie dostępu do powszechnej i przystępnej cenowo opieki zdrowotnej, aby zapewnić wszystkim lepszy stan zdrowia;</w:t>
      </w:r>
    </w:p>
    <w:p w14:paraId="187D9677" w14:textId="13794259" w:rsidR="00C7468A" w:rsidRDefault="00C7468A" w:rsidP="008A53EC">
      <w:pPr>
        <w:pStyle w:val="NormalHanging12a"/>
      </w:pPr>
      <w:r>
        <w:t>26</w:t>
      </w:r>
      <w:r w:rsidRPr="00C7468A">
        <w:t>.</w:t>
      </w:r>
      <w:r w:rsidRPr="00C7468A">
        <w:tab/>
        <w:t xml:space="preserve">wzywa państwa członkowskie do zmiany wykazu </w:t>
      </w:r>
      <w:proofErr w:type="spellStart"/>
      <w:r w:rsidRPr="00C7468A">
        <w:t>wyłączeń</w:t>
      </w:r>
      <w:proofErr w:type="spellEnd"/>
      <w:r w:rsidRPr="00C7468A">
        <w:t xml:space="preserve"> EBI, aby umożliwić finansowanie produkcji broni i amunicji wykraczające poza zwykłe technologie podwójnego zastosowania i przyczynić się tym samym do rozwoju europejskiego przemysłu obronnego;</w:t>
      </w:r>
    </w:p>
    <w:p w14:paraId="6454D95D" w14:textId="3BBEABB7" w:rsidR="00C7468A" w:rsidRPr="006D2774" w:rsidRDefault="00C7468A" w:rsidP="008A53EC">
      <w:pPr>
        <w:pStyle w:val="NormalHanging12a"/>
      </w:pPr>
      <w:r>
        <w:t>27</w:t>
      </w:r>
      <w:r w:rsidRPr="00C7468A">
        <w:t>.</w:t>
      </w:r>
      <w:r w:rsidRPr="00C7468A">
        <w:tab/>
        <w:t>podkreśla, że pożyczki udzielane przez EBI w państwach spoza UE powinny wzmacniać priorytety zewnętrzne UE; apeluje do EBI, aby uwzględnił skuteczną współpracę krajów partnerskich w zakresie zarządzania migracjami, w tym readmisji i powrotu migrantów, którzy nie mają prawa legalnego pobytu w UE, jako ważne kryterium w ramach udzielania pożyczek zewnętrznych państwom spoza UE;</w:t>
      </w:r>
    </w:p>
    <w:p w14:paraId="7F6A5598" w14:textId="77777777" w:rsidR="008A53EC" w:rsidRPr="006D2774" w:rsidRDefault="008A53EC" w:rsidP="008A53EC">
      <w:pPr>
        <w:pStyle w:val="Normal12a"/>
      </w:pPr>
      <w:r w:rsidRPr="006D2774">
        <w:rPr>
          <w:b/>
          <w:i/>
        </w:rPr>
        <w:t>Wsparcie na rzecz spójności, rolnictwa i mieszkalnictwa</w:t>
      </w:r>
    </w:p>
    <w:p w14:paraId="2D629970" w14:textId="2C3EA6A5" w:rsidR="008A53EC" w:rsidRPr="006D2774" w:rsidRDefault="00C7468A" w:rsidP="008A53EC">
      <w:pPr>
        <w:pStyle w:val="NormalHanging12a"/>
      </w:pPr>
      <w:r>
        <w:t>28</w:t>
      </w:r>
      <w:r w:rsidR="008A53EC" w:rsidRPr="006D2774">
        <w:t>.</w:t>
      </w:r>
      <w:r w:rsidR="008A53EC" w:rsidRPr="006D2774">
        <w:tab/>
        <w:t xml:space="preserve">zauważa, że w 2025 r. około połowy finansowania EBI przeznaczono na wsparcie inwestycji w słabiej rozwiniętych regionach UE, a 3 mld EUR – na rolnictwo i </w:t>
      </w:r>
      <w:proofErr w:type="spellStart"/>
      <w:r w:rsidR="008A53EC" w:rsidRPr="006D2774">
        <w:t>biogospodarkę</w:t>
      </w:r>
      <w:proofErr w:type="spellEnd"/>
      <w:r w:rsidR="008A53EC" w:rsidRPr="006D2774">
        <w:t>; zachęca EBI do pogłębienia współpracy z krajowymi bankami prorozwojowymi i regionalnymi instytucjami finansowymi, aby zmaksymalizować oddziaływanie terytorialne finansowania unijnego i zmniejszyć regionalne dysproporcje inwestycyjne; apeluje o stosowanie finansowania mieszanego przez połączenie funduszy spójności UE z instrumentami EBI; podkreśla, że zapewnienie dostępu do bezpośredniego finansowania we wszystkich regionach ma zasadnicze znaczenie dla wspierania konwergencji gospodarczej oraz promowania spójności gospodarczej i terytorialnej, co – w połączeniu ze zwiększeniem bezpieczeństwa żywnościowego – jest kluczowe dla autonomii strategicznej UE; wzywa EBI do uruchomienia przewidywalnego i wystarczającego finansowania dla młodych rolników;</w:t>
      </w:r>
    </w:p>
    <w:p w14:paraId="3AA522D9" w14:textId="7A8BC9BA" w:rsidR="008A53EC" w:rsidRPr="006D2774" w:rsidRDefault="00C7468A" w:rsidP="008A53EC">
      <w:pPr>
        <w:pStyle w:val="NormalHanging12a"/>
      </w:pPr>
      <w:r>
        <w:t>29</w:t>
      </w:r>
      <w:r w:rsidR="008A53EC" w:rsidRPr="006D2774">
        <w:t>.</w:t>
      </w:r>
      <w:r w:rsidR="008A53EC" w:rsidRPr="006D2774">
        <w:tab/>
        <w:t>wzywa do utrzymania wsparcia grupy EBI dla polityki rolnictwa i spójności, w tym do szerszego stosowania instrumentów finansowych w celu wykorzystania dotacji UE i przyciągnięcia inwestycji prywatnych; podkreśla wartość dodaną odpowiedniego finansowania wspólnej pomocy technicznej EBI i Komisji dla organów wykonawczych, aby pomóc w zapewnieniu terminowej realizacji i dodatkowości inwestycji, w szczególności przez budowanie zdolności administracyjnych i opracowywanie katalogów inwestycji; apeluje o szersze wykorzystanie finansowania mieszanego w celu wsparcia regionów o niedostatecznym dostępie i regionów objętych polityką spójności przez łączenie funduszy strukturalnych i inwestycyjnych UE z innymi instrumentami;</w:t>
      </w:r>
    </w:p>
    <w:p w14:paraId="6C36AB68" w14:textId="5FC6D0D7" w:rsidR="008A53EC" w:rsidRPr="006D2774" w:rsidRDefault="00C7468A" w:rsidP="008A53EC">
      <w:pPr>
        <w:pStyle w:val="NormalHanging12a"/>
      </w:pPr>
      <w:r>
        <w:t>30</w:t>
      </w:r>
      <w:r w:rsidR="008A53EC" w:rsidRPr="006D2774">
        <w:t>.</w:t>
      </w:r>
      <w:r w:rsidR="008A53EC" w:rsidRPr="006D2774">
        <w:tab/>
        <w:t>z zadowoleniem przyjmuje wysiłki grupy EBI w zakresie finansowania projektów dotyczących mieszkalnictwa socjalnego w całej Unii; wzywa Bank do zintensyfikowania działań na rzecz poprawy dostępu do przystępnych cenowo mieszkań w świetle narastającego kryzysu mieszkaniowego w Europie; zachęca EBI do współpracy z innymi europejskimi publicznymi bankami inwestycyjnymi, lokalnymi publicznymi instytucjami finansowymi, samorządami lokalnymi, spółdzielniami i przedsiębiorstwami zajmującymi się mieszkalnictwem socjalnym oraz gminami w celu finansowania rozwiązań mieszkaniowych oraz zapewnienia długoterminowych rozwiązań, które pozwolą zaradzić kryzysowi związanemu z kosztami utrzymania;</w:t>
      </w:r>
    </w:p>
    <w:p w14:paraId="085AA70D" w14:textId="6946B413" w:rsidR="008A53EC" w:rsidRPr="006D2774" w:rsidRDefault="00C7468A" w:rsidP="008A53EC">
      <w:pPr>
        <w:pStyle w:val="NormalHanging12a"/>
      </w:pPr>
      <w:r>
        <w:t>31</w:t>
      </w:r>
      <w:r w:rsidR="008A53EC" w:rsidRPr="006D2774">
        <w:t>.</w:t>
      </w:r>
      <w:r w:rsidR="008A53EC" w:rsidRPr="006D2774">
        <w:tab/>
        <w:t>z zadowoleniem przyjmuje działania EBI na rzecz wspierania projektów, które prowadzą do wdrażania Europejskiego filaru praw socjalnych i celów zrównoważonego rozwoju ONZ; zwraca się do EBI o zwiększenie wagi świadczeń społecznych w ocenie projektów w celu zapewnienia długoterminowych przystępnych cenowo rozwiązań;</w:t>
      </w:r>
    </w:p>
    <w:p w14:paraId="18C7515A" w14:textId="77777777" w:rsidR="008A53EC" w:rsidRPr="006D2774" w:rsidRDefault="008A53EC" w:rsidP="008A53EC">
      <w:pPr>
        <w:pStyle w:val="Normal12a"/>
      </w:pPr>
      <w:r w:rsidRPr="006D2774">
        <w:rPr>
          <w:b/>
          <w:i/>
        </w:rPr>
        <w:t>Przejrzystość i rozliczalność</w:t>
      </w:r>
    </w:p>
    <w:p w14:paraId="3188A2F1" w14:textId="5877334A" w:rsidR="008A53EC" w:rsidRPr="006D2774" w:rsidRDefault="00C7468A" w:rsidP="008A53EC">
      <w:pPr>
        <w:pStyle w:val="NormalHanging12a"/>
      </w:pPr>
      <w:r>
        <w:t>32</w:t>
      </w:r>
      <w:r w:rsidR="008A53EC" w:rsidRPr="006D2774">
        <w:t>.</w:t>
      </w:r>
      <w:r w:rsidR="008A53EC" w:rsidRPr="006D2774">
        <w:tab/>
        <w:t>przypomina, że fundusze EBI są środkami publicznymi i zawsze powinny podlegać publicznej kontroli i rozliczalności, zwłaszcza gdy są wspierane gwarancjami lub funduszami budżetowymi UE; ponawia apel o ustrukturyzowane ramy międzyinstytucjonalne zapewniające wzmocniony nadzór parlamentarny, lepszy dostęp do informacji oraz możliwość wniesienia przez Parlament wkładu w strategiczne kierunki EBI; odnotowuje postępy w zakresie wskaźnika przejrzystości bezpośrednich inwestycji zagranicznych na 2025 r., ale apeluje o dalsze usprawnienia; podkreśla potrzebę odpowiedzialności fiskalnej i efektywnego wykorzystania funduszy w celu ochrony pieniędzy podatników; zauważa, że wzmocnione mechanizmy sprawozdawcze mają zasadnicze znaczenie dla skutecznej kontroli parlamentarnej;</w:t>
      </w:r>
    </w:p>
    <w:p w14:paraId="61DFC8B2" w14:textId="6FF7776B" w:rsidR="008A53EC" w:rsidRPr="006D2774" w:rsidRDefault="00C7468A" w:rsidP="008A53EC">
      <w:pPr>
        <w:pStyle w:val="NormalHanging12a"/>
      </w:pPr>
      <w:r>
        <w:t>33</w:t>
      </w:r>
      <w:r w:rsidR="008A53EC" w:rsidRPr="006D2774">
        <w:t>.</w:t>
      </w:r>
      <w:r w:rsidR="008A53EC" w:rsidRPr="006D2774">
        <w:tab/>
        <w:t>podkreśla znaczenie zapewnienia przez EBI identyfikowalności finansowanych projektów; podkreśla, że EBI powinien terminowo publikować bardziej szczegółowe informacje na temat projektów, w tym ich uzasadnienie i kontekst, opis zgodności ze wspólnymi priorytetami UE oraz informacje na temat faktycznych podmiotów gospodarczych będących beneficjentami, z jasnym wskazaniem, które projekty uzyskują wsparcie z budżetu UE; z zadowoleniem przyjmuje decyzję EBI, podjętą w następstwie dochodzenia przeprowadzonego przez Europejskiego Rzecznika Praw Obywatelskich, o rozpoczęciu proaktywnej publikacji ocen środowiskowych i społecznych dotyczących projektów zlokalizowanych poza UE, które mogą mieć znaczący wpływ na te obszary;</w:t>
      </w:r>
    </w:p>
    <w:p w14:paraId="61234A00" w14:textId="03AD4666" w:rsidR="008A53EC" w:rsidRPr="006D2774" w:rsidRDefault="00C7468A" w:rsidP="008A53EC">
      <w:pPr>
        <w:pStyle w:val="NormalHanging12a"/>
      </w:pPr>
      <w:r>
        <w:t>34</w:t>
      </w:r>
      <w:r w:rsidR="008A53EC" w:rsidRPr="006D2774">
        <w:t>.</w:t>
      </w:r>
      <w:r w:rsidR="008A53EC" w:rsidRPr="006D2774">
        <w:tab/>
        <w:t>podkreśla, że w razie potrzeby należy stosować starannie opracowane gwarancje tymczasowe, a nie dotacje, co ograniczy bezpośredni wpływ na budżet i będzie sprzyjać przyciąganiu kapitału prywatnego; przypomina, że gwarancje stanowią rzeczywiste ryzyko fiskalne i powinny podlegać tej samej dyscyplinie co wydatki bezpośrednie; podkreśla, że stosowaniu gwarancji musi towarzyszyć wysoki stopień przejrzystości, nadzór demokratyczny i odpowiednie mechanizmy oceny ryzyka; podkreśla, że inwestorzy prywatni powinni utrzymać główną ekspozycję na ryzyko handlowe, natomiast interwencja EBI powinna pozostać ograniczona, jasno określona i tymczasowa oraz koncentrować się na ryzyku, którego prywatni uczestnicy rynku nie są w stanie ponieść, oraz na ograniczaniu ryzyka specyficznego dla danego projektu; wzywa EBI do ograniczenia działań łączonych do obszarów, w których mogą one wnieść wartość dodaną do lokalnej gospodarki, przy jednoczesnym unikaniu wypierania kapitału prywatnego;</w:t>
      </w:r>
    </w:p>
    <w:p w14:paraId="21DACD13" w14:textId="29727AB7" w:rsidR="008A53EC" w:rsidRPr="006D2774" w:rsidRDefault="00C7468A" w:rsidP="008A53EC">
      <w:pPr>
        <w:pStyle w:val="NormalHanging12a"/>
      </w:pPr>
      <w:r>
        <w:t>35</w:t>
      </w:r>
      <w:r w:rsidR="008A53EC" w:rsidRPr="006D2774">
        <w:t>.</w:t>
      </w:r>
      <w:r w:rsidR="008A53EC" w:rsidRPr="006D2774">
        <w:tab/>
        <w:t>podkreśla ogólne wysokie koszty operacyjne EBI; w związku z tym wzywa do określenia odpowiednich środków łagodzących w celu zwiększenia efektywności kosztowej, przy jednoczesnym zapewnieniu skuteczności operacyjnej Banku;</w:t>
      </w:r>
    </w:p>
    <w:p w14:paraId="61FA1B08" w14:textId="27DA9925" w:rsidR="008A53EC" w:rsidRDefault="00C7468A" w:rsidP="008A53EC">
      <w:pPr>
        <w:pStyle w:val="NormalHanging12a"/>
      </w:pPr>
      <w:r>
        <w:t>36</w:t>
      </w:r>
      <w:r w:rsidR="008A53EC" w:rsidRPr="006D2774">
        <w:t>.</w:t>
      </w:r>
      <w:r w:rsidR="008A53EC" w:rsidRPr="006D2774">
        <w:tab/>
        <w:t>zauważa, że grupa EBI działa w ramach podwójnego systemu, w którym operacje wspierane z budżetu UE są pośrednio kontrolowane przez Komisję i Trybunał Obrachunkowy oraz przez Parlament w jego decyzji w sprawie absolutorium z wykonania budżetu UE, natomiast operacje finansowane z zasobów własnych EBI pochodzących z państw członkowskich (dotyczy to ponad trzech czwartych operacji EBI) w dużej mierze nie podlegają systematycznej kontroli zewnętrznej ani kontroli ze strony parlamentów krajowych czy Parlamentu Europejskiego; zauważa, że EBI dysponuje rozbudowaną wewnętrzną architekturą rozliczalności oraz że zewnętrzny audytor sprawuje nadzór nad operacjami EBI i jego systemem rachunkowości; zgadza się, że taka struktura jest zasadniczo zgodna z praktyką międzynarodową; zauważa, że składanie sprawozdań Parlamentowi Europejskiemu ma charakter sporadyczny, że współpraca z Europejskim Rzecznikiem Praw Obywatelskich uległa zmianie oraz że rolę Trybunału Obrachunkowego ograniczają obowiązujące przepisy i postanowienia wykonawcze; podkreśla potrzebę podjęcia konkretnych działań przez EBI w celu rozwiązania tej sytuacji, stosownie do wcześniejszych apeli zawartych w rezolucjach Parlamentu oraz gotowości do dialogu i współpracy deklarowanej przez europejski organ budżetowy i organ udzielający absolutorium; wzywa EBI do aktywnego zaangażowania w ten proces krajowych najwyższych organów kontroli, aby zapewnić rozliczalność za operacje, które nie są obecnie objęte działaniami Trybunału Obrachunkowego, oraz zagwarantować solidną rozliczalność i nadzór;</w:t>
      </w:r>
    </w:p>
    <w:p w14:paraId="4128519B" w14:textId="141F5AF3" w:rsidR="00C7468A" w:rsidRPr="006D2774" w:rsidRDefault="00C7468A" w:rsidP="008A53EC">
      <w:pPr>
        <w:pStyle w:val="NormalHanging12a"/>
      </w:pPr>
      <w:r>
        <w:t>37</w:t>
      </w:r>
      <w:r w:rsidRPr="00C7468A">
        <w:t>.</w:t>
      </w:r>
      <w:r w:rsidRPr="00C7468A">
        <w:tab/>
        <w:t>zwraca uwagę na rolę Komitetu Kontroli i Audytu EBI w zakresie nadzoru wewnętrznego; podkreśla, że nie prowadzi się zewnętrznego nadzoru ostrożnościowego zgodnie z przyjętymi na szczeblu międzynarodowym standardami nadzoru, z wyjątkiem obszaru zarządzania płynnością; mając na uwadze wielkość, złożoność i specyfikę modelu biznesowego EBI, zachęca Radę Gubernatorów EBI do ustanowienia odpowiednich uregulowań, aby zapewnić zgodność z najwyższymi standardami zewnętrznego nadzoru ostrożnościowego, a jednocześnie uwzględnić niezbędne dostosowania wynikające z unikalnego modelu biznesowego EBI;</w:t>
      </w:r>
    </w:p>
    <w:p w14:paraId="52EBE689" w14:textId="0831F20B" w:rsidR="008A53EC" w:rsidRPr="006D2774" w:rsidRDefault="00C7468A" w:rsidP="008A53EC">
      <w:pPr>
        <w:pStyle w:val="NormalHanging12a"/>
      </w:pPr>
      <w:r>
        <w:t>38</w:t>
      </w:r>
      <w:r w:rsidR="008A53EC" w:rsidRPr="006D2774">
        <w:t>.</w:t>
      </w:r>
      <w:r w:rsidR="008A53EC" w:rsidRPr="006D2774">
        <w:tab/>
        <w:t>jest zaniepokojony trwającym śledztwem w sprawie korupcji przeciwko byłemu prezesowi EBI; oczekuje, że Prokuratura Europejska i Europejski Urząd ds. Zwalczania Nadużyć Finansowych dokładnie zbadają tę sprawę, oraz liczy na pełną jasność; przypomina, że wszelkie nadużycia i niewłaściwe wykorzystanie środków publicznych powinny być surowo karane;</w:t>
      </w:r>
    </w:p>
    <w:p w14:paraId="3EF7ED70" w14:textId="7F1F3C0D" w:rsidR="008A53EC" w:rsidRPr="006D2774" w:rsidRDefault="00C7468A" w:rsidP="008A53EC">
      <w:pPr>
        <w:pStyle w:val="NormalHanging12a"/>
      </w:pPr>
      <w:r>
        <w:t>39</w:t>
      </w:r>
      <w:r w:rsidR="008A53EC" w:rsidRPr="006D2774">
        <w:t>.</w:t>
      </w:r>
      <w:r w:rsidR="008A53EC" w:rsidRPr="006D2774">
        <w:tab/>
        <w:t>apeluje o wzmocnienie polityki EBI w zakresie praw człowieka; podkreśla, że oceny oddziaływania na środowisko i społeczeństwo powinni przeprowadzać niezależni eksperci oraz że należy wprowadzić niezależne mechanizmy weryfikacji w celu nadzorowania procesów monitorowania własnej działalności i samodzielnego powiadamiania prowadzonych przez klientów EBI;</w:t>
      </w:r>
    </w:p>
    <w:p w14:paraId="485CA918" w14:textId="6C4FB76E" w:rsidR="008A53EC" w:rsidRPr="006D2774" w:rsidRDefault="00C7468A" w:rsidP="008A53EC">
      <w:pPr>
        <w:pStyle w:val="NormalHanging12a"/>
      </w:pPr>
      <w:r>
        <w:t>40</w:t>
      </w:r>
      <w:r w:rsidR="008A53EC" w:rsidRPr="006D2774">
        <w:t>.</w:t>
      </w:r>
      <w:r w:rsidR="008A53EC" w:rsidRPr="006D2774">
        <w:tab/>
        <w:t>docenia wysiłki EBI na rzecz poprawy praktyk w zakresie zarządzania w następstwie wewnętrznej ankiety EBI z 2023 r.; apeluje o dalsze wdrażanie zasad EBI dotyczących różnorodności, równości i włączenia, w tym celu zakładającego, że do końca 2026 r. kobiety będą zajmować co najmniej 40 % stanowisk kierowniczych;</w:t>
      </w:r>
    </w:p>
    <w:p w14:paraId="25CFDB88" w14:textId="493CE8C7" w:rsidR="008A53EC" w:rsidRPr="006D2774" w:rsidRDefault="00C7468A" w:rsidP="008A53EC">
      <w:pPr>
        <w:pStyle w:val="NormalHanging12a"/>
      </w:pPr>
      <w:r>
        <w:t>41</w:t>
      </w:r>
      <w:r w:rsidR="008A53EC" w:rsidRPr="006D2774">
        <w:t>.</w:t>
      </w:r>
      <w:r w:rsidR="008A53EC" w:rsidRPr="006D2774">
        <w:tab/>
        <w:t>ponownie wzywa EBI do pilnego przeglądu podziału zadań w Komitecie Zarządzającym, a w szczególności do zapewnienia, aby wiceprezesi EBI nigdy nie kierowali projektami z ich krajów pochodzenia, nawet jeśli Komitet Zarządzający ponosi zbiorową odpowiedzialność za swoje decyzje, ze względu na oczywiste ryzyko konfliktu interesów; zwraca uwagę na liczne zalecenia instytucji unijnych w tej sprawie;</w:t>
      </w:r>
    </w:p>
    <w:p w14:paraId="3225B3C5" w14:textId="40BAF0D6" w:rsidR="008A53EC" w:rsidRPr="006D2774" w:rsidRDefault="00C7468A" w:rsidP="008A53EC">
      <w:pPr>
        <w:pStyle w:val="NormalHanging12a"/>
      </w:pPr>
      <w:r>
        <w:t>42</w:t>
      </w:r>
      <w:r w:rsidR="008A53EC" w:rsidRPr="006D2774">
        <w:t>.</w:t>
      </w:r>
      <w:r w:rsidR="008A53EC" w:rsidRPr="006D2774">
        <w:tab/>
        <w:t>z zadowoleniem przyjmuje fakt, że w 2025 r., po wielokrotnych apelach Parlamentu, EBI wyraził gotowość do rozpoczęcia negocjacji w celu zawarcia „porozumienia” w sprawie zacieśnionej współpracy między Parlamentem a EBI; ponadto wyraża zadowolenie, że obie strony rozumieją, że negocjacje należy zakończyć w odpowiednim czasie; podkreśla, że takie „porozumienie” sformalizuje i pogłębi interakcję między Parlamentem a EBI, odzwierciedlając w ten sposób wzajemne zobowiązanie do ściślejszej współpracy; zauważa, że o wartości dodanej takich porozumień świadczy wdrożenie porównywalnych porozumień zawartych między Parlamentem a innymi instytucjami i organami Unii lub organizacjami międzyrządowymi;</w:t>
      </w:r>
    </w:p>
    <w:p w14:paraId="6B6E4B5B" w14:textId="77777777" w:rsidR="008A53EC" w:rsidRPr="006D2774" w:rsidRDefault="008A53EC" w:rsidP="008A53EC">
      <w:pPr>
        <w:pStyle w:val="NormalCenter12a"/>
      </w:pPr>
      <w:r w:rsidRPr="006D2774">
        <w:t>°</w:t>
      </w:r>
    </w:p>
    <w:p w14:paraId="014DC425" w14:textId="77777777" w:rsidR="008A53EC" w:rsidRPr="006D2774" w:rsidRDefault="008A53EC" w:rsidP="008A53EC">
      <w:pPr>
        <w:pStyle w:val="NormalCenter12a"/>
      </w:pPr>
      <w:r w:rsidRPr="006D2774">
        <w:t>°</w:t>
      </w:r>
      <w:r w:rsidRPr="006D2774">
        <w:tab/>
        <w:t>°</w:t>
      </w:r>
    </w:p>
    <w:p w14:paraId="1F6A6A14" w14:textId="5EB613B6" w:rsidR="006D2774" w:rsidRPr="006D2774" w:rsidRDefault="00C7468A" w:rsidP="006D2774">
      <w:pPr>
        <w:pStyle w:val="NormalHanging12a"/>
      </w:pPr>
      <w:r>
        <w:t>43</w:t>
      </w:r>
      <w:r w:rsidR="008A53EC" w:rsidRPr="006D2774">
        <w:t>.</w:t>
      </w:r>
      <w:r w:rsidR="008A53EC" w:rsidRPr="006D2774">
        <w:tab/>
        <w:t>zobowiązuje swoją przewodniczącą do przekazania niniejszej rezolucji Radzie i Komisji.</w:t>
      </w:r>
    </w:p>
    <w:p w14:paraId="1B447F0F" w14:textId="61BC65CF" w:rsidR="00E365E1" w:rsidRPr="006D2774" w:rsidRDefault="00E365E1" w:rsidP="00F97CE8"/>
    <w:sectPr w:rsidR="00E365E1" w:rsidRPr="006D2774" w:rsidSect="006D27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EDB68" w14:textId="77777777" w:rsidR="00F97CE8" w:rsidRPr="006D2774" w:rsidRDefault="00F97CE8">
      <w:r w:rsidRPr="006D2774">
        <w:separator/>
      </w:r>
    </w:p>
  </w:endnote>
  <w:endnote w:type="continuationSeparator" w:id="0">
    <w:p w14:paraId="751713E5" w14:textId="77777777" w:rsidR="00F97CE8" w:rsidRPr="006D2774" w:rsidRDefault="00F97CE8">
      <w:r w:rsidRPr="006D277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CE8D2" w14:textId="77777777" w:rsidR="00064002" w:rsidRPr="006D277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D2EFE" w14:textId="77777777" w:rsidR="00064002" w:rsidRPr="006D277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50695" w14:textId="77777777" w:rsidR="00064002" w:rsidRPr="006D277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31457" w14:textId="77777777" w:rsidR="00F97CE8" w:rsidRPr="006D2774" w:rsidRDefault="00F97CE8">
      <w:r w:rsidRPr="006D2774">
        <w:separator/>
      </w:r>
    </w:p>
  </w:footnote>
  <w:footnote w:type="continuationSeparator" w:id="0">
    <w:p w14:paraId="3491B6EE" w14:textId="77777777" w:rsidR="00F97CE8" w:rsidRPr="006D2774" w:rsidRDefault="00F97CE8">
      <w:r w:rsidRPr="006D2774">
        <w:continuationSeparator/>
      </w:r>
    </w:p>
  </w:footnote>
  <w:footnote w:id="1">
    <w:p w14:paraId="172082CB" w14:textId="591B847D" w:rsidR="008A53EC" w:rsidRPr="006D2774" w:rsidRDefault="008A53EC" w:rsidP="006D2774">
      <w:pPr>
        <w:pStyle w:val="FootnoteText"/>
        <w:ind w:left="567" w:hanging="567"/>
        <w:rPr>
          <w:sz w:val="24"/>
          <w:lang w:val="pl-PL"/>
        </w:rPr>
      </w:pPr>
      <w:r w:rsidRPr="006D2774">
        <w:rPr>
          <w:rStyle w:val="FootnoteReference"/>
          <w:sz w:val="24"/>
          <w:lang w:val="pl-PL"/>
        </w:rPr>
        <w:t>1</w:t>
      </w:r>
      <w:r w:rsidR="006D2774" w:rsidRPr="006D2774">
        <w:rPr>
          <w:sz w:val="24"/>
          <w:lang w:val="pl-PL"/>
        </w:rPr>
        <w:t xml:space="preserve"> </w:t>
      </w:r>
      <w:r w:rsidR="006D2774" w:rsidRPr="006D2774">
        <w:rPr>
          <w:sz w:val="24"/>
          <w:lang w:val="pl-PL"/>
        </w:rPr>
        <w:tab/>
      </w:r>
      <w:r w:rsidRPr="006D2774">
        <w:rPr>
          <w:sz w:val="24"/>
          <w:lang w:val="pl-PL"/>
        </w:rPr>
        <w:t xml:space="preserve">Rozporządzenie Parlamentu Europejskiego i Rady (UE) 2023/2631 z dnia 22 listopada 2023 r. w sprawie europejskich zielonych obligacji oraz opcjonalnego ujawniania informacji na temat obligacji wprowadzanych do obrotu jako zrównoważone środowiskowo i obligacji powiązanych ze zrównoważonym rozwojem (Dz.U. L, 2023/2631, 30.11.2023, ELI: </w:t>
      </w:r>
      <w:hyperlink r:id="rId1" w:tgtFrame="http://data.europa.eu/eli/reg/2023/2631/oj" w:history="1">
        <w:r w:rsidRPr="006D2774">
          <w:rPr>
            <w:rStyle w:val="Hyperlink"/>
            <w:sz w:val="24"/>
            <w:lang w:val="pl-PL"/>
          </w:rPr>
          <w:t>http://data.europa.eu/eli/reg/2023/2631/oj</w:t>
        </w:r>
      </w:hyperlink>
      <w:r w:rsidRPr="006D2774">
        <w:rPr>
          <w:sz w:val="24"/>
          <w:lang w:val="pl-PL"/>
        </w:rPr>
        <w:t>).</w:t>
      </w:r>
    </w:p>
  </w:footnote>
  <w:footnote w:id="2">
    <w:p w14:paraId="55465673" w14:textId="6CD47D7F" w:rsidR="008A53EC" w:rsidRPr="006D2774" w:rsidRDefault="008A53EC" w:rsidP="006D2774">
      <w:pPr>
        <w:pStyle w:val="FootnoteText"/>
        <w:ind w:left="567" w:hanging="567"/>
        <w:rPr>
          <w:sz w:val="24"/>
          <w:lang w:val="pl-PL"/>
        </w:rPr>
      </w:pPr>
      <w:r w:rsidRPr="006D2774">
        <w:rPr>
          <w:rStyle w:val="FootnoteReference"/>
          <w:sz w:val="24"/>
          <w:lang w:val="pl-PL"/>
        </w:rPr>
        <w:t>2</w:t>
      </w:r>
      <w:r w:rsidR="006D2774" w:rsidRPr="006D2774">
        <w:rPr>
          <w:sz w:val="24"/>
          <w:lang w:val="pl-PL"/>
        </w:rPr>
        <w:t xml:space="preserve"> </w:t>
      </w:r>
      <w:r w:rsidR="006D2774" w:rsidRPr="006D2774">
        <w:rPr>
          <w:sz w:val="24"/>
          <w:lang w:val="pl-PL"/>
        </w:rPr>
        <w:tab/>
      </w:r>
      <w:r w:rsidRPr="006D2774">
        <w:rPr>
          <w:sz w:val="24"/>
          <w:lang w:val="pl-PL"/>
        </w:rPr>
        <w:t xml:space="preserve">Rozporządzenie Parlamentu Europejskiego i Rady (UE) 2024/1252 z dnia 11 kwietnia 2024 r. w sprawie ustanowienia ram na potrzeby zapewnienia bezpiecznych i zrównoważonych dostaw surowców krytycznych oraz zmiany rozporządzeń (UE) nr 168/2013, (UE) 2018/858, (UE) 2018/1724 i (UE) 2019/1020 (Dz.U. L, 2024/1252, 3.5.2024, ELI: </w:t>
      </w:r>
      <w:hyperlink r:id="rId2" w:tgtFrame="http://data.europa.eu/eli/reg/2024/1252/oj" w:history="1">
        <w:r w:rsidRPr="006D2774">
          <w:rPr>
            <w:rStyle w:val="Hyperlink"/>
            <w:sz w:val="24"/>
            <w:lang w:val="pl-PL"/>
          </w:rPr>
          <w:t>http://data.europa.eu/eli/reg/2024/1252/oj</w:t>
        </w:r>
      </w:hyperlink>
      <w:r w:rsidRPr="006D2774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B71B0" w14:textId="77777777" w:rsidR="00064002" w:rsidRPr="006D277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76D12" w14:textId="77777777" w:rsidR="00064002" w:rsidRPr="006D277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AB2E0" w14:textId="77777777" w:rsidR="00064002" w:rsidRPr="006D277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32498793">
    <w:abstractNumId w:val="9"/>
  </w:num>
  <w:num w:numId="2" w16cid:durableId="1985430520">
    <w:abstractNumId w:val="9"/>
  </w:num>
  <w:num w:numId="3" w16cid:durableId="1687251138">
    <w:abstractNumId w:val="7"/>
  </w:num>
  <w:num w:numId="4" w16cid:durableId="1032614545">
    <w:abstractNumId w:val="7"/>
  </w:num>
  <w:num w:numId="5" w16cid:durableId="1556157702">
    <w:abstractNumId w:val="6"/>
  </w:num>
  <w:num w:numId="6" w16cid:durableId="993215130">
    <w:abstractNumId w:val="6"/>
  </w:num>
  <w:num w:numId="7" w16cid:durableId="1061515302">
    <w:abstractNumId w:val="5"/>
  </w:num>
  <w:num w:numId="8" w16cid:durableId="924920648">
    <w:abstractNumId w:val="5"/>
  </w:num>
  <w:num w:numId="9" w16cid:durableId="1188371836">
    <w:abstractNumId w:val="4"/>
  </w:num>
  <w:num w:numId="10" w16cid:durableId="1836265172">
    <w:abstractNumId w:val="4"/>
  </w:num>
  <w:num w:numId="11" w16cid:durableId="1574046355">
    <w:abstractNumId w:val="8"/>
  </w:num>
  <w:num w:numId="12" w16cid:durableId="1245795151">
    <w:abstractNumId w:val="8"/>
  </w:num>
  <w:num w:numId="13" w16cid:durableId="1757556897">
    <w:abstractNumId w:val="3"/>
  </w:num>
  <w:num w:numId="14" w16cid:durableId="1486434888">
    <w:abstractNumId w:val="3"/>
  </w:num>
  <w:num w:numId="15" w16cid:durableId="262422963">
    <w:abstractNumId w:val="2"/>
  </w:num>
  <w:num w:numId="16" w16cid:durableId="859662299">
    <w:abstractNumId w:val="2"/>
  </w:num>
  <w:num w:numId="17" w16cid:durableId="1844052304">
    <w:abstractNumId w:val="1"/>
  </w:num>
  <w:num w:numId="18" w16cid:durableId="1342389000">
    <w:abstractNumId w:val="1"/>
  </w:num>
  <w:num w:numId="19" w16cid:durableId="2114858681">
    <w:abstractNumId w:val="0"/>
  </w:num>
  <w:num w:numId="20" w16cid:durableId="1001736675">
    <w:abstractNumId w:val="0"/>
  </w:num>
  <w:num w:numId="21" w16cid:durableId="854805001">
    <w:abstractNumId w:val="9"/>
  </w:num>
  <w:num w:numId="22" w16cid:durableId="152574970">
    <w:abstractNumId w:val="7"/>
  </w:num>
  <w:num w:numId="23" w16cid:durableId="874850393">
    <w:abstractNumId w:val="6"/>
  </w:num>
  <w:num w:numId="24" w16cid:durableId="1415282066">
    <w:abstractNumId w:val="5"/>
  </w:num>
  <w:num w:numId="25" w16cid:durableId="249313866">
    <w:abstractNumId w:val="4"/>
  </w:num>
  <w:num w:numId="26" w16cid:durableId="1439832945">
    <w:abstractNumId w:val="8"/>
  </w:num>
  <w:num w:numId="27" w16cid:durableId="109518556">
    <w:abstractNumId w:val="3"/>
  </w:num>
  <w:num w:numId="28" w16cid:durableId="1402676728">
    <w:abstractNumId w:val="2"/>
  </w:num>
  <w:num w:numId="29" w16cid:durableId="1708793488">
    <w:abstractNumId w:val="1"/>
  </w:num>
  <w:num w:numId="30" w16cid:durableId="569341152">
    <w:abstractNumId w:val="0"/>
  </w:num>
  <w:num w:numId="31" w16cid:durableId="1699355577">
    <w:abstractNumId w:val="9"/>
  </w:num>
  <w:num w:numId="32" w16cid:durableId="888346248">
    <w:abstractNumId w:val="7"/>
  </w:num>
  <w:num w:numId="33" w16cid:durableId="1258489926">
    <w:abstractNumId w:val="6"/>
  </w:num>
  <w:num w:numId="34" w16cid:durableId="1129276831">
    <w:abstractNumId w:val="5"/>
  </w:num>
  <w:num w:numId="35" w16cid:durableId="1933778762">
    <w:abstractNumId w:val="4"/>
  </w:num>
  <w:num w:numId="36" w16cid:durableId="313221997">
    <w:abstractNumId w:val="8"/>
  </w:num>
  <w:num w:numId="37" w16cid:durableId="282007703">
    <w:abstractNumId w:val="3"/>
  </w:num>
  <w:num w:numId="38" w16cid:durableId="1018853155">
    <w:abstractNumId w:val="2"/>
  </w:num>
  <w:num w:numId="39" w16cid:durableId="1354261337">
    <w:abstractNumId w:val="1"/>
  </w:num>
  <w:num w:numId="40" w16cid:durableId="1169367045">
    <w:abstractNumId w:val="0"/>
  </w:num>
  <w:num w:numId="41" w16cid:durableId="195512422">
    <w:abstractNumId w:val="10"/>
  </w:num>
  <w:num w:numId="42" w16cid:durableId="1880892517">
    <w:abstractNumId w:val="10"/>
  </w:num>
  <w:num w:numId="43" w16cid:durableId="1049768034">
    <w:abstractNumId w:val="10"/>
  </w:num>
  <w:num w:numId="44" w16cid:durableId="3253990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0/2026"/>
    <w:docVar w:name="dvlangue" w:val="PL"/>
    <w:docVar w:name="dvnumam" w:val="0"/>
    <w:docVar w:name="dvpe" w:val="784.507"/>
    <w:docVar w:name="dvrapporteur" w:val="Sprawozdawca: "/>
    <w:docVar w:name="dvtitre" w:val="Rezolucja Parlamentu Europejskiego z dnia  2026 r. w sprawie działalności finansowej Grupy Europejskiego Banku Inwestycyjnego – sprawozdanie roczne 2025(2025/2213(INI))"/>
  </w:docVars>
  <w:rsids>
    <w:rsidRoot w:val="00F97CE8"/>
    <w:rsid w:val="00002272"/>
    <w:rsid w:val="000440B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277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53EC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468A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7CE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FCCA36"/>
  <w15:chartTrackingRefBased/>
  <w15:docId w15:val="{0FE6176D-4D0A-4081-8853-66ACF7B0D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8A53EC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8A53EC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8A53EC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8A53EC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8A53EC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8A53EC"/>
    <w:rPr>
      <w:color w:val="0000FF"/>
      <w:u w:val="single"/>
    </w:rPr>
  </w:style>
  <w:style w:type="paragraph" w:styleId="Revision">
    <w:name w:val="Revision"/>
    <w:hidden/>
    <w:uiPriority w:val="99"/>
    <w:semiHidden/>
    <w:rsid w:val="00C7468A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4/1252/oj" TargetMode="External"/><Relationship Id="rId1" Type="http://schemas.openxmlformats.org/officeDocument/2006/relationships/hyperlink" Target="http://data.europa.eu/eli/reg/2023/263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5410</Words>
  <Characters>30842</Characters>
  <Application>Microsoft Office Word</Application>
  <DocSecurity>0</DocSecurity>
  <Lines>257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2026-07-07T15:24:00Z</dcterms:created>
  <dcterms:modified xsi:type="dcterms:W3CDTF">2026-07-07T15:24:00Z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A10-0170/2026</vt:lpwstr>
  </property>
  <property fmtid="{D5CDD505-2E9C-101B-9397-08002B2CF9AE}" pid="4" name="&lt;Type&gt;">
    <vt:lpwstr>RR</vt:lpwstr>
  </property>
</Properties>
</file>