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6DDD" w14:paraId="3931C99E" w14:textId="77777777" w:rsidTr="0010095E">
        <w:trPr>
          <w:trHeight w:hRule="exact" w:val="1418"/>
        </w:trPr>
        <w:tc>
          <w:tcPr>
            <w:tcW w:w="6804" w:type="dxa"/>
            <w:shd w:val="clear" w:color="auto" w:fill="auto"/>
            <w:vAlign w:val="center"/>
          </w:tcPr>
          <w:p w14:paraId="3273CC7D" w14:textId="77777777" w:rsidR="00751A4A" w:rsidRPr="00BF6DDD" w:rsidRDefault="00EC0F1F" w:rsidP="0010095E">
            <w:pPr>
              <w:pStyle w:val="EPName"/>
            </w:pPr>
            <w:r w:rsidRPr="00BF6DDD">
              <w:t>Parlamentul European</w:t>
            </w:r>
          </w:p>
          <w:p w14:paraId="1F78A543" w14:textId="77777777" w:rsidR="00751A4A" w:rsidRPr="00BF6DDD" w:rsidRDefault="005F1B17" w:rsidP="005F1B17">
            <w:pPr>
              <w:pStyle w:val="EPTerm"/>
              <w:rPr>
                <w:rStyle w:val="HideTWBExt"/>
                <w:noProof w:val="0"/>
                <w:vanish w:val="0"/>
                <w:color w:val="auto"/>
              </w:rPr>
            </w:pPr>
            <w:r w:rsidRPr="00BF6DDD">
              <w:t>2024</w:t>
            </w:r>
            <w:r w:rsidR="00817416" w:rsidRPr="00BF6DDD">
              <w:t>-202</w:t>
            </w:r>
            <w:r w:rsidRPr="00BF6DDD">
              <w:t>9</w:t>
            </w:r>
          </w:p>
        </w:tc>
        <w:tc>
          <w:tcPr>
            <w:tcW w:w="2268" w:type="dxa"/>
            <w:shd w:val="clear" w:color="auto" w:fill="auto"/>
          </w:tcPr>
          <w:p w14:paraId="7268CA9C" w14:textId="77777777" w:rsidR="00751A4A" w:rsidRPr="00BF6DDD" w:rsidRDefault="00187494" w:rsidP="0010095E">
            <w:pPr>
              <w:pStyle w:val="EPLogo"/>
            </w:pPr>
            <w:r w:rsidRPr="00BF6DDD">
              <w:rPr>
                <w:noProof/>
                <w:lang w:eastAsia="ja-JP"/>
              </w:rPr>
              <w:drawing>
                <wp:inline distT="0" distB="0" distL="0" distR="0" wp14:anchorId="716109B0" wp14:editId="32BD9F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10917B" w14:textId="77777777" w:rsidR="00D058B8" w:rsidRPr="00BF6DDD" w:rsidRDefault="00D058B8" w:rsidP="004C5D52">
      <w:pPr>
        <w:pStyle w:val="LineTop"/>
      </w:pPr>
    </w:p>
    <w:p w14:paraId="04AA08C8" w14:textId="77777777" w:rsidR="00680577" w:rsidRPr="00BF6DDD" w:rsidRDefault="00EC0F1F" w:rsidP="00680577">
      <w:pPr>
        <w:pStyle w:val="EPBodyTA1"/>
      </w:pPr>
      <w:r w:rsidRPr="00BF6DDD">
        <w:t>TEXTE ADOPTATE</w:t>
      </w:r>
    </w:p>
    <w:p w14:paraId="0A1FA61E" w14:textId="77777777" w:rsidR="00D058B8" w:rsidRPr="00BF6DDD" w:rsidRDefault="00D058B8" w:rsidP="00D058B8">
      <w:pPr>
        <w:pStyle w:val="LineBottom"/>
      </w:pPr>
    </w:p>
    <w:p w14:paraId="7B348EFB" w14:textId="00F0A888" w:rsidR="00EC0F1F" w:rsidRPr="00BF6DDD" w:rsidRDefault="00EC0F1F" w:rsidP="00EC0F1F">
      <w:pPr>
        <w:pStyle w:val="ATHeading1"/>
      </w:pPr>
      <w:bookmarkStart w:id="0" w:name="TANumber"/>
      <w:r w:rsidRPr="00BF6DDD">
        <w:t>P10_TA(2026)0</w:t>
      </w:r>
      <w:r w:rsidR="00F72829" w:rsidRPr="00BF6DDD">
        <w:t>245</w:t>
      </w:r>
      <w:bookmarkEnd w:id="0"/>
    </w:p>
    <w:p w14:paraId="2A5E3B54" w14:textId="77777777" w:rsidR="00EC0F1F" w:rsidRPr="00BF6DDD" w:rsidRDefault="00EC0F1F" w:rsidP="00EC0F1F">
      <w:pPr>
        <w:pStyle w:val="ATHeading2"/>
      </w:pPr>
      <w:bookmarkStart w:id="1" w:name="title"/>
      <w:r w:rsidRPr="00BF6DDD">
        <w:t>Activitățile financiare ale Grupului Băncii Europene de Investiții - raport anual 2025</w:t>
      </w:r>
      <w:bookmarkEnd w:id="1"/>
    </w:p>
    <w:p w14:paraId="7C16E100" w14:textId="77777777" w:rsidR="00EC0F1F" w:rsidRPr="00BF6DDD" w:rsidRDefault="00EC0F1F" w:rsidP="00EC0F1F">
      <w:pPr>
        <w:rPr>
          <w:i/>
          <w:vanish/>
        </w:rPr>
      </w:pPr>
      <w:r w:rsidRPr="00BF6DDD">
        <w:rPr>
          <w:i/>
        </w:rPr>
        <w:fldChar w:fldCharType="begin"/>
      </w:r>
      <w:r w:rsidRPr="00BF6DDD">
        <w:rPr>
          <w:i/>
        </w:rPr>
        <w:instrText xml:space="preserve"> TC"(</w:instrText>
      </w:r>
      <w:bookmarkStart w:id="2" w:name="DocNumber"/>
      <w:r w:rsidRPr="00BF6DDD">
        <w:rPr>
          <w:i/>
        </w:rPr>
        <w:instrText>A10-0170/2026</w:instrText>
      </w:r>
      <w:bookmarkEnd w:id="2"/>
      <w:r w:rsidRPr="00BF6DDD">
        <w:rPr>
          <w:i/>
        </w:rPr>
        <w:instrText xml:space="preserve"> - Raportor: Joachim </w:instrText>
      </w:r>
      <w:proofErr w:type="spellStart"/>
      <w:r w:rsidRPr="00BF6DDD">
        <w:rPr>
          <w:i/>
        </w:rPr>
        <w:instrText>Streit</w:instrText>
      </w:r>
      <w:proofErr w:type="spellEnd"/>
      <w:r w:rsidRPr="00BF6DDD">
        <w:rPr>
          <w:i/>
        </w:rPr>
        <w:instrText xml:space="preserve">)"\l3 \n&gt; \* MERGEFORMAT </w:instrText>
      </w:r>
      <w:r w:rsidRPr="00BF6DDD">
        <w:rPr>
          <w:i/>
        </w:rPr>
        <w:fldChar w:fldCharType="end"/>
      </w:r>
    </w:p>
    <w:p w14:paraId="14C2B4E3" w14:textId="77777777" w:rsidR="00EC0F1F" w:rsidRPr="00BF6DDD" w:rsidRDefault="00EC0F1F" w:rsidP="00EC0F1F">
      <w:pPr>
        <w:rPr>
          <w:vanish/>
        </w:rPr>
      </w:pPr>
      <w:bookmarkStart w:id="3" w:name="Commission"/>
      <w:r w:rsidRPr="00BF6DDD">
        <w:rPr>
          <w:vanish/>
        </w:rPr>
        <w:t>Comisia pentru bugete</w:t>
      </w:r>
      <w:bookmarkEnd w:id="3"/>
    </w:p>
    <w:p w14:paraId="0CA233EC" w14:textId="77777777" w:rsidR="00EC0F1F" w:rsidRPr="00BF6DDD" w:rsidRDefault="00EC0F1F" w:rsidP="00EC0F1F">
      <w:pPr>
        <w:rPr>
          <w:vanish/>
        </w:rPr>
      </w:pPr>
      <w:bookmarkStart w:id="4" w:name="PE"/>
      <w:r w:rsidRPr="00BF6DDD">
        <w:rPr>
          <w:vanish/>
        </w:rPr>
        <w:t>PE784.507</w:t>
      </w:r>
      <w:bookmarkEnd w:id="4"/>
    </w:p>
    <w:p w14:paraId="45AE94D7" w14:textId="77777777" w:rsidR="00EC0F1F" w:rsidRPr="00BF6DDD" w:rsidRDefault="00EC0F1F" w:rsidP="00EC0F1F">
      <w:pPr>
        <w:pStyle w:val="ATHeading3"/>
      </w:pPr>
      <w:bookmarkStart w:id="5" w:name="Sujet"/>
      <w:r w:rsidRPr="00BF6DDD">
        <w:t>Rezoluția Parlamentului European din 7 iulie 2026 referitoare la activitățile financiare ale Grupului Băncii Europene de Investiții – raportul anual pe 2025</w:t>
      </w:r>
      <w:bookmarkEnd w:id="5"/>
      <w:r w:rsidRPr="00BF6DDD">
        <w:t xml:space="preserve"> </w:t>
      </w:r>
      <w:bookmarkStart w:id="6" w:name="References"/>
      <w:r w:rsidRPr="00BF6DDD">
        <w:t>(2025/2213(INI))</w:t>
      </w:r>
      <w:bookmarkEnd w:id="6"/>
    </w:p>
    <w:p w14:paraId="16E300F8" w14:textId="77777777" w:rsidR="00292E5C" w:rsidRPr="00BF6DDD" w:rsidRDefault="00292E5C" w:rsidP="00292E5C">
      <w:pPr>
        <w:pStyle w:val="Normal12"/>
      </w:pPr>
      <w:r w:rsidRPr="00BF6DDD">
        <w:t>Parlamentul European,</w:t>
      </w:r>
    </w:p>
    <w:p w14:paraId="1DA8EC8F" w14:textId="77777777" w:rsidR="00292E5C" w:rsidRPr="00BF6DDD" w:rsidRDefault="00292E5C" w:rsidP="00292E5C">
      <w:pPr>
        <w:pStyle w:val="NormalHanging"/>
      </w:pPr>
      <w:r w:rsidRPr="00BF6DDD">
        <w:t>–</w:t>
      </w:r>
      <w:r w:rsidRPr="00BF6DDD">
        <w:tab/>
        <w:t>având în vedere articolele 2 și 3 din Tratatul privind Uniunea Europeană,</w:t>
      </w:r>
    </w:p>
    <w:p w14:paraId="7487E1D8" w14:textId="77777777" w:rsidR="00292E5C" w:rsidRPr="00BF6DDD" w:rsidRDefault="00292E5C" w:rsidP="00292E5C">
      <w:pPr>
        <w:pStyle w:val="NormalHanging"/>
      </w:pPr>
      <w:r w:rsidRPr="00BF6DDD">
        <w:t>–</w:t>
      </w:r>
      <w:r w:rsidRPr="00BF6DDD">
        <w:tab/>
        <w:t>având în vedere articolele 15, 126, 174, 175, 177, 208, 209, 271, 308 și 309 din Tratatul privind funcționarea Uniunii Europene (TFUE) și Protocolul nr. 5 la tratate privind Statutul Băncii Europene de Investiții (BEI),</w:t>
      </w:r>
    </w:p>
    <w:p w14:paraId="1BF008A4" w14:textId="77777777" w:rsidR="00292E5C" w:rsidRPr="00BF6DDD" w:rsidRDefault="00292E5C" w:rsidP="00292E5C">
      <w:pPr>
        <w:pStyle w:val="NormalHanging"/>
      </w:pPr>
      <w:r w:rsidRPr="00BF6DDD">
        <w:t>–</w:t>
      </w:r>
      <w:r w:rsidRPr="00BF6DDD">
        <w:tab/>
        <w:t>având în vedere articolele 41-43 din Tratatul de instituire a Comunității Europene a Energiei Atomice,</w:t>
      </w:r>
    </w:p>
    <w:p w14:paraId="62884814" w14:textId="77777777" w:rsidR="00292E5C" w:rsidRPr="00BF6DDD" w:rsidRDefault="00292E5C" w:rsidP="00292E5C">
      <w:pPr>
        <w:pStyle w:val="NormalHanging"/>
      </w:pPr>
      <w:r w:rsidRPr="00BF6DDD">
        <w:t>–</w:t>
      </w:r>
      <w:r w:rsidRPr="00BF6DDD">
        <w:tab/>
        <w:t>având în vedere Statutul BEI,</w:t>
      </w:r>
    </w:p>
    <w:p w14:paraId="21421291" w14:textId="77777777" w:rsidR="00292E5C" w:rsidRPr="00BF6DDD" w:rsidRDefault="00292E5C" w:rsidP="00292E5C">
      <w:pPr>
        <w:pStyle w:val="NormalHanging"/>
      </w:pPr>
      <w:r w:rsidRPr="00BF6DDD">
        <w:t>–</w:t>
      </w:r>
      <w:r w:rsidRPr="00BF6DDD">
        <w:tab/>
        <w:t>având în vedere Planul operațional al Grupului BEI 2026-2028, publicat la 29 ianuarie 2026, și Planul operațional al Grupului BEI 2025-2027, din 30 ianuarie 2025,</w:t>
      </w:r>
    </w:p>
    <w:p w14:paraId="7ECEFC58" w14:textId="77777777" w:rsidR="00292E5C" w:rsidRPr="00BF6DDD" w:rsidRDefault="00292E5C" w:rsidP="00292E5C">
      <w:pPr>
        <w:pStyle w:val="NormalHanging"/>
      </w:pPr>
      <w:r w:rsidRPr="00BF6DDD">
        <w:t>–</w:t>
      </w:r>
      <w:r w:rsidRPr="00BF6DDD">
        <w:tab/>
        <w:t xml:space="preserve">având în vedere raportul de activitate pe 2025 al Grupului BEI intitulat „O </w:t>
      </w:r>
      <w:proofErr w:type="spellStart"/>
      <w:r w:rsidRPr="00BF6DDD">
        <w:t>Europă</w:t>
      </w:r>
      <w:proofErr w:type="spellEnd"/>
      <w:r w:rsidRPr="00BF6DDD">
        <w:t xml:space="preserve"> mai puternică”, publicat la 29 ianuarie 2026,</w:t>
      </w:r>
    </w:p>
    <w:p w14:paraId="65B3BA98" w14:textId="77777777" w:rsidR="00292E5C" w:rsidRPr="00BF6DDD" w:rsidRDefault="00292E5C" w:rsidP="00292E5C">
      <w:pPr>
        <w:pStyle w:val="NormalHanging"/>
      </w:pPr>
      <w:r w:rsidRPr="00BF6DDD">
        <w:t>–</w:t>
      </w:r>
      <w:r w:rsidRPr="00BF6DDD">
        <w:tab/>
        <w:t>având în vedere procedurile BEI privind obligația de diligență în domeniul mediului, al climei și în domeniul social, publicate la 20 octombrie 2025,</w:t>
      </w:r>
    </w:p>
    <w:p w14:paraId="3B0A5886" w14:textId="77777777" w:rsidR="00292E5C" w:rsidRPr="00BF6DDD" w:rsidRDefault="00292E5C" w:rsidP="00292E5C">
      <w:pPr>
        <w:pStyle w:val="NormalHanging"/>
      </w:pPr>
      <w:r w:rsidRPr="00BF6DDD">
        <w:t>–</w:t>
      </w:r>
      <w:r w:rsidRPr="00BF6DDD">
        <w:tab/>
        <w:t>având în vedere Orientarea strategică a BEI Global, publicată la 15 octombrie 2025,</w:t>
      </w:r>
    </w:p>
    <w:p w14:paraId="16F2D776" w14:textId="77777777" w:rsidR="00292E5C" w:rsidRPr="00BF6DDD" w:rsidRDefault="00292E5C" w:rsidP="00292E5C">
      <w:pPr>
        <w:pStyle w:val="NormalHanging"/>
      </w:pPr>
      <w:r w:rsidRPr="00BF6DDD">
        <w:t>–</w:t>
      </w:r>
      <w:r w:rsidRPr="00BF6DDD">
        <w:tab/>
        <w:t xml:space="preserve">având în vedere sondajul BEI privind investițiile pe 2025, cu titlul „European Union – </w:t>
      </w:r>
      <w:proofErr w:type="spellStart"/>
      <w:r w:rsidRPr="00BF6DDD">
        <w:t>Overview</w:t>
      </w:r>
      <w:proofErr w:type="spellEnd"/>
      <w:r w:rsidRPr="00BF6DDD">
        <w:t>” (Uniunea Europeană – Sumar), publicat la 14 octombrie 2025,</w:t>
      </w:r>
    </w:p>
    <w:p w14:paraId="7D4087FB" w14:textId="77777777" w:rsidR="00292E5C" w:rsidRPr="00BF6DDD" w:rsidRDefault="00292E5C" w:rsidP="00292E5C">
      <w:pPr>
        <w:pStyle w:val="NormalHanging"/>
      </w:pPr>
      <w:r w:rsidRPr="00BF6DDD">
        <w:t>–</w:t>
      </w:r>
      <w:r w:rsidRPr="00BF6DDD">
        <w:tab/>
        <w:t>având în vedere publicația BEI cu titlul „Deblocarea inovării: abordarea nevoilor de finanțare ale infrastructurilor tehnologice din UE”, publicată la 15 septembrie 2025,</w:t>
      </w:r>
    </w:p>
    <w:p w14:paraId="2FAD9847" w14:textId="77777777" w:rsidR="00292E5C" w:rsidRPr="00BF6DDD" w:rsidRDefault="00292E5C" w:rsidP="00292E5C">
      <w:pPr>
        <w:pStyle w:val="NormalHanging"/>
      </w:pPr>
      <w:r w:rsidRPr="00BF6DDD">
        <w:t>–</w:t>
      </w:r>
      <w:r w:rsidRPr="00BF6DDD">
        <w:tab/>
        <w:t>având în vedere raportul de activitate pe 2022 și programul de lucru 2023-2025, publicate la 3 martie 2023 de Grupul BEI-Evaluare,</w:t>
      </w:r>
    </w:p>
    <w:p w14:paraId="31B7AB71" w14:textId="77777777" w:rsidR="00292E5C" w:rsidRPr="00BF6DDD" w:rsidRDefault="00292E5C" w:rsidP="00292E5C">
      <w:pPr>
        <w:pStyle w:val="NormalHanging"/>
      </w:pPr>
      <w:r w:rsidRPr="00BF6DDD">
        <w:lastRenderedPageBreak/>
        <w:t>–</w:t>
      </w:r>
      <w:r w:rsidRPr="00BF6DDD">
        <w:tab/>
        <w:t>având în vedere politica Grupului BEI pentru mecanismul de depunere a plângerilor, publicată la 13 noiembrie 2018,</w:t>
      </w:r>
    </w:p>
    <w:p w14:paraId="6E38EB1C" w14:textId="77777777" w:rsidR="00292E5C" w:rsidRPr="00BF6DDD" w:rsidRDefault="00292E5C" w:rsidP="00292E5C">
      <w:pPr>
        <w:pStyle w:val="NormalHanging"/>
      </w:pPr>
      <w:r w:rsidRPr="00BF6DDD">
        <w:t>–</w:t>
      </w:r>
      <w:r w:rsidRPr="00BF6DDD">
        <w:tab/>
        <w:t>având în vedere publicația BEI intitulată „Politica BEI de creditare în domeniul energiei”, publicată la 8 mai 2023,</w:t>
      </w:r>
    </w:p>
    <w:p w14:paraId="18A081F1" w14:textId="77777777" w:rsidR="00292E5C" w:rsidRPr="00BF6DDD" w:rsidRDefault="00292E5C" w:rsidP="00292E5C">
      <w:pPr>
        <w:pStyle w:val="NormalHanging"/>
      </w:pPr>
      <w:r w:rsidRPr="00BF6DDD">
        <w:t>–</w:t>
      </w:r>
      <w:r w:rsidRPr="00BF6DDD">
        <w:tab/>
        <w:t>având în vedere Foaia de parcurs a Grupului BEI privind banca pentru climă pentru perioada 2021-2025, adoptată de Consiliul de administrație al BEI la 11 noiembrie 2020, Foaia de parcurs privind banca pentru climă – faza 2, publicată la 3 octombrie 2025, și Strategia BEI privind clima, publicată la 15 noiembrie 2020,</w:t>
      </w:r>
    </w:p>
    <w:p w14:paraId="60A5BC43" w14:textId="77777777" w:rsidR="00292E5C" w:rsidRPr="00BF6DDD" w:rsidRDefault="00292E5C" w:rsidP="00292E5C">
      <w:pPr>
        <w:pStyle w:val="NormalHanging"/>
      </w:pPr>
      <w:r w:rsidRPr="00BF6DDD">
        <w:t>–</w:t>
      </w:r>
      <w:r w:rsidRPr="00BF6DDD">
        <w:tab/>
        <w:t>având în vedere Normele sociale și de mediu ale BEI din 2 februarie 2022,</w:t>
      </w:r>
    </w:p>
    <w:p w14:paraId="51343BA4" w14:textId="77777777" w:rsidR="00292E5C" w:rsidRPr="00BF6DDD" w:rsidRDefault="00292E5C" w:rsidP="00292E5C">
      <w:pPr>
        <w:pStyle w:val="NormalHanging"/>
      </w:pPr>
      <w:r w:rsidRPr="00BF6DDD">
        <w:t>–</w:t>
      </w:r>
      <w:r w:rsidRPr="00BF6DDD">
        <w:tab/>
        <w:t>având în vedere Planul de acțiune pentru locuințe accesibile și durabile al Grupului BEI,</w:t>
      </w:r>
    </w:p>
    <w:p w14:paraId="5BE0F298" w14:textId="77777777" w:rsidR="00292E5C" w:rsidRPr="00BF6DDD" w:rsidRDefault="00292E5C" w:rsidP="00292E5C">
      <w:pPr>
        <w:pStyle w:val="NormalHanging"/>
      </w:pPr>
      <w:r w:rsidRPr="00BF6DDD">
        <w:t>–</w:t>
      </w:r>
      <w:r w:rsidRPr="00BF6DDD">
        <w:tab/>
        <w:t xml:space="preserve">având în vedere publicația BEI cu titlul „EIB Global – </w:t>
      </w:r>
      <w:proofErr w:type="spellStart"/>
      <w:r w:rsidRPr="00BF6DDD">
        <w:t>Partnerships</w:t>
      </w:r>
      <w:proofErr w:type="spellEnd"/>
      <w:r w:rsidRPr="00BF6DDD">
        <w:t xml:space="preserve">, </w:t>
      </w:r>
      <w:proofErr w:type="spellStart"/>
      <w:r w:rsidRPr="00BF6DDD">
        <w:t>People</w:t>
      </w:r>
      <w:proofErr w:type="spellEnd"/>
      <w:r w:rsidRPr="00BF6DDD">
        <w:t>, Impact” (BEI Global – Parteneriate, oameni, impact), publicată la 10 februarie 2023,</w:t>
      </w:r>
    </w:p>
    <w:p w14:paraId="5FC7A043" w14:textId="77777777" w:rsidR="00292E5C" w:rsidRPr="00BF6DDD" w:rsidRDefault="00292E5C" w:rsidP="00292E5C">
      <w:pPr>
        <w:pStyle w:val="NormalHanging"/>
      </w:pPr>
      <w:r w:rsidRPr="00BF6DDD">
        <w:t>–</w:t>
      </w:r>
      <w:r w:rsidRPr="00BF6DDD">
        <w:tab/>
        <w:t>având în vedere Strategia Grupului BEI privind egalitatea de gen și împuternicirea economică a femeilor, publicată la 6 ianuarie 2017, și Planul de acțiune al Grupului BEI pentru egalitatea de gen III (2026-2030), publicat la 3 martie 2026,</w:t>
      </w:r>
    </w:p>
    <w:p w14:paraId="085C0B87" w14:textId="77777777" w:rsidR="00292E5C" w:rsidRPr="00BF6DDD" w:rsidRDefault="00292E5C" w:rsidP="00292E5C">
      <w:pPr>
        <w:pStyle w:val="NormalHanging"/>
      </w:pPr>
      <w:r w:rsidRPr="00BF6DDD">
        <w:t>–</w:t>
      </w:r>
      <w:r w:rsidRPr="00BF6DDD">
        <w:tab/>
        <w:t>având în vedere codul de conduită al personalului Grupului BEI, publicat la 3 februarie 2023,</w:t>
      </w:r>
    </w:p>
    <w:p w14:paraId="4E32DDB5" w14:textId="77777777" w:rsidR="00292E5C" w:rsidRPr="00BF6DDD" w:rsidRDefault="00292E5C" w:rsidP="00292E5C">
      <w:pPr>
        <w:pStyle w:val="NormalHanging"/>
      </w:pPr>
      <w:r w:rsidRPr="00BF6DDD">
        <w:t>–</w:t>
      </w:r>
      <w:r w:rsidRPr="00BF6DDD">
        <w:tab/>
        <w:t>având în vedere Pachetul BEI de solidaritate cu Ucraina, aprobat de Consiliul de administrație al BEI la 4 martie 2022,</w:t>
      </w:r>
    </w:p>
    <w:p w14:paraId="10705447" w14:textId="7C30C15A" w:rsidR="00292E5C" w:rsidRPr="00BF6DDD" w:rsidRDefault="00292E5C" w:rsidP="00292E5C">
      <w:pPr>
        <w:pStyle w:val="NormalHanging"/>
      </w:pPr>
      <w:r w:rsidRPr="00BF6DDD">
        <w:t>–</w:t>
      </w:r>
      <w:r w:rsidRPr="00BF6DDD">
        <w:tab/>
        <w:t>având în vedere comunicarea Comisiei din 29 ianuarie 2025 intitulată „O Busolă pentru competitivitatea UE” (</w:t>
      </w:r>
      <w:r w:rsidR="002D5653" w:rsidRPr="00BF6DDD">
        <w:t>COM(2025)0030</w:t>
      </w:r>
      <w:r w:rsidRPr="00BF6DDD">
        <w:t>),</w:t>
      </w:r>
    </w:p>
    <w:p w14:paraId="405DF45F" w14:textId="75769D6B" w:rsidR="00292E5C" w:rsidRPr="00BF6DDD" w:rsidRDefault="00292E5C" w:rsidP="00292E5C">
      <w:pPr>
        <w:pStyle w:val="NormalHanging"/>
      </w:pPr>
      <w:r w:rsidRPr="00BF6DDD">
        <w:t>–</w:t>
      </w:r>
      <w:r w:rsidRPr="00BF6DDD">
        <w:tab/>
        <w:t>având în vedere comunicarea Comisiei din 26 februarie 2025 intitulată „Pactul pentru o industrie curată: o foaie de parcurs comună pentru competitivitate și decarbonizare” (</w:t>
      </w:r>
      <w:r w:rsidR="002D5653" w:rsidRPr="00BF6DDD">
        <w:t>COM(2025)0085</w:t>
      </w:r>
      <w:r w:rsidRPr="00BF6DDD">
        <w:t>),</w:t>
      </w:r>
    </w:p>
    <w:p w14:paraId="6F74AC69" w14:textId="6281F84C" w:rsidR="00292E5C" w:rsidRPr="00BF6DDD" w:rsidRDefault="00292E5C" w:rsidP="00292E5C">
      <w:pPr>
        <w:pStyle w:val="NormalHanging"/>
      </w:pPr>
      <w:r w:rsidRPr="00BF6DDD">
        <w:t>–</w:t>
      </w:r>
      <w:r w:rsidRPr="00BF6DDD">
        <w:tab/>
        <w:t>având în vedere comunicarea Comisiei din 26 februarie 2025 intitulată „Planul de acțiune pentru energie la prețuri accesibile: Deblocarea adevăratei valori a uniunii noastre energetice pentru a asigura energie accesibilă, eficientă și curată pentru toți europenii” (</w:t>
      </w:r>
      <w:r w:rsidR="00F72829" w:rsidRPr="00BF6DDD">
        <w:t>COM(2025)0079</w:t>
      </w:r>
      <w:r w:rsidRPr="00BF6DDD">
        <w:t>),</w:t>
      </w:r>
    </w:p>
    <w:p w14:paraId="6A07386B" w14:textId="77777777" w:rsidR="00292E5C" w:rsidRPr="00BF6DDD" w:rsidRDefault="00292E5C" w:rsidP="00292E5C">
      <w:pPr>
        <w:pStyle w:val="NormalHanging"/>
      </w:pPr>
      <w:r w:rsidRPr="00BF6DDD">
        <w:t>–</w:t>
      </w:r>
      <w:r w:rsidRPr="00BF6DDD">
        <w:tab/>
        <w:t xml:space="preserve">având în vedere raportul lui Mario </w:t>
      </w:r>
      <w:proofErr w:type="spellStart"/>
      <w:r w:rsidRPr="00BF6DDD">
        <w:t>Draghi</w:t>
      </w:r>
      <w:proofErr w:type="spellEnd"/>
      <w:r w:rsidRPr="00BF6DDD">
        <w:t xml:space="preserve"> din 9 septembrie 2024 intitulat „The </w:t>
      </w:r>
      <w:proofErr w:type="spellStart"/>
      <w:r w:rsidRPr="00BF6DDD">
        <w:t>future</w:t>
      </w:r>
      <w:proofErr w:type="spellEnd"/>
      <w:r w:rsidRPr="00BF6DDD">
        <w:t xml:space="preserve"> of European </w:t>
      </w:r>
      <w:proofErr w:type="spellStart"/>
      <w:r w:rsidRPr="00BF6DDD">
        <w:t>competitiveness</w:t>
      </w:r>
      <w:proofErr w:type="spellEnd"/>
      <w:r w:rsidRPr="00BF6DDD">
        <w:t>” (Viitorul competitivității europene),</w:t>
      </w:r>
    </w:p>
    <w:p w14:paraId="320C5FE0" w14:textId="2F1F6123" w:rsidR="00292E5C" w:rsidRPr="00BF6DDD" w:rsidRDefault="00292E5C" w:rsidP="00292E5C">
      <w:pPr>
        <w:pStyle w:val="NormalHanging"/>
      </w:pPr>
      <w:r w:rsidRPr="00BF6DDD">
        <w:t>–</w:t>
      </w:r>
      <w:r w:rsidRPr="00BF6DDD">
        <w:tab/>
        <w:t>având în vedere propunerea Comisiei din 16 iulie 2025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și (UE) 2021/783 și de modificare a Regulamentelor (UE) 2021/696, (UE) 2023/588 și (UE) [EDIP] (</w:t>
      </w:r>
      <w:r w:rsidR="002D5653" w:rsidRPr="00BF6DDD">
        <w:t>COM(2025)0555</w:t>
      </w:r>
      <w:r w:rsidRPr="00BF6DDD">
        <w:t>),</w:t>
      </w:r>
    </w:p>
    <w:p w14:paraId="1FC6E9A5" w14:textId="77777777" w:rsidR="00292E5C" w:rsidRPr="00BF6DDD" w:rsidRDefault="00292E5C" w:rsidP="00292E5C">
      <w:pPr>
        <w:pStyle w:val="NormalHanging"/>
      </w:pPr>
      <w:r w:rsidRPr="00BF6DDD">
        <w:t>–</w:t>
      </w:r>
      <w:r w:rsidRPr="00BF6DDD">
        <w:tab/>
        <w:t>având în vedere Acordul tripartit între Comisie, Curtea Europeană de Conturi și Banca Europeană de Investiții, care a intrat în vigoare în noiembrie 2021,</w:t>
      </w:r>
    </w:p>
    <w:p w14:paraId="2CFE2D8B" w14:textId="77777777" w:rsidR="00292E5C" w:rsidRPr="00BF6DDD" w:rsidRDefault="00292E5C" w:rsidP="00292E5C">
      <w:pPr>
        <w:pStyle w:val="NormalHanging"/>
      </w:pPr>
      <w:r w:rsidRPr="00BF6DDD">
        <w:lastRenderedPageBreak/>
        <w:t>–</w:t>
      </w:r>
      <w:r w:rsidRPr="00BF6DDD">
        <w:tab/>
        <w:t>având în vedere articolul 55 din Regulamentul său de procedură,</w:t>
      </w:r>
    </w:p>
    <w:p w14:paraId="2E25F5BA" w14:textId="77777777" w:rsidR="00292E5C" w:rsidRPr="00BF6DDD" w:rsidRDefault="00292E5C" w:rsidP="00292E5C">
      <w:pPr>
        <w:pStyle w:val="NormalHanging"/>
      </w:pPr>
      <w:r w:rsidRPr="00BF6DDD">
        <w:t>–</w:t>
      </w:r>
      <w:r w:rsidRPr="00BF6DDD">
        <w:tab/>
        <w:t>având în vedere raportul Comisiei pentru bugete (A10-0170/2026),</w:t>
      </w:r>
    </w:p>
    <w:p w14:paraId="0150BE4F" w14:textId="77777777" w:rsidR="00292E5C" w:rsidRPr="00BF6DDD" w:rsidRDefault="00292E5C" w:rsidP="00292E5C">
      <w:pPr>
        <w:pStyle w:val="NormalHanging"/>
      </w:pPr>
      <w:r w:rsidRPr="00BF6DDD">
        <w:t>A.</w:t>
      </w:r>
      <w:r w:rsidRPr="00BF6DDD">
        <w:tab/>
        <w:t>întrucât BEI afirmă că investițiile sale totale au atins un nivel record de 100 de miliarde EUR în 2025, comparativ cu 89 de miliarde EUR în 2024; întrucât rata de îndatorare a BEI a fost majorată la 290 %, oferind BEI o marjă suplimentară de manevră pentru a investi și a sprijini prioritățile comune ale UE;</w:t>
      </w:r>
    </w:p>
    <w:p w14:paraId="11A19918" w14:textId="77777777" w:rsidR="00292E5C" w:rsidRPr="00BF6DDD" w:rsidRDefault="00292E5C" w:rsidP="00292E5C">
      <w:pPr>
        <w:pStyle w:val="NormalHanging"/>
      </w:pPr>
      <w:r w:rsidRPr="00BF6DDD">
        <w:t>B.</w:t>
      </w:r>
      <w:r w:rsidRPr="00BF6DDD">
        <w:tab/>
        <w:t>întrucât BEI contribuie la remedierea disfuncționalităților pieței și a lacunelor în materie de investiții prin catalizarea capitalului privat, funcționând în același timp ca o instituție financiară bazată pe piață, întemeiată pe principii bancare solide;</w:t>
      </w:r>
    </w:p>
    <w:p w14:paraId="7F7AF0A1" w14:textId="77777777" w:rsidR="00292E5C" w:rsidRPr="00BF6DDD" w:rsidRDefault="00292E5C" w:rsidP="00292E5C">
      <w:pPr>
        <w:pStyle w:val="NormalHanging"/>
      </w:pPr>
      <w:r w:rsidRPr="00BF6DDD">
        <w:t>C.</w:t>
      </w:r>
      <w:r w:rsidRPr="00BF6DDD">
        <w:tab/>
        <w:t>întrucât BEI, care este deținută integral de statele membre, are sarcina de a contribui la realizarea obiectivelor Uniunii, în special dezvoltarea pieței interne și consolidarea potențialului Uniunii în ceea ce privește crearea de locuri de muncă, creșterea economică și competitivitatea, precum și dubla tranziție; întrucât acest mandat include, de asemenea, promovarea politicilor Uniunii în țările terțe,</w:t>
      </w:r>
    </w:p>
    <w:p w14:paraId="2A6E3DB3" w14:textId="77777777" w:rsidR="00292E5C" w:rsidRPr="00BF6DDD" w:rsidRDefault="00292E5C" w:rsidP="00292E5C">
      <w:pPr>
        <w:pStyle w:val="Normal12a"/>
      </w:pPr>
      <w:r w:rsidRPr="00BF6DDD">
        <w:rPr>
          <w:b/>
          <w:i/>
        </w:rPr>
        <w:t>Observații generale</w:t>
      </w:r>
    </w:p>
    <w:p w14:paraId="6241B8CB" w14:textId="77777777" w:rsidR="00292E5C" w:rsidRPr="00BF6DDD" w:rsidRDefault="00292E5C" w:rsidP="00292E5C">
      <w:pPr>
        <w:pStyle w:val="NormalHanging12a"/>
      </w:pPr>
      <w:r w:rsidRPr="00BF6DDD">
        <w:t>1.</w:t>
      </w:r>
      <w:r w:rsidRPr="00BF6DDD">
        <w:tab/>
        <w:t xml:space="preserve">salută foaia de parcurs strategică a BEI pentru perioada 2024-2027, care vizează sprijinirea priorităților politice ale UE, inclusiv mobilizarea investițiilor pentru a consolida baza economică și industrială a Europei, pentru a sprijini inovarea, competitivitatea, tehnologiile critice, securitatea și apărarea, pentru a stimula creșterea durabilă, tranziția verde și cea digitală, dezvoltarea regională, infrastructura modernă și critică, inclusiv infrastructurile sociale, cum ar fi locuințele, educația și sănătatea, precum și un sector agricol </w:t>
      </w:r>
      <w:proofErr w:type="spellStart"/>
      <w:r w:rsidRPr="00BF6DDD">
        <w:t>rezilient</w:t>
      </w:r>
      <w:proofErr w:type="spellEnd"/>
      <w:r w:rsidRPr="00BF6DDD">
        <w:t xml:space="preserve"> și inovator, și pentru a viza IMM-urile și întreprinderile nou-înființate europene, promovând în același timp parteneriatele internaționale și finalizarea uniunii economiilor și a investițiilor;</w:t>
      </w:r>
    </w:p>
    <w:p w14:paraId="0E5B2981" w14:textId="77777777" w:rsidR="00292E5C" w:rsidRPr="00BF6DDD" w:rsidRDefault="00292E5C" w:rsidP="00292E5C">
      <w:pPr>
        <w:pStyle w:val="NormalHanging12a"/>
      </w:pPr>
      <w:r w:rsidRPr="00BF6DDD">
        <w:t>2.</w:t>
      </w:r>
      <w:r w:rsidRPr="00BF6DDD">
        <w:tab/>
        <w:t xml:space="preserve">subliniază că BEI s-a aliniat îndeaproape la prioritățile europene de-a lungul anilor; salută călduros </w:t>
      </w:r>
      <w:proofErr w:type="spellStart"/>
      <w:r w:rsidRPr="00BF6DDD">
        <w:t>prioritizarea</w:t>
      </w:r>
      <w:proofErr w:type="spellEnd"/>
      <w:r w:rsidRPr="00BF6DDD">
        <w:t xml:space="preserve"> sporită a investițiilor care consolidează competitivitatea, reziliența industrială și securitatea Europei și solicită punerea lor rapidă și eficace în aplicare; sprijină rolul BEI de bancă pentru climă, observând că acțiunile climatice sunt identificate ca prioritatea strategică numărul unu a Grupului BEI pentru perioada 2024-2027, cu mult peste 50 % din investițiile anuale fiind alocate tranziției verzi; solicită niveluri mai ridicate de investiții pentru prioritățile legate de competitivitate, în special pentru IMM-uri și întreprinderile nou-înființate, precum și pentru extinderea întreprinderilor europene inovatoare, având în vedere rolul lor esențial în eliminarea decalajului de competitivitate al Europei; accentuează că BEI trebuie să mențină un portofoliu echilibrat, care să includă securitatea și apărarea, clima, competitivitatea, coeziunea, inovarea, cooperarea și dezvoltarea;</w:t>
      </w:r>
    </w:p>
    <w:p w14:paraId="5A53E09A" w14:textId="77777777" w:rsidR="00292E5C" w:rsidRPr="00BF6DDD" w:rsidRDefault="00292E5C" w:rsidP="00292E5C">
      <w:pPr>
        <w:pStyle w:val="NormalHanging12a"/>
      </w:pPr>
      <w:r w:rsidRPr="00BF6DDD">
        <w:t>3.</w:t>
      </w:r>
      <w:r w:rsidRPr="00BF6DDD">
        <w:tab/>
        <w:t>subliniază că BEI este un actor credibil pe piețele financiare internaționale, așa cum o demonstrează ratingul său de credit „AAA”; evidențiază că menținerea acestui rating este esențială pentru a-i permite să strângă fonduri în condiții favorabile și că orice deteriorare ar crește semnificativ costurile de finanțare; invită BEI să monitorizeze îndeaproape impactul extinderii activităților sale de finanțare a sectorului de apărare asupra ratingului său de credit „AAA”;</w:t>
      </w:r>
    </w:p>
    <w:p w14:paraId="5EDC4A43" w14:textId="77777777" w:rsidR="00292E5C" w:rsidRPr="00BF6DDD" w:rsidRDefault="00292E5C" w:rsidP="00292E5C">
      <w:pPr>
        <w:pStyle w:val="NormalHanging12a"/>
      </w:pPr>
      <w:r w:rsidRPr="00BF6DDD">
        <w:lastRenderedPageBreak/>
        <w:t>4.</w:t>
      </w:r>
      <w:r w:rsidRPr="00BF6DDD">
        <w:tab/>
        <w:t>subliniază rolul esențial al BEI în mobilizarea finanțării publice și private pentru a elimina lacunele în materie de investiții și a consolida reziliența economică a Uniunii într-un mediu global dificil; reamintește că coordonarea transfrontalieră, integrarea pieței de capital și buna funcționare a pieței unice sunt esențiale; invită Comisia și BEI să valorifice pe deplin potențialul BEI și să deblocheze finanțarea necesară pentru tranziția verde, digitală și socială;</w:t>
      </w:r>
    </w:p>
    <w:p w14:paraId="4419CFC5" w14:textId="77777777" w:rsidR="00292E5C" w:rsidRPr="00BF6DDD" w:rsidRDefault="00292E5C" w:rsidP="00292E5C">
      <w:pPr>
        <w:pStyle w:val="NormalHanging12a"/>
      </w:pPr>
      <w:r w:rsidRPr="00BF6DDD">
        <w:t>5.</w:t>
      </w:r>
      <w:r w:rsidRPr="00BF6DDD">
        <w:tab/>
        <w:t>subliniază că acțiunea la nivelul UE ar trebui să completeze investițiile statelor membre, nu să le excludă; solicită, prin urmare, o flexibilitate adecvată în cadrul de eligibilitate și de evaluare al BEI pentru a răspunde nevoilor de investiții naționale și regionale; reamintește că băncile și instituțiile publice de dezvoltare ar trebui să reducă riscurile aferente proiectelor viabile acolo unde există lacune pe piață, fără a înlocui capitalul privat; subliniază, de asemenea, că BEI ar trebui să joace un rol esențial în a permite atât băncilor comerciale, cât și celor publice să investească în sectorul european al apărării; observă că cadrul UE privind finanțarea sustenabilă nu impune restricții generale asupra investițiilor în domeniul apărării;</w:t>
      </w:r>
    </w:p>
    <w:p w14:paraId="2D4493D5" w14:textId="77777777" w:rsidR="00292E5C" w:rsidRPr="00BF6DDD" w:rsidRDefault="00292E5C" w:rsidP="00292E5C">
      <w:pPr>
        <w:pStyle w:val="NormalHanging12a"/>
      </w:pPr>
      <w:r w:rsidRPr="00BF6DDD">
        <w:t>6.</w:t>
      </w:r>
      <w:r w:rsidRPr="00BF6DDD">
        <w:tab/>
        <w:t>salută solicitarea de a consolida BEI în următorul cadru financiar multianual pentru a-i permite să ofere sprijin financiar priorităților comune ale UE, în special prin FCE-</w:t>
      </w:r>
      <w:proofErr w:type="spellStart"/>
      <w:r w:rsidRPr="00BF6DDD">
        <w:t>InvestEU</w:t>
      </w:r>
      <w:proofErr w:type="spellEnd"/>
      <w:r w:rsidRPr="00BF6DDD">
        <w:t xml:space="preserve"> și Fondul „Europa globală”, precum și prin instrumente financiare și garanții bugetare care s-au dovedit extrem de eficace în promovarea obiectivelor-cheie de politică ale UE; evidențiază că BEI ar trebui să mobilizeze fonduri suficiente, să injecteze lichidități și să se dovedească mai ambițioasă în a sprijini investițiile private și publice prin </w:t>
      </w:r>
      <w:proofErr w:type="spellStart"/>
      <w:r w:rsidRPr="00BF6DDD">
        <w:t>InvestEU</w:t>
      </w:r>
      <w:proofErr w:type="spellEnd"/>
      <w:r w:rsidRPr="00BF6DDD">
        <w:t xml:space="preserve">; solicită, în conformitate cu raportul său interimar privind cadrul financiar multianual pentru perioada 2028-2034, consolidarea programelor de succes ale Uniunii, cum ar fi </w:t>
      </w:r>
      <w:proofErr w:type="spellStart"/>
      <w:r w:rsidRPr="00BF6DDD">
        <w:t>InvestEU</w:t>
      </w:r>
      <w:proofErr w:type="spellEnd"/>
      <w:r w:rsidRPr="00BF6DDD">
        <w:t>, și un parteneriat îmbunătățit pentru investiții cu Grupul BEI, asigurându-se că fiecare euro cheltuit la nivelul Uniunii este utilizat în modul cel mai eficace și cu cel mai mare impact;</w:t>
      </w:r>
    </w:p>
    <w:p w14:paraId="3AE80EFF" w14:textId="77777777" w:rsidR="00292E5C" w:rsidRPr="00BF6DDD" w:rsidRDefault="00292E5C" w:rsidP="00292E5C">
      <w:pPr>
        <w:pStyle w:val="NormalHanging12a"/>
      </w:pPr>
      <w:r w:rsidRPr="00BF6DDD">
        <w:t>7.</w:t>
      </w:r>
      <w:r w:rsidRPr="00BF6DDD">
        <w:tab/>
        <w:t>subliniază importanța unei complementarități și a unor sinergii sporite între finanțarea BEI și alte instrumente ale UE, pentru a maximiza impactul și a asigura strategii coerente de investiții teritoriale; invită BEI și Comisia să elaboreze cadre clare de coordonare care să faciliteze utilizarea în comun a acestor instrumente la nivel de proiect;</w:t>
      </w:r>
    </w:p>
    <w:p w14:paraId="73942473" w14:textId="77777777" w:rsidR="00292E5C" w:rsidRPr="00BF6DDD" w:rsidRDefault="00292E5C" w:rsidP="00292E5C">
      <w:pPr>
        <w:pStyle w:val="NormalHanging12a"/>
      </w:pPr>
      <w:r w:rsidRPr="00BF6DDD">
        <w:t>8.</w:t>
      </w:r>
      <w:r w:rsidRPr="00BF6DDD">
        <w:tab/>
        <w:t>invită BEI să joace un rol activ în sprijinirea continuității și a finalizării proiectelor inițiate în cadrul Mecanismului de redresare și reziliență (MRR), protejând obiectivele dincolo de data-limită; subliniază că finanțarea și asistența tehnică acordate de BEI pot oferi o punte esențială pentru a se asigura că proiectele finanțate prin MRR își produc impactul economic și social preconizat;</w:t>
      </w:r>
    </w:p>
    <w:p w14:paraId="15474B7D" w14:textId="77777777" w:rsidR="00292E5C" w:rsidRPr="00BF6DDD" w:rsidRDefault="00292E5C" w:rsidP="00292E5C">
      <w:pPr>
        <w:pStyle w:val="NormalHanging12a"/>
      </w:pPr>
      <w:r w:rsidRPr="00BF6DDD">
        <w:t>9.</w:t>
      </w:r>
      <w:r w:rsidRPr="00BF6DDD">
        <w:tab/>
        <w:t>încurajează BEI să dezvolte în continuare instrumente financiare inovatoare pentru a mobiliza economiile private substanțiale ale Europei pentru investiții productive, în special prin implicarea investitorilor instituționali în sprijinirea capitalului de risc, astfel încât să contribuie la promovarea uniunii economiilor și a investițiilor; subliniază că investițiile sprijinite de BEI ar trebui să includă evaluări ale impactului asupra competitivității, asigurându-se că fondurile Uniunii stimulează în mod eficace inovarea, productivitatea și extinderea pieței în sectoarele industriale cheie;</w:t>
      </w:r>
    </w:p>
    <w:p w14:paraId="6B27A9B0" w14:textId="3BC6AD30" w:rsidR="00292E5C" w:rsidRPr="00BF6DDD" w:rsidRDefault="00292E5C" w:rsidP="00292E5C">
      <w:pPr>
        <w:pStyle w:val="NormalHanging12a"/>
      </w:pPr>
      <w:r w:rsidRPr="00BF6DDD">
        <w:t>10.</w:t>
      </w:r>
      <w:r w:rsidRPr="00BF6DDD">
        <w:tab/>
        <w:t xml:space="preserve">reamintește că BEI a fost primul emitent de obligațiuni verzi și este în prezent cel mai mare emitent de obligațiuni verzi în mai multe monede; consideră îmbucurător că, la 2 aprilie 2025, BEI a emis prima sa obligațiune de sensibilizare la problemele climatice, </w:t>
      </w:r>
      <w:r w:rsidRPr="00BF6DDD">
        <w:lastRenderedPageBreak/>
        <w:t>aliniată la Regulamentul referitor la standardul UE privind obligațiunile verzi</w:t>
      </w:r>
      <w:r w:rsidR="002D5653" w:rsidRPr="00BF6DDD">
        <w:rPr>
          <w:rStyle w:val="FootnoteReference"/>
        </w:rPr>
        <w:footnoteReference w:id="1"/>
      </w:r>
      <w:r w:rsidRPr="00BF6DDD">
        <w:t>; reliefează rolul esențial al BEI în dezvoltarea pieței obligațiunilor verzi și în furnizarea de soluții de finanțare întreprinderilor sustenabile;</w:t>
      </w:r>
    </w:p>
    <w:p w14:paraId="6BA5B660" w14:textId="77777777" w:rsidR="00292E5C" w:rsidRPr="00BF6DDD" w:rsidRDefault="00292E5C" w:rsidP="00292E5C">
      <w:pPr>
        <w:pStyle w:val="Normal12a"/>
      </w:pPr>
      <w:r w:rsidRPr="00BF6DDD">
        <w:rPr>
          <w:b/>
          <w:i/>
        </w:rPr>
        <w:t xml:space="preserve">Stimularea inovării pentru poziția de lider tehnologic </w:t>
      </w:r>
    </w:p>
    <w:p w14:paraId="4F528160" w14:textId="77777777" w:rsidR="00292E5C" w:rsidRPr="00BF6DDD" w:rsidRDefault="00292E5C" w:rsidP="00292E5C">
      <w:pPr>
        <w:pStyle w:val="NormalHanging12a"/>
      </w:pPr>
      <w:r w:rsidRPr="00BF6DDD">
        <w:t>11.</w:t>
      </w:r>
      <w:r w:rsidRPr="00BF6DDD">
        <w:tab/>
        <w:t xml:space="preserve">este preocupat că UE riscă să piardă capital, talente și capacitate de inovare în favoarea concurenților mondiali cu o evoluție mai rapidă și că UE continuă să se afle în urmă în ceea ce privește dezvoltarea tehnologiilor generice esențiale; salută lansarea programului </w:t>
      </w:r>
      <w:proofErr w:type="spellStart"/>
      <w:r w:rsidRPr="00BF6DDD">
        <w:t>TechEU</w:t>
      </w:r>
      <w:proofErr w:type="spellEnd"/>
      <w:r w:rsidRPr="00BF6DDD">
        <w:t xml:space="preserve">, care se bazează pe inițiativa de succes „Campionii europeni în domeniul tehnologiei”, mobilizând investiții de până la 250 de miliarde EUR; solicită ca acest program să acorde prioritate investițiilor care pot concura la nivel mondial și contribui la o creștere durabilă pe termen lung, să consolideze lanțurile de aprovizionare europene și să reducă dependențele strategice; subliniază necesitatea de a crește investițiile în tehnologiile și sectoarele europene esențiale pentru reziliența pe termen lung, inclusiv semiconductorii, lanțurile valorice ale bateriilor, suveranitatea digitală și producția de tehnologii curate; încurajează BEI să crească ponderea finanțării preconizate pentru 2027; solicită o alocare echilibrată și cuprinzătoare a resurselor în cadrul programului </w:t>
      </w:r>
      <w:proofErr w:type="spellStart"/>
      <w:r w:rsidRPr="00BF6DDD">
        <w:t>TechEU</w:t>
      </w:r>
      <w:proofErr w:type="spellEnd"/>
      <w:r w:rsidRPr="00BF6DDD">
        <w:t xml:space="preserve"> către IMM-uri, întreprinderi nou-înființate și întreprinderi în curs de extindere, pentru a se asigura că competitivitatea este sprijinită adecvat, alături de alte obiective principale; subliniază necesitatea de a accelera implementarea unor astfel de programe pentru a ține pasul cu ritmul inovării și al întreprinderilor nou-înființate; solicită o majorare a bugetului Fondului European de Investiții dedicat ecosistemului capitalului de risc din UE;</w:t>
      </w:r>
    </w:p>
    <w:p w14:paraId="2B3A2D7F" w14:textId="629F1CB5" w:rsidR="00292E5C" w:rsidRPr="00BF6DDD" w:rsidRDefault="00292E5C" w:rsidP="00292E5C">
      <w:pPr>
        <w:pStyle w:val="NormalHanging12a"/>
      </w:pPr>
      <w:r w:rsidRPr="00BF6DDD">
        <w:t>12.</w:t>
      </w:r>
      <w:r w:rsidRPr="00BF6DDD">
        <w:tab/>
        <w:t>constată că aproape 60 % din finanțarea BEI în 2025 a fost direcționată către tranziția către o economie cu emisii scăzute de dioxid de carbon; invită BEI să consolideze competitivitatea și securitatea economică, permițând o tranziție previzibilă, incluzivă, echitabilă și la prețuri accesibile, fără a impune o sarcină nejustificată industriei și gospodăriilor; accentuează că investițiile în domeniul climei și al mediului pot contribui la consolidarea bazei industriale, a productivității și a competitivității globale a Europei; sprijină investițiile în lanțurile valorice industriale, inclusiv în tehnologiile cu emisii scăzute de dioxid de carbon, pentru a permite căi sustenabile din punct de vedere economic către decarbonizare, atunci când astfel de investiții sunt determinate de inovare și au un potențial clar de a spori competitivitatea pieței și autonomia strategică europeană;</w:t>
      </w:r>
      <w:r w:rsidR="00F72829" w:rsidRPr="00BF6DDD">
        <w:t xml:space="preserve"> invită BEI să aplice criterii de evaluare neutre din punct de vedere tehnologic, cum ar fi intensitatea emisiilor de dioxid de carbon pe durata ciclului de viață și stabilitatea rețelei, atunci când finanțează proiecte energetice cu emisii scăzute de dioxid de carbon, inclusiv energia nucleară, respectând totodată pe deplin dreptul suveran al fiecărui stat membru de a-și determina propriul mix energetic;</w:t>
      </w:r>
    </w:p>
    <w:p w14:paraId="71F03102" w14:textId="77777777" w:rsidR="00292E5C" w:rsidRPr="00BF6DDD" w:rsidRDefault="00292E5C" w:rsidP="00292E5C">
      <w:pPr>
        <w:pStyle w:val="NormalHanging12a"/>
      </w:pPr>
      <w:r w:rsidRPr="00BF6DDD">
        <w:t>13.</w:t>
      </w:r>
      <w:r w:rsidRPr="00BF6DDD">
        <w:tab/>
        <w:t xml:space="preserve">reamintește că tehnologiile curate pot contribui la consolidarea suveranității și competitivității UE; salută alinierea BEI la cadrul UE privind finanțarea sustenabilă, inclusiv integrarea criteriilor taxonomiei UE; solicită continuarea investițiilor cu un impact clar și măsurabil asupra reducerii emisiilor; reliefează necesitatea investițiilor în adaptarea la schimbările climatice și în reziliență; încurajează investițiile în cercetare și </w:t>
      </w:r>
      <w:r w:rsidRPr="00BF6DDD">
        <w:lastRenderedPageBreak/>
        <w:t>dezvoltare, precum și în tehnologii inovatoare pentru pregătirea în domeniul climei; salută acordul dintre BEI și AEM de a-și aprofunda colaborarea în domeniul biodiversității și al acțiunilor climatice; se așteaptă ca BEI să își valorifice asistența tehnică și serviciile de consiliere, în special pentru a sprijini proiectele care oferă acces la prețuri abordabile la energia din surse regenerabile, cu accent pe reducerea prețurilor la energie și pe asigurarea securității aprovizionării cu energie, inclusiv pentru gospodăriile vulnerabile;</w:t>
      </w:r>
    </w:p>
    <w:p w14:paraId="26950BB2" w14:textId="77777777" w:rsidR="00292E5C" w:rsidRPr="00BF6DDD" w:rsidRDefault="00292E5C" w:rsidP="00292E5C">
      <w:pPr>
        <w:pStyle w:val="NormalHanging12a"/>
      </w:pPr>
      <w:r w:rsidRPr="00BF6DDD">
        <w:t>14.</w:t>
      </w:r>
      <w:r w:rsidRPr="00BF6DDD">
        <w:tab/>
        <w:t>constată că BEI a furnizat finanțare în valoare de 16 miliarde EUR pentru întreprinderile mici și întreprinderile nou-înființate în 2025; subliniază că îmbunătățirea accesului la finanțare, în special la capitalul de risc, la capitalul privat și la finanțarea pentru extindere, este esențială pentru a sprijini creșterea și internaționalizarea întreprinderilor europene competitive; solicită intensificarea eforturilor pentru a elimina deficitul de finanțare pentru întreprinderile cu creștere puternică și pentru a promova o piață europeană de capital mai dinamică și mai integrată; consideră că eforturile de mobilizare a unor resurse suplimentare pentru IMM-uri și întreprinderile în curs de extindere ar trebui consolidate pentru a se asigura că acestea pot concura la nivel mondial; invită BEI să își majoreze finanțarea pentru IMM-urile din întreaga Uniune; încurajează FEI să lanseze mai multe inițiative de sprijinire a întreprinderilor nou-înființate și a celor în curs de extindere;</w:t>
      </w:r>
    </w:p>
    <w:p w14:paraId="3EEE69C8" w14:textId="7D23A63F" w:rsidR="00292E5C" w:rsidRPr="00BF6DDD" w:rsidRDefault="00292E5C" w:rsidP="00292E5C">
      <w:pPr>
        <w:pStyle w:val="NormalHanging12a"/>
      </w:pPr>
      <w:r w:rsidRPr="00BF6DDD">
        <w:t>15.</w:t>
      </w:r>
      <w:r w:rsidRPr="00BF6DDD">
        <w:tab/>
        <w:t xml:space="preserve">invită BEI să simplifice și să accelereze în continuare procedurile de depunere a cererilor și de aprobare, să reducă sarcinile administrative și să crească sprijinul acordat micilor beneficiari, inclusiv autorităților locale și regionale, municipalităților, IMM-urilor și întreprinderilor nou-înființate, asigurându-se că condițiile prealabile și cerințele de raportare sunt proporționale cu valoarea alocării și/sau cu dimensiunea beneficiarului, fără a compromite standardele financiare, și să aloce fondurile pe baza eficienței, a viabilității economice și a impactului măsurabil; solicită, în special, îmbunătățirea accesului la finanțare pentru IMM-uri și întreprinderile nou-înființate, inclusiv prin criterii și proceduri de eligibilitate simplificate în cadrul </w:t>
      </w:r>
      <w:proofErr w:type="spellStart"/>
      <w:r w:rsidRPr="00BF6DDD">
        <w:t>InvestEU</w:t>
      </w:r>
      <w:proofErr w:type="spellEnd"/>
      <w:r w:rsidRPr="00BF6DDD">
        <w:t xml:space="preserve"> și al FEI, în special în regiunile mai puțin dezvoltate și rurale, completate de o asistență tehnică sporită; solicită, totodată, alocarea de fonduri pe baza eficienței, a viabilității economice și a impactului măsurabil, precum și evaluări ex post proporționale pentru a asigura utilizarea eficace a resurselor și atragerea investițiilor private;</w:t>
      </w:r>
      <w:r w:rsidR="00F72829" w:rsidRPr="00BF6DDD">
        <w:t xml:space="preserve"> își exprimă îngrijorarea că cerințele disproporționate de raportare în materie de mediu, societate și guvernanță impuse beneficiarilor descurajează proiectele viabile din punct de vedere economic și creează un dezavantaj concurențial pentru întreprinderile europene și invită BEI să revizuiască aceste cerințe pentru a asigura proporționalitatea;</w:t>
      </w:r>
    </w:p>
    <w:p w14:paraId="5B5CE762" w14:textId="77777777" w:rsidR="00292E5C" w:rsidRPr="00BF6DDD" w:rsidRDefault="00292E5C" w:rsidP="00292E5C">
      <w:pPr>
        <w:pStyle w:val="Normal12a"/>
      </w:pPr>
      <w:r w:rsidRPr="00BF6DDD">
        <w:rPr>
          <w:b/>
          <w:i/>
        </w:rPr>
        <w:t>Finanțarea securității energetice și a aprovizionării sigure cu materii prime critice pentru competitivitatea industrială</w:t>
      </w:r>
    </w:p>
    <w:p w14:paraId="1625909E" w14:textId="77777777" w:rsidR="00292E5C" w:rsidRPr="00BF6DDD" w:rsidRDefault="00292E5C" w:rsidP="00292E5C">
      <w:pPr>
        <w:pStyle w:val="NormalHanging12a"/>
      </w:pPr>
      <w:r w:rsidRPr="00BF6DDD">
        <w:t>16.</w:t>
      </w:r>
      <w:r w:rsidRPr="00BF6DDD">
        <w:tab/>
        <w:t>subliniază că competitivitatea industrială se bazează pe prețuri previzibile și accesibile la energie; reamintește că volatilitatea energiei rămâne un risc structural pentru economia UE din cauza provocărilor geopolitice și a constrângerilor în materie de aprovizionare; constată accentul pus de BEI în 2026 pe consolidarea competitivității și a securității; solicită BEI să sprijine proiectele de infrastructură energetică, inclusiv pe cele finanțate în cadrul Mecanismului pentru interconectarea Europei, pentru a reduce prețurile la energie pentru gospodării și întreprinderi și pentru a îmbunătăți aprovizionarea cu energie;</w:t>
      </w:r>
    </w:p>
    <w:p w14:paraId="3A29B419" w14:textId="77777777" w:rsidR="00292E5C" w:rsidRPr="00BF6DDD" w:rsidRDefault="00292E5C" w:rsidP="00292E5C">
      <w:pPr>
        <w:pStyle w:val="NormalHanging12a"/>
      </w:pPr>
      <w:r w:rsidRPr="00BF6DDD">
        <w:lastRenderedPageBreak/>
        <w:t>17.</w:t>
      </w:r>
      <w:r w:rsidRPr="00BF6DDD">
        <w:tab/>
        <w:t>constată cu satisfacție că, în 2025, BEI a înregistrat o finanțare de 33 de miliarde EUR pentru securitatea energetică a Europei, sprijinind investiții totale de 108 miliarde EUR, inclusiv 11 miliarde EUR pentru surse regenerabile de energie în 2025; solicită ca politicile privind clima și energia să fie puse în aplicare într-un mod pragmatic, asigurând finanțarea unor soluții eficiente din punctul de vedere al costurilor, în conformitate cu taxonomia UE și ghidate de efecte economice măsurabile care să garanteze energia la prețuri accesibile, independența strategică, fiabilitatea sistemului și dezvoltarea infrastructurii; reamintește că o tranziție justă este unul dintre pilonii foii de parcurs a BEI privind clima și salută eforturile BEI de a se asigura că trecerea la o economie cu emisii scăzute de dioxid de carbon este echitabilă din punct de vedere social și sustenabilă, fără a lăsa pe nimeni în urmă;</w:t>
      </w:r>
    </w:p>
    <w:p w14:paraId="6CEEED7C" w14:textId="5BB4C3C6" w:rsidR="00292E5C" w:rsidRPr="00BF6DDD" w:rsidRDefault="00292E5C" w:rsidP="00292E5C">
      <w:pPr>
        <w:pStyle w:val="NormalHanging12a"/>
      </w:pPr>
      <w:r w:rsidRPr="00BF6DDD">
        <w:t>18.</w:t>
      </w:r>
      <w:r w:rsidRPr="00BF6DDD">
        <w:tab/>
        <w:t>subliniază că securitatea aprovizionării cu materii prime critice este fundamentală pentru tranziția verde și cea digitală, pentru sectorul apărării și pentru baza industrială a UE, în general; reamintește rolul jucat de BEI în Alianța europeană pentru materii prime și obiectivul Uniunii de a deveni mai autonomă în aprovizionarea cu materii prime critice; subliniază importanța unei abordări a materiilor prime critice, în cadrul economiei circulare, bazată pe reciclare și reutilizare, pentru a reduce dependența UE de țările terțe și a întări autonomia sa strategică; invită, prin urmare, BEI să investească mai mult în sectorul materiilor prime critice pentru a spori reziliența în privința materiilor prime, cu accent deosebit pe atingerea obiectivelor Regulamentului privind materiile prime critice</w:t>
      </w:r>
      <w:r w:rsidR="002D5653" w:rsidRPr="00BF6DDD">
        <w:rPr>
          <w:rStyle w:val="FootnoteReference"/>
        </w:rPr>
        <w:footnoteReference w:id="2"/>
      </w:r>
      <w:r w:rsidRPr="00BF6DDD">
        <w:t>, și anume extracția, reciclarea și prelucrarea materiilor prime secundare;</w:t>
      </w:r>
    </w:p>
    <w:p w14:paraId="2519960D" w14:textId="77777777" w:rsidR="00292E5C" w:rsidRPr="00BF6DDD" w:rsidRDefault="00292E5C" w:rsidP="00292E5C">
      <w:pPr>
        <w:pStyle w:val="NormalHanging12a"/>
      </w:pPr>
      <w:r w:rsidRPr="00BF6DDD">
        <w:t>19.</w:t>
      </w:r>
      <w:r w:rsidRPr="00BF6DDD">
        <w:tab/>
        <w:t>solicită o coordonare mai puternică la nivelul UE în ceea ce privește materiile prime critice, inclusiv o cooperare mai strânsă între BEI, agențiile de creditare a exportului și alte instituții financiare publice; observă că UE a rămas în urmă față de concurenți precum Canada, Statele Unite și Australia, care aplică abordări de finanțare mai coordonate, la nivelul întregii administrații; evidențiază că toate proiectele sprijinite legate de materiile prime critice trebuie să respecte standarde sociale și de mediu ridicate; invită BEI să îmbunătățească transparența în selectarea și finanțarea proiectelor care acoperă toate etapele aferente, astfel cum sunt definite în Regulamentul privind materiile prime critice;</w:t>
      </w:r>
    </w:p>
    <w:p w14:paraId="619E28B1" w14:textId="77777777" w:rsidR="00292E5C" w:rsidRPr="00BF6DDD" w:rsidRDefault="00292E5C" w:rsidP="00292E5C">
      <w:pPr>
        <w:pStyle w:val="Normal12a"/>
      </w:pPr>
      <w:r w:rsidRPr="00BF6DDD">
        <w:rPr>
          <w:b/>
          <w:i/>
        </w:rPr>
        <w:t>Apărare și acțiune externă</w:t>
      </w:r>
    </w:p>
    <w:p w14:paraId="0B8C0271" w14:textId="77777777" w:rsidR="00292E5C" w:rsidRPr="00BF6DDD" w:rsidRDefault="00292E5C" w:rsidP="00292E5C">
      <w:pPr>
        <w:pStyle w:val="NormalHanging12a"/>
      </w:pPr>
      <w:r w:rsidRPr="00BF6DDD">
        <w:t>20.</w:t>
      </w:r>
      <w:r w:rsidRPr="00BF6DDD">
        <w:tab/>
        <w:t xml:space="preserve">sprijină Planul de acțiune al BEI din martie 2025 privind consolidarea capabilităților de securitate și apărare ale Europei; salută finanțarea nouă suplimentară în valoare de 4 miliarde EUR, care reprezintă aproape 5 % din totalul investițiilor BEI în UE; reamintește schimbarea priorităților UE pe termen scurt și mediu, care a exercitat o presiune semnificativă asupra bugetelor naționale în ceea ce privește investițiile în apărare și securitate; evidențiază că, având în vedere mandatul BEI de a sprijini obiectivele Uniunii, BEI ar trebui să își intensifice în continuare implicarea în aceste sectoare strategice, protejându-și în același timp ratingul „AAA”; observă că sprijinul financiar al BEI pentru mobilitatea militară, infrastructura strategică și tehnologiile avansate este unul dintre factorii-cheie pentru stimularea integrării pieței și consolidarea intereselor europene comune; salută criteriile de eligibilitate actualizate care </w:t>
      </w:r>
      <w:r w:rsidRPr="00BF6DDD">
        <w:lastRenderedPageBreak/>
        <w:t>consolidează sprijinul acordat întreprinderilor mici și mijlocii și întreprinderilor nou-înființate prin instrumente financiare adaptate, cum ar fi datoria de risc, investițiile de capital și liniile de credit specifice; observă că cheltuielile pentru apărare ar trebui să asigure coerența strategică și o abordare echilibrată și nu ar trebui să submineze cheltuielile sociale și de mediu sau politicile de lungă durată ale Uniunii;</w:t>
      </w:r>
    </w:p>
    <w:p w14:paraId="1546715C" w14:textId="77777777" w:rsidR="00292E5C" w:rsidRPr="00BF6DDD" w:rsidRDefault="00292E5C" w:rsidP="00292E5C">
      <w:pPr>
        <w:pStyle w:val="NormalHanging12a"/>
      </w:pPr>
      <w:r w:rsidRPr="00BF6DDD">
        <w:t>21.</w:t>
      </w:r>
      <w:r w:rsidRPr="00BF6DDD">
        <w:tab/>
        <w:t>reamintește că anumite sectoare strategice din industria de apărare și securitate se confruntă în continuare cu restricții de finanțare din partea BEI; observă că, în pofida deciziei BEI din 21 martie 2025 de a extinde eligibilitatea, mai există bariere reziduale care împiedică mobilizarea deplină a capitalului privat pentru a sprijini securitatea europeană; invită Consiliul guvernatorilor BEI să continue să adapteze practicile BEI în ceea ce privește acordarea de împrumuturi industriei de apărare, astfel cum se menționează în concluziile Consiliului European din 6 martie 2025;</w:t>
      </w:r>
    </w:p>
    <w:p w14:paraId="4A7794C3" w14:textId="77777777" w:rsidR="00292E5C" w:rsidRPr="00BF6DDD" w:rsidRDefault="00292E5C" w:rsidP="00292E5C">
      <w:pPr>
        <w:pStyle w:val="NormalHanging12a"/>
      </w:pPr>
      <w:r w:rsidRPr="00BF6DDD">
        <w:t>22.</w:t>
      </w:r>
      <w:r w:rsidRPr="00BF6DDD">
        <w:tab/>
        <w:t xml:space="preserve">evidențiază rolul important al UE și al BEI în construirea de parteneriate economice reciproc avantajoase cu țările din afara UE, care sunt esențiale pentru poziția globală a UE de promovare a unui sistem multilateral bazat pe norme, a dezvoltării durabile, a democrației, a drepturilor omului și a statului de drept și de consolidare a lanțurilor de aprovizionare </w:t>
      </w:r>
      <w:proofErr w:type="spellStart"/>
      <w:r w:rsidRPr="00BF6DDD">
        <w:t>reziliente</w:t>
      </w:r>
      <w:proofErr w:type="spellEnd"/>
      <w:r w:rsidRPr="00BF6DDD">
        <w:t xml:space="preserve"> și a infrastructurii sustenabile; accentuează că BEI trebuie să implice sistematic societatea civilă și comunitățile locale în toate etapele de concepere, punere în aplicare și evaluare a proiectelor, pentru a se asigura că proiectele Global Gateway răspund nevoilor locale și produc rezultate semnificative în materie de dezvoltare; constată rolul esențial al BEI Global în mobilizarea investițiilor în dezvoltarea durabilă în cadrul inițiativei „Global Gateway” și că aceasta și-a depășit obiectivul de 100 de miliarde EUR în 2025, consolidând astfel interesele economice ale Europei și accesul său pe piață într-un mediu global competitiv;</w:t>
      </w:r>
    </w:p>
    <w:p w14:paraId="6892DB79" w14:textId="77777777" w:rsidR="00292E5C" w:rsidRPr="00BF6DDD" w:rsidRDefault="00292E5C" w:rsidP="00292E5C">
      <w:pPr>
        <w:pStyle w:val="NormalHanging12a"/>
      </w:pPr>
      <w:r w:rsidRPr="00BF6DDD">
        <w:t>23.</w:t>
      </w:r>
      <w:r w:rsidRPr="00BF6DDD">
        <w:tab/>
        <w:t>salută călduros sprijinul continuu al BEI pentru realizarea și consolidarea operațiunilor din sectorul public și privat în Ucraina și pentru susținerea comerțului panafrican, a infrastructurii și a integrării regionale, pentru a întări legăturile cu Europa; subliniază că doar sprijinul acordat de BEI și de UE nu este suficient pentru a răspunde nevoilor de finanțare ale Ucrainei;</w:t>
      </w:r>
    </w:p>
    <w:p w14:paraId="64FA9A9B" w14:textId="77777777" w:rsidR="00292E5C" w:rsidRPr="00BF6DDD" w:rsidRDefault="00292E5C" w:rsidP="00292E5C">
      <w:pPr>
        <w:pStyle w:val="NormalHanging12a"/>
      </w:pPr>
      <w:r w:rsidRPr="00BF6DDD">
        <w:t>24.</w:t>
      </w:r>
      <w:r w:rsidRPr="00BF6DDD">
        <w:tab/>
        <w:t xml:space="preserve">este preocupat de creșterea rapidă a nivelurilor datoriei și de costurile mai mari ale îndatorării pe piețele emergente și în economiile în curs de dezvoltare, într-un moment în care șocurile globale au devenit mai frecvente, iar datoria publică în rândul acestor țări a ajuns la cel mai ridicat nivel din ultimii 55 de ani; reliefează rolul important al BEI în furnizarea de finanțare; salută rolul altor instituții multilaterale în sprijinirea reducerii datoriilor </w:t>
      </w:r>
      <w:proofErr w:type="spellStart"/>
      <w:r w:rsidRPr="00BF6DDD">
        <w:t>nesustenabile</w:t>
      </w:r>
      <w:proofErr w:type="spellEnd"/>
      <w:r w:rsidRPr="00BF6DDD">
        <w:t>;</w:t>
      </w:r>
    </w:p>
    <w:p w14:paraId="7D0A0A7D" w14:textId="77777777" w:rsidR="00292E5C" w:rsidRPr="00BF6DDD" w:rsidRDefault="00292E5C" w:rsidP="00292E5C">
      <w:pPr>
        <w:pStyle w:val="NormalHanging12a"/>
      </w:pPr>
      <w:r w:rsidRPr="00BF6DDD">
        <w:t>25.</w:t>
      </w:r>
      <w:r w:rsidRPr="00BF6DDD">
        <w:tab/>
        <w:t>își reiterează apelul adresat BEI Global de a limita operațiunile de finanțare mixtă la domeniile în care pot aduce valoare adăugată economiei locale, evitând totodată excluderea capitalului privat, și de a veghea ca finanțarea mixtă să nu fie utilizată pentru servicii publice esențiale, în special pentru sănătate, educație și protecție socială; reamintește că investițiile BEI aferente dezvoltării ar trebui să se ghideze după obiectivele politicii UE în domeniu, în special obiectivul de a facilita accesul universal și la prețuri abordabile la asistență medicală, pentru ca toată lumea să se bucure de o sănătate mai bună;</w:t>
      </w:r>
    </w:p>
    <w:p w14:paraId="65527493" w14:textId="24F36998" w:rsidR="00724E7D" w:rsidRPr="00BF6DDD" w:rsidRDefault="00066422" w:rsidP="00292E5C">
      <w:pPr>
        <w:pStyle w:val="NormalHanging12a"/>
      </w:pPr>
      <w:r w:rsidRPr="00BF6DDD">
        <w:t>26</w:t>
      </w:r>
      <w:r w:rsidR="00724E7D" w:rsidRPr="00BF6DDD">
        <w:t>.</w:t>
      </w:r>
      <w:r w:rsidR="00724E7D" w:rsidRPr="00BF6DDD">
        <w:tab/>
        <w:t>invită statele membre să modifice lista de excludere a BEI pentru a permite finanțarea armelor și a munițiilor, fără a se limita doar la tehnologiile cu dublă utilizare, contribuind astfel la dezvoltarea industriei europene de apărare;</w:t>
      </w:r>
    </w:p>
    <w:p w14:paraId="6996D3E2" w14:textId="4DCE5309" w:rsidR="00724E7D" w:rsidRPr="00BF6DDD" w:rsidRDefault="00066422" w:rsidP="00292E5C">
      <w:pPr>
        <w:pStyle w:val="NormalHanging12a"/>
      </w:pPr>
      <w:r w:rsidRPr="00BF6DDD">
        <w:lastRenderedPageBreak/>
        <w:t>27</w:t>
      </w:r>
      <w:r w:rsidR="00724E7D" w:rsidRPr="00BF6DDD">
        <w:t>.</w:t>
      </w:r>
      <w:r w:rsidR="00724E7D" w:rsidRPr="00BF6DDD">
        <w:tab/>
        <w:t xml:space="preserve">evidențiază că împrumuturile acordate de BEI în țările din afara UE ar trebui să consolideze prioritățile externe ale UE; invită BEI să includă cooperarea eficace a țărilor partenere în ceea ce privește gestionarea migrației, inclusiv readmisia și returnarea </w:t>
      </w:r>
      <w:proofErr w:type="spellStart"/>
      <w:r w:rsidR="00724E7D" w:rsidRPr="00BF6DDD">
        <w:t>migranților</w:t>
      </w:r>
      <w:proofErr w:type="spellEnd"/>
      <w:r w:rsidR="00724E7D" w:rsidRPr="00BF6DDD">
        <w:t xml:space="preserve"> care nu au drept legal de ședere în UE, ca un criteriu relevant în cadrul său de creditare externă pentru țările din afara UE;</w:t>
      </w:r>
    </w:p>
    <w:p w14:paraId="054169FB" w14:textId="77777777" w:rsidR="00292E5C" w:rsidRPr="00BF6DDD" w:rsidRDefault="00292E5C" w:rsidP="00292E5C">
      <w:pPr>
        <w:pStyle w:val="Normal12a"/>
      </w:pPr>
      <w:r w:rsidRPr="00BF6DDD">
        <w:rPr>
          <w:b/>
          <w:i/>
        </w:rPr>
        <w:t>Sprijin pentru coeziune, agricultură și locuințe</w:t>
      </w:r>
    </w:p>
    <w:p w14:paraId="398B6C5E" w14:textId="35C89EFE" w:rsidR="00292E5C" w:rsidRPr="00BF6DDD" w:rsidRDefault="00066422" w:rsidP="00292E5C">
      <w:pPr>
        <w:pStyle w:val="NormalHanging12a"/>
      </w:pPr>
      <w:r w:rsidRPr="00BF6DDD">
        <w:t>28</w:t>
      </w:r>
      <w:r w:rsidR="00292E5C" w:rsidRPr="00BF6DDD">
        <w:t>.</w:t>
      </w:r>
      <w:r w:rsidR="00292E5C" w:rsidRPr="00BF6DDD">
        <w:tab/>
        <w:t>constată că, în 2025, aproximativ jumătate din finanțarea BEI a sprijinit investițiile în regiunile mai puțin dezvoltate ale UE, iar 3 miliarde EUR au fost alocate agriculturii și bioeconomiei; încurajează BEI să aprofundeze cooperarea cu băncile naționale de promovare și cu instituțiile financiare regionale pentru a maximiza impactul teritorial al finanțării din partea Uniunii și pentru a reduce disparitățile regionale în materie de investiții; solicită utilizarea finanțării mixte prin combinarea fondurilor de coeziune ale UE cu instrumentele BEI; subliniază că asigurarea accesului la finanțare directă în toate regiunile este esențială pentru a stimula convergența economică și a promova coeziunea economică și teritorială și că, pe lângă consolidarea securității alimentare, acest lucru este esențial pentru autonomia strategică a UE; invită BEI să mobilizeze o finanțare previzibilă și suficientă pentru tinerii fermieri;</w:t>
      </w:r>
    </w:p>
    <w:p w14:paraId="34C9361B" w14:textId="6C88403A" w:rsidR="00292E5C" w:rsidRPr="00BF6DDD" w:rsidRDefault="00066422" w:rsidP="00292E5C">
      <w:pPr>
        <w:pStyle w:val="NormalHanging12a"/>
      </w:pPr>
      <w:r w:rsidRPr="00BF6DDD">
        <w:t>29</w:t>
      </w:r>
      <w:r w:rsidR="00292E5C" w:rsidRPr="00BF6DDD">
        <w:t>.</w:t>
      </w:r>
      <w:r w:rsidR="00292E5C" w:rsidRPr="00BF6DDD">
        <w:tab/>
        <w:t xml:space="preserve">solicită menținerea sprijinului acordat de Grupul BEI agriculturii și politicii de coeziune, inclusiv utilizarea pe scară mai largă a instrumentelor financiare pentru a mobiliza granturile UE și a atrage investiții private; evidențiază valoarea adăugată a unei finanțări adecvate pentru asistența tehnică comună BEI-Comisie acordată autorităților de punere în aplicare pentru a contribui la asigurarea implementării în timp util și a </w:t>
      </w:r>
      <w:proofErr w:type="spellStart"/>
      <w:r w:rsidR="00292E5C" w:rsidRPr="00BF6DDD">
        <w:t>adiționalității</w:t>
      </w:r>
      <w:proofErr w:type="spellEnd"/>
      <w:r w:rsidR="00292E5C" w:rsidRPr="00BF6DDD">
        <w:t xml:space="preserve"> investițiilor, în special prin consolidarea capacității administrative și dezvoltarea unor rezerve de investiții; solicită utilizarea extinsă a finanțării mixte, pentru a viza regiunile insuficient deservite și regiunile de coeziune prin combinarea fondurilor structurale și de investiții ale UE cu alte instrumente;</w:t>
      </w:r>
    </w:p>
    <w:p w14:paraId="262D6920" w14:textId="4214D5A0" w:rsidR="00292E5C" w:rsidRPr="00BF6DDD" w:rsidRDefault="00066422" w:rsidP="00292E5C">
      <w:pPr>
        <w:pStyle w:val="NormalHanging12a"/>
      </w:pPr>
      <w:r w:rsidRPr="00BF6DDD">
        <w:t>30</w:t>
      </w:r>
      <w:r w:rsidR="00292E5C" w:rsidRPr="00BF6DDD">
        <w:t>.</w:t>
      </w:r>
      <w:r w:rsidR="00292E5C" w:rsidRPr="00BF6DDD">
        <w:tab/>
        <w:t>salută eforturile Grupului BEI de a finanța proiecte de locuințe sociale în întreaga Uniune; invită Banca să își intensifice activitățile de îmbunătățire a accesului la locuințe la prețuri abordabile, având în vedere criza tot mai mare a locuințelor din Europa; încurajează BEI să colaboreze cu alte bănci publice europene de investiții, instituții financiare publice locale, administrații locale, companii care propun locuințe cooperative și sociale, precum și cu municipalități pentru a finanța soluții locative și a oferi soluții pe termen lung la criza costului vieții;</w:t>
      </w:r>
    </w:p>
    <w:p w14:paraId="3726B6C2" w14:textId="34542BF9" w:rsidR="00292E5C" w:rsidRPr="00BF6DDD" w:rsidRDefault="00066422" w:rsidP="00292E5C">
      <w:pPr>
        <w:pStyle w:val="NormalHanging12a"/>
      </w:pPr>
      <w:r w:rsidRPr="00BF6DDD">
        <w:t>31</w:t>
      </w:r>
      <w:r w:rsidR="00292E5C" w:rsidRPr="00BF6DDD">
        <w:t>.</w:t>
      </w:r>
      <w:r w:rsidR="00292E5C" w:rsidRPr="00BF6DDD">
        <w:tab/>
        <w:t>salută eforturile BEI de a sprijini proiecte ce contribuie la punerea în aplicare a Pilonului european al drepturilor sociale și a obiectivelor de dezvoltare durabilă ale ONU; invită BEI să mărească ponderea beneficiilor sociale în evaluările proiectelor, pentru a oferi soluții accesibile ca preț pe termen lung;</w:t>
      </w:r>
    </w:p>
    <w:p w14:paraId="633E0AEA" w14:textId="77777777" w:rsidR="00292E5C" w:rsidRPr="00BF6DDD" w:rsidRDefault="00292E5C" w:rsidP="00292E5C">
      <w:pPr>
        <w:pStyle w:val="Normal12a"/>
      </w:pPr>
      <w:r w:rsidRPr="00BF6DDD">
        <w:rPr>
          <w:b/>
          <w:i/>
        </w:rPr>
        <w:t>Transparență și răspundere</w:t>
      </w:r>
    </w:p>
    <w:p w14:paraId="5E359610" w14:textId="1C27C8ED" w:rsidR="00292E5C" w:rsidRPr="00BF6DDD" w:rsidRDefault="00066422" w:rsidP="00292E5C">
      <w:pPr>
        <w:pStyle w:val="NormalHanging12a"/>
      </w:pPr>
      <w:r w:rsidRPr="00BF6DDD">
        <w:t>32</w:t>
      </w:r>
      <w:r w:rsidR="00292E5C" w:rsidRPr="00BF6DDD">
        <w:t>.</w:t>
      </w:r>
      <w:r w:rsidR="00292E5C" w:rsidRPr="00BF6DDD">
        <w:tab/>
        <w:t xml:space="preserve">reamintește că fondurile BEI sunt bani publici și ar trebui să facă întotdeauna obiectul controlului și răspunderii publice, în special atunci când sunt susținute de garanții ale UE sau de fonduri bugetare ale UE; își reiterează apelul pentru un cadru interinstituțional structurat care să asigure un control parlamentar sporit, un acces îmbunătățit la informații și posibilitatea ca Parlamentul să contribuie la orientările strategice ale BEI; ia act de progresele înregistrate în ceea ce privește indicele de transparență a investițiilor străine directe pentru 2025, dar solicită îmbunătățiri </w:t>
      </w:r>
      <w:r w:rsidR="00292E5C" w:rsidRPr="00BF6DDD">
        <w:lastRenderedPageBreak/>
        <w:t>suplimentare; subliniază necesitatea responsabilității fiscale și a utilizării eficiente a fondurilor pentru a proteja banii contribuabililor; observă că mecanismele de raportare consolidate sunt esențiale pentru un control parlamentar eficace;</w:t>
      </w:r>
    </w:p>
    <w:p w14:paraId="48CAC299" w14:textId="3D53DAEE" w:rsidR="00292E5C" w:rsidRPr="00BF6DDD" w:rsidRDefault="00066422" w:rsidP="00292E5C">
      <w:pPr>
        <w:pStyle w:val="NormalHanging12a"/>
      </w:pPr>
      <w:r w:rsidRPr="00BF6DDD">
        <w:t>33</w:t>
      </w:r>
      <w:r w:rsidR="00292E5C" w:rsidRPr="00BF6DDD">
        <w:t>.</w:t>
      </w:r>
      <w:r w:rsidR="00292E5C" w:rsidRPr="00BF6DDD">
        <w:tab/>
        <w:t xml:space="preserve">accentuează că este important ca BEI să asigure trasabilitatea proiectelor finanțate; subliniază că BEI ar trebui să publice, în timp util, informații mai detaliate despre proiectele sale, inclusiv justificarea și contextul acestora, o explicație a modului în care se aliniază la prioritățile comune ale UE și informații despre operatorii economici beneficiari propriu-ziși, menționând clar proiectele sprijinite de bugetul UE; salută decizia BEI, în urma unei anchete a Ombudsmanului, de a începe să își publice în mod </w:t>
      </w:r>
      <w:proofErr w:type="spellStart"/>
      <w:r w:rsidR="00292E5C" w:rsidRPr="00BF6DDD">
        <w:t>proactiv</w:t>
      </w:r>
      <w:proofErr w:type="spellEnd"/>
      <w:r w:rsidR="00292E5C" w:rsidRPr="00BF6DDD">
        <w:t xml:space="preserve"> evaluările de mediu și sociale pentru proiectele situate în afara UE care ar avea, probabil, un impact semnificativ în aceste domenii;</w:t>
      </w:r>
    </w:p>
    <w:p w14:paraId="259838CE" w14:textId="5502A417" w:rsidR="00292E5C" w:rsidRPr="00BF6DDD" w:rsidRDefault="00066422" w:rsidP="00292E5C">
      <w:pPr>
        <w:pStyle w:val="NormalHanging12a"/>
      </w:pPr>
      <w:r w:rsidRPr="00BF6DDD">
        <w:t>34</w:t>
      </w:r>
      <w:r w:rsidR="00292E5C" w:rsidRPr="00BF6DDD">
        <w:t>.</w:t>
      </w:r>
      <w:r w:rsidR="00292E5C" w:rsidRPr="00BF6DDD">
        <w:tab/>
        <w:t>evidențiază că garanțiile temporare concepute cu atenție ar trebui utilizate, după caz, mai degrabă decât granturile, limitând impactul bugetar direct și favorizând atragerea de capital privat; reamintește că garanțiile reprezintă un risc fiscal real și ar trebui să facă obiectul aceleiași discipline ca și cheltuielile directe; accentuează că utilizarea garanțiilor trebuie să fie însoțită de un grad ridicat de transparență, de o supraveghere democratică și de mecanisme adecvate de evaluare a riscurilor; subliniază că investitorii privați ar trebui să își păstreze expunerea principală la riscul comercial, în timp ce intervenția BEI ar trebui să rămână limitată, clar definită și temporară, concentrându-se asupra riscurilor care nu pot fi suportate de participanții privați la piață și asupra atenuării riscurilor specifice proiectului; invită BEI să limiteze operațiunile de finanțare mixtă la domeniile unde pot aduce valoare adăugată economiei locale, evitând în același timp excluderea capitalului privat;</w:t>
      </w:r>
    </w:p>
    <w:p w14:paraId="5BC80CC7" w14:textId="615DF912" w:rsidR="00292E5C" w:rsidRPr="00BF6DDD" w:rsidRDefault="00066422" w:rsidP="00292E5C">
      <w:pPr>
        <w:pStyle w:val="NormalHanging12a"/>
      </w:pPr>
      <w:r w:rsidRPr="00BF6DDD">
        <w:t>35</w:t>
      </w:r>
      <w:r w:rsidR="00292E5C" w:rsidRPr="00BF6DDD">
        <w:t>.</w:t>
      </w:r>
      <w:r w:rsidR="00292E5C" w:rsidRPr="00BF6DDD">
        <w:tab/>
        <w:t>evidențiază costurile operaționale globale ridicate ale BEI; solicită, prin urmare, identificarea unor măsuri adecvate de atenuare în vederea creșterii eficienței din punctul de vedere al costurilor, protejând totodată eficacitatea operațională a Băncii;</w:t>
      </w:r>
    </w:p>
    <w:p w14:paraId="249F153F" w14:textId="6D2904E6" w:rsidR="00292E5C" w:rsidRPr="00BF6DDD" w:rsidRDefault="00066422" w:rsidP="00292E5C">
      <w:pPr>
        <w:pStyle w:val="NormalHanging12a"/>
      </w:pPr>
      <w:r w:rsidRPr="00BF6DDD">
        <w:t>36</w:t>
      </w:r>
      <w:r w:rsidR="00292E5C" w:rsidRPr="00BF6DDD">
        <w:t>.</w:t>
      </w:r>
      <w:r w:rsidR="00292E5C" w:rsidRPr="00BF6DDD">
        <w:tab/>
        <w:t>constată că Grupul BEI funcționează în cadrul unui regim dual, în temeiul căruia operațiunile sprijinite de bugetul UE sunt examinate indirect de Comisie și de CCE, precum și de Parlament prin decizia sa privind descărcarea de gestiune pentru bugetul UE, în timp ce operațiunile finanțate din resursele proprii ale BEI care provin de la statele membre – peste trei sferturi dintre operațiunile BEI – se află în mare parte în afara auditului extern sistematic și a controlului parlamentelor naționale și Parlamentului European; observă că BEI dispune de o arhitectură internă densă în materie de asumare a răspunderii și că un auditor extern asigură supravegherea operațiunilor și a sistemului contabil al BEI; este de acord că această structură este, în linii mari, conformă cu practicile internaționale; constată că raportarea către Parlamentul European este ocazională, că cooperarea cu Ombudsmanul European s-a schimbat și că rolul CCE este limitat de normele și modalitățile de punere în aplicare actuale; subliniază necesitatea unor acțiuni concrete din partea BEI pentru a soluționa această situație, în conformitate cu solicitările anterioare incluse în rezoluțiile Parlamentului și cu disponibilitatea pentru dialog și cooperare exprimate de autoritatea bugetară europeană și de autoritatea responsabilă cu aprobarea descărcării de gestiune; invită BEI să implice activ instituțiile naționale supreme de audit în acest proces pentru a asigura răspunderea pentru operațiunile care nu sunt acoperite în prezent de CCE și pentru a garanta o răspundere și o supraveghere solide;</w:t>
      </w:r>
    </w:p>
    <w:p w14:paraId="1253318C" w14:textId="23ECD3AF" w:rsidR="00724E7D" w:rsidRPr="00BF6DDD" w:rsidRDefault="00066422" w:rsidP="00292E5C">
      <w:pPr>
        <w:pStyle w:val="NormalHanging12a"/>
      </w:pPr>
      <w:r w:rsidRPr="00BF6DDD">
        <w:t>37</w:t>
      </w:r>
      <w:r w:rsidR="00724E7D" w:rsidRPr="00BF6DDD">
        <w:t>.</w:t>
      </w:r>
      <w:r w:rsidR="00724E7D" w:rsidRPr="00BF6DDD">
        <w:tab/>
        <w:t xml:space="preserve">ia act de rolul de supraveghere internă al Comitetului de audit al BEI; indică faptul că nu se efectuează nicio supraveghere prudențială externă în conformitate cu standardele </w:t>
      </w:r>
      <w:r w:rsidR="00724E7D" w:rsidRPr="00BF6DDD">
        <w:lastRenderedPageBreak/>
        <w:t>de supraveghere acceptate la nivel internațional, cu excepția domeniului gestionării lichidităților; încurajează Consiliul guvernatorilor BEI, având în vedere dimensiunea, complexitatea și particularitățile modelului de afaceri al BEI, să stabilească mecanisme adecvate pentru a respecta cele mai înalte standarde de supraveghere prudențială externă, luând în considerare, în același timp, adaptările necesare care decurg din modelul de afaceri unic al BEI;</w:t>
      </w:r>
    </w:p>
    <w:p w14:paraId="05FEDB65" w14:textId="59ADD1D5" w:rsidR="00292E5C" w:rsidRPr="00BF6DDD" w:rsidRDefault="00066422" w:rsidP="00292E5C">
      <w:pPr>
        <w:pStyle w:val="NormalHanging12a"/>
      </w:pPr>
      <w:r w:rsidRPr="00BF6DDD">
        <w:t>38</w:t>
      </w:r>
      <w:r w:rsidR="00292E5C" w:rsidRPr="00BF6DDD">
        <w:t>.</w:t>
      </w:r>
      <w:r w:rsidR="00292E5C" w:rsidRPr="00BF6DDD">
        <w:tab/>
        <w:t>este preocupat de ancheta pentru fapte de corupție aflată pe rol care îl vizează pe un fost președinte al BEI; se așteaptă ca Parchetul European și Oficiul European de Luptă Antifraudă să investigheze în detaliu cazul și cere claritate deplină cu privire la această chestiune; reamintește că orice neregulă și orice deturnare a fondurilor publice ar trebui să fie aspru pedepsite;</w:t>
      </w:r>
    </w:p>
    <w:p w14:paraId="1D336C70" w14:textId="7C57AFF7" w:rsidR="00292E5C" w:rsidRPr="00BF6DDD" w:rsidRDefault="00066422" w:rsidP="00292E5C">
      <w:pPr>
        <w:pStyle w:val="NormalHanging12a"/>
      </w:pPr>
      <w:r w:rsidRPr="00BF6DDD">
        <w:t>39</w:t>
      </w:r>
      <w:r w:rsidR="00292E5C" w:rsidRPr="00BF6DDD">
        <w:t>.</w:t>
      </w:r>
      <w:r w:rsidR="00292E5C" w:rsidRPr="00BF6DDD">
        <w:tab/>
        <w:t xml:space="preserve">solicită consolidarea politicilor BEI în domeniul drepturilor omului; subliniază că evaluările impactului social și asupra mediului ar trebui efectuate de experți independenți și că ar trebui introduse mecanisme independente de verificare pentru a supraveghea automonitorizarea și </w:t>
      </w:r>
      <w:proofErr w:type="spellStart"/>
      <w:r w:rsidR="00292E5C" w:rsidRPr="00BF6DDD">
        <w:t>autoraportarea</w:t>
      </w:r>
      <w:proofErr w:type="spellEnd"/>
      <w:r w:rsidR="00292E5C" w:rsidRPr="00BF6DDD">
        <w:t xml:space="preserve"> efectuate de clienții BEI;</w:t>
      </w:r>
    </w:p>
    <w:p w14:paraId="58D3C7BF" w14:textId="4B06A3E5" w:rsidR="00292E5C" w:rsidRPr="00BF6DDD" w:rsidRDefault="00066422" w:rsidP="00292E5C">
      <w:pPr>
        <w:pStyle w:val="NormalHanging12a"/>
      </w:pPr>
      <w:r w:rsidRPr="00BF6DDD">
        <w:t>40</w:t>
      </w:r>
      <w:r w:rsidR="00292E5C" w:rsidRPr="00BF6DDD">
        <w:t>.</w:t>
      </w:r>
      <w:r w:rsidR="00292E5C" w:rsidRPr="00BF6DDD">
        <w:tab/>
        <w:t>recunoaște eforturile BEI de a îmbunătăți practicile de gestiune, în urma sondajului intern al BEI din 2023; cere aplicarea în continuare a principiilor BEI în ceea ce privește diversitatea, echitatea și incluziunea, inclusiv obiectivul de a se asigura că cel puțin 40 % din posturile de conducere sunt deținute de femei până la sfârșitul anului 2026;</w:t>
      </w:r>
    </w:p>
    <w:p w14:paraId="4FA2DA07" w14:textId="58CA6A1F" w:rsidR="00292E5C" w:rsidRPr="00BF6DDD" w:rsidRDefault="00066422" w:rsidP="00292E5C">
      <w:pPr>
        <w:pStyle w:val="NormalHanging12a"/>
      </w:pPr>
      <w:r w:rsidRPr="00BF6DDD">
        <w:t>41</w:t>
      </w:r>
      <w:r w:rsidR="00292E5C" w:rsidRPr="00BF6DDD">
        <w:t>.</w:t>
      </w:r>
      <w:r w:rsidR="00292E5C" w:rsidRPr="00BF6DDD">
        <w:tab/>
        <w:t>își reiterează apelul adresat BEI de a revizui urgent diviziunea muncii în Comitetul de direcție și, în special, de a se asigura că vicepreședinții BEI nu preiau niciodată coordonarea proiectelor care provin din țările lor de origine, chiar dacă Comitetul de direcție își asumă responsabilitatea colectivă pentru deciziile sale, având în vedere riscul evident de conflicte de interese; evidențiază că există numeroase recomandări pe această temă din partea instituțiilor UE;</w:t>
      </w:r>
    </w:p>
    <w:p w14:paraId="3593311C" w14:textId="6856109C" w:rsidR="00292E5C" w:rsidRPr="00BF6DDD" w:rsidRDefault="00066422" w:rsidP="00292E5C">
      <w:pPr>
        <w:pStyle w:val="NormalHanging12a"/>
      </w:pPr>
      <w:r w:rsidRPr="00BF6DDD">
        <w:t>42</w:t>
      </w:r>
      <w:r w:rsidR="00292E5C" w:rsidRPr="00BF6DDD">
        <w:t>.</w:t>
      </w:r>
      <w:r w:rsidR="00292E5C" w:rsidRPr="00BF6DDD">
        <w:tab/>
        <w:t>salută faptul că, în 2025, în urma solicitărilor repetate ale Parlamentului, BEI și-a declarat disponibilitatea de a iniția negocieri în vederea încheierii unui „acord” privind cooperarea consolidată între Parlament și BEI; salută, de asemenea, înțelegerea comună potrivit căreia negocierile ar trebui încheiate în timp util; subliniază că un astfel de „acord” va oficializa și va consolida interacțiunile dintre Parlament și BEI, reflectând astfel un angajament reciproc față de o cooperare mai strânsă; constată că valoarea adăugată a unor astfel de acorduri este atestată de aplicarea unor acorduri comparabile încheiate între Parlament și alte instituții și organisme ale Uniunii sau organizații interguvernamentale;</w:t>
      </w:r>
    </w:p>
    <w:p w14:paraId="6ACFCE98" w14:textId="77777777" w:rsidR="00292E5C" w:rsidRPr="00BF6DDD" w:rsidRDefault="00292E5C" w:rsidP="00292E5C">
      <w:pPr>
        <w:pStyle w:val="NormalCenter12a"/>
      </w:pPr>
      <w:r w:rsidRPr="00BF6DDD">
        <w:t>°</w:t>
      </w:r>
    </w:p>
    <w:p w14:paraId="41358BBD" w14:textId="77777777" w:rsidR="00292E5C" w:rsidRPr="00BF6DDD" w:rsidRDefault="00292E5C" w:rsidP="00292E5C">
      <w:pPr>
        <w:pStyle w:val="NormalCenter12a"/>
      </w:pPr>
      <w:r w:rsidRPr="00BF6DDD">
        <w:t>°</w:t>
      </w:r>
      <w:r w:rsidRPr="00BF6DDD">
        <w:tab/>
        <w:t>°</w:t>
      </w:r>
    </w:p>
    <w:p w14:paraId="3E3EA881" w14:textId="48C81959" w:rsidR="0039543F" w:rsidRPr="00BF6DDD" w:rsidRDefault="00066422" w:rsidP="0039543F">
      <w:pPr>
        <w:pStyle w:val="NormalHanging12a"/>
      </w:pPr>
      <w:r w:rsidRPr="00BF6DDD">
        <w:t>43</w:t>
      </w:r>
      <w:r w:rsidR="00292E5C" w:rsidRPr="00BF6DDD">
        <w:t>.</w:t>
      </w:r>
      <w:r w:rsidR="00292E5C" w:rsidRPr="00BF6DDD">
        <w:tab/>
        <w:t>încredințează Președintei sarcina de a transmite prezenta rezoluție Consiliului și Comisiei.</w:t>
      </w:r>
    </w:p>
    <w:p w14:paraId="01984B89" w14:textId="224ABD1D" w:rsidR="00E365E1" w:rsidRPr="00BF6DDD" w:rsidRDefault="00E365E1" w:rsidP="00EC0F1F"/>
    <w:sectPr w:rsidR="00E365E1" w:rsidRPr="00BF6DDD" w:rsidSect="0039543F">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A000" w14:textId="77777777" w:rsidR="00EC0F1F" w:rsidRPr="0039543F" w:rsidRDefault="00EC0F1F">
      <w:r w:rsidRPr="0039543F">
        <w:separator/>
      </w:r>
    </w:p>
  </w:endnote>
  <w:endnote w:type="continuationSeparator" w:id="0">
    <w:p w14:paraId="1DEBDE65" w14:textId="77777777" w:rsidR="00EC0F1F" w:rsidRPr="0039543F" w:rsidRDefault="00EC0F1F">
      <w:r w:rsidRPr="003954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E3A51" w14:textId="77777777" w:rsidR="00EC0F1F" w:rsidRPr="0039543F" w:rsidRDefault="00EC0F1F">
      <w:r w:rsidRPr="0039543F">
        <w:separator/>
      </w:r>
    </w:p>
  </w:footnote>
  <w:footnote w:type="continuationSeparator" w:id="0">
    <w:p w14:paraId="7CA5FD3F" w14:textId="77777777" w:rsidR="00EC0F1F" w:rsidRPr="0039543F" w:rsidRDefault="00EC0F1F">
      <w:r w:rsidRPr="0039543F">
        <w:continuationSeparator/>
      </w:r>
    </w:p>
  </w:footnote>
  <w:footnote w:id="1">
    <w:p w14:paraId="03750829" w14:textId="3F813BA8" w:rsidR="002D5653" w:rsidRPr="0039543F" w:rsidRDefault="002D5653" w:rsidP="0039543F">
      <w:pPr>
        <w:pStyle w:val="FootnoteText"/>
        <w:ind w:left="567" w:hanging="567"/>
        <w:rPr>
          <w:sz w:val="24"/>
          <w:lang w:val="ro-RO"/>
        </w:rPr>
      </w:pPr>
      <w:r>
        <w:rPr>
          <w:rStyle w:val="FootnoteReference"/>
        </w:rPr>
        <w:footnoteRef/>
      </w:r>
      <w:r w:rsidRPr="0039543F">
        <w:rPr>
          <w:sz w:val="24"/>
          <w:lang w:val="ro-RO"/>
        </w:rPr>
        <w:t xml:space="preserve"> </w:t>
      </w:r>
      <w:r w:rsidRPr="0039543F">
        <w:rPr>
          <w:sz w:val="24"/>
          <w:lang w:val="ro-RO"/>
        </w:rPr>
        <w:tab/>
        <w:t>Regulamentul (UE) 2023/2631 al Parlamentului European și al Consiliului din 22 noiembrie 2023 privind obligațiunile verzi europene și publicarea opțională de informații pentru obligațiunile comercializate ca fiind durabile din punctul de vedere al mediului și pentru obligațiunile legate de durabilitate (JO L, 2023/2631, 30.11.2023, ELI:</w:t>
      </w:r>
      <w:r>
        <w:rPr>
          <w:sz w:val="24"/>
          <w:lang w:val="ro-RO"/>
        </w:rPr>
        <w:t> </w:t>
      </w:r>
      <w:hyperlink r:id="rId1" w:tgtFrame="http://data.europa.eu/eli/reg/2023/2631/oj" w:history="1">
        <w:r w:rsidRPr="0039543F">
          <w:rPr>
            <w:rStyle w:val="Hyperlink"/>
            <w:sz w:val="24"/>
            <w:lang w:val="ro-RO"/>
          </w:rPr>
          <w:t>http://data.europa.eu/eli/reg/2023/2631/oj</w:t>
        </w:r>
      </w:hyperlink>
      <w:r w:rsidRPr="0039543F">
        <w:rPr>
          <w:sz w:val="24"/>
          <w:lang w:val="ro-RO"/>
        </w:rPr>
        <w:t>).</w:t>
      </w:r>
    </w:p>
  </w:footnote>
  <w:footnote w:id="2">
    <w:p w14:paraId="0F26B9DB" w14:textId="5BDA6B14" w:rsidR="002D5653" w:rsidRPr="0039543F" w:rsidRDefault="002D5653" w:rsidP="0039543F">
      <w:pPr>
        <w:pStyle w:val="FootnoteText"/>
        <w:ind w:left="567" w:hanging="567"/>
        <w:rPr>
          <w:sz w:val="24"/>
          <w:lang w:val="ro-RO"/>
        </w:rPr>
      </w:pPr>
      <w:r>
        <w:rPr>
          <w:rStyle w:val="FootnoteReference"/>
        </w:rPr>
        <w:footnoteRef/>
      </w:r>
      <w:r w:rsidRPr="0039543F">
        <w:rPr>
          <w:sz w:val="24"/>
          <w:lang w:val="ro-RO"/>
        </w:rPr>
        <w:t xml:space="preserve"> </w:t>
      </w:r>
      <w:r w:rsidRPr="0039543F">
        <w:rPr>
          <w:sz w:val="24"/>
          <w:lang w:val="ro-RO"/>
        </w:rPr>
        <w:tab/>
      </w:r>
      <w:r w:rsidRPr="0039543F">
        <w:rPr>
          <w:sz w:val="24"/>
          <w:lang w:val="ro-RO"/>
        </w:rPr>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(JO L, 2024/1252, 3.5.2024, ELI:</w:t>
      </w:r>
      <w:r>
        <w:rPr>
          <w:sz w:val="24"/>
          <w:lang w:val="ro-RO"/>
        </w:rPr>
        <w:t> </w:t>
      </w:r>
      <w:hyperlink r:id="rId2" w:tgtFrame="http://data.europa.eu/eli/reg/2024/1252/oj" w:history="1">
        <w:r w:rsidRPr="0039543F">
          <w:rPr>
            <w:rStyle w:val="Hyperlink"/>
            <w:sz w:val="24"/>
            <w:lang w:val="ro-RO"/>
          </w:rPr>
          <w:t>http://data.europa.eu/eli/reg/2024/1252/oj</w:t>
        </w:r>
      </w:hyperlink>
      <w:r w:rsidRPr="0039543F">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7586084">
    <w:abstractNumId w:val="9"/>
  </w:num>
  <w:num w:numId="2" w16cid:durableId="1816684412">
    <w:abstractNumId w:val="9"/>
  </w:num>
  <w:num w:numId="3" w16cid:durableId="292177710">
    <w:abstractNumId w:val="7"/>
  </w:num>
  <w:num w:numId="4" w16cid:durableId="1792629815">
    <w:abstractNumId w:val="7"/>
  </w:num>
  <w:num w:numId="5" w16cid:durableId="2004895574">
    <w:abstractNumId w:val="6"/>
  </w:num>
  <w:num w:numId="6" w16cid:durableId="102767117">
    <w:abstractNumId w:val="6"/>
  </w:num>
  <w:num w:numId="7" w16cid:durableId="74791289">
    <w:abstractNumId w:val="5"/>
  </w:num>
  <w:num w:numId="8" w16cid:durableId="304507166">
    <w:abstractNumId w:val="5"/>
  </w:num>
  <w:num w:numId="9" w16cid:durableId="903488551">
    <w:abstractNumId w:val="4"/>
  </w:num>
  <w:num w:numId="10" w16cid:durableId="82920921">
    <w:abstractNumId w:val="4"/>
  </w:num>
  <w:num w:numId="11" w16cid:durableId="2899043">
    <w:abstractNumId w:val="8"/>
  </w:num>
  <w:num w:numId="12" w16cid:durableId="967933627">
    <w:abstractNumId w:val="8"/>
  </w:num>
  <w:num w:numId="13" w16cid:durableId="928318532">
    <w:abstractNumId w:val="3"/>
  </w:num>
  <w:num w:numId="14" w16cid:durableId="302463504">
    <w:abstractNumId w:val="3"/>
  </w:num>
  <w:num w:numId="15" w16cid:durableId="344678070">
    <w:abstractNumId w:val="2"/>
  </w:num>
  <w:num w:numId="16" w16cid:durableId="809634060">
    <w:abstractNumId w:val="2"/>
  </w:num>
  <w:num w:numId="17" w16cid:durableId="1993633581">
    <w:abstractNumId w:val="1"/>
  </w:num>
  <w:num w:numId="18" w16cid:durableId="153228326">
    <w:abstractNumId w:val="1"/>
  </w:num>
  <w:num w:numId="19" w16cid:durableId="882795024">
    <w:abstractNumId w:val="0"/>
  </w:num>
  <w:num w:numId="20" w16cid:durableId="1229536038">
    <w:abstractNumId w:val="0"/>
  </w:num>
  <w:num w:numId="21" w16cid:durableId="804857734">
    <w:abstractNumId w:val="9"/>
  </w:num>
  <w:num w:numId="22" w16cid:durableId="773981993">
    <w:abstractNumId w:val="7"/>
  </w:num>
  <w:num w:numId="23" w16cid:durableId="829906596">
    <w:abstractNumId w:val="6"/>
  </w:num>
  <w:num w:numId="24" w16cid:durableId="342361697">
    <w:abstractNumId w:val="5"/>
  </w:num>
  <w:num w:numId="25" w16cid:durableId="691690705">
    <w:abstractNumId w:val="4"/>
  </w:num>
  <w:num w:numId="26" w16cid:durableId="1881163855">
    <w:abstractNumId w:val="8"/>
  </w:num>
  <w:num w:numId="27" w16cid:durableId="70588020">
    <w:abstractNumId w:val="3"/>
  </w:num>
  <w:num w:numId="28" w16cid:durableId="448863692">
    <w:abstractNumId w:val="2"/>
  </w:num>
  <w:num w:numId="29" w16cid:durableId="371346247">
    <w:abstractNumId w:val="1"/>
  </w:num>
  <w:num w:numId="30" w16cid:durableId="1101923447">
    <w:abstractNumId w:val="0"/>
  </w:num>
  <w:num w:numId="31" w16cid:durableId="587926251">
    <w:abstractNumId w:val="9"/>
  </w:num>
  <w:num w:numId="32" w16cid:durableId="1327323414">
    <w:abstractNumId w:val="7"/>
  </w:num>
  <w:num w:numId="33" w16cid:durableId="1037969152">
    <w:abstractNumId w:val="6"/>
  </w:num>
  <w:num w:numId="34" w16cid:durableId="104811048">
    <w:abstractNumId w:val="5"/>
  </w:num>
  <w:num w:numId="35" w16cid:durableId="1443962889">
    <w:abstractNumId w:val="4"/>
  </w:num>
  <w:num w:numId="36" w16cid:durableId="939794378">
    <w:abstractNumId w:val="8"/>
  </w:num>
  <w:num w:numId="37" w16cid:durableId="628705133">
    <w:abstractNumId w:val="3"/>
  </w:num>
  <w:num w:numId="38" w16cid:durableId="580989999">
    <w:abstractNumId w:val="2"/>
  </w:num>
  <w:num w:numId="39" w16cid:durableId="1302273800">
    <w:abstractNumId w:val="1"/>
  </w:num>
  <w:num w:numId="40" w16cid:durableId="1615556243">
    <w:abstractNumId w:val="0"/>
  </w:num>
  <w:num w:numId="41" w16cid:durableId="650136069">
    <w:abstractNumId w:val="10"/>
  </w:num>
  <w:num w:numId="42" w16cid:durableId="448008559">
    <w:abstractNumId w:val="10"/>
  </w:num>
  <w:num w:numId="43" w16cid:durableId="1475099458">
    <w:abstractNumId w:val="10"/>
  </w:num>
  <w:num w:numId="44" w16cid:durableId="14143563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RO"/>
    <w:docVar w:name="dvnumam" w:val="0"/>
    <w:docVar w:name="dvpe" w:val="784.507"/>
    <w:docVar w:name="dvrapporteur" w:val="Raportor: "/>
    <w:docVar w:name="dvtitre" w:val="Rezoluția Parlamentului European din 7 iulie 2026 referitoare la activitățile financiare ale Grupului Băncii Europene de Investiții – raportul anual pe 2025(2025/2213(INI))"/>
  </w:docVars>
  <w:rsids>
    <w:rsidRoot w:val="00EC0F1F"/>
    <w:rsid w:val="00002272"/>
    <w:rsid w:val="00064002"/>
    <w:rsid w:val="00066422"/>
    <w:rsid w:val="000677B9"/>
    <w:rsid w:val="000831BA"/>
    <w:rsid w:val="000A42CC"/>
    <w:rsid w:val="000E7DD9"/>
    <w:rsid w:val="0010095E"/>
    <w:rsid w:val="00125B37"/>
    <w:rsid w:val="00187494"/>
    <w:rsid w:val="001F32AE"/>
    <w:rsid w:val="002767FF"/>
    <w:rsid w:val="00292E5C"/>
    <w:rsid w:val="002B18FE"/>
    <w:rsid w:val="002B5493"/>
    <w:rsid w:val="002D5653"/>
    <w:rsid w:val="00343214"/>
    <w:rsid w:val="00361C00"/>
    <w:rsid w:val="0039543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FC8"/>
    <w:rsid w:val="005F1B17"/>
    <w:rsid w:val="006037C0"/>
    <w:rsid w:val="006631B6"/>
    <w:rsid w:val="00680577"/>
    <w:rsid w:val="006F74FA"/>
    <w:rsid w:val="00724E7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DDD"/>
    <w:rsid w:val="00C05BFE"/>
    <w:rsid w:val="00C23CD4"/>
    <w:rsid w:val="00C61C0C"/>
    <w:rsid w:val="00C811BE"/>
    <w:rsid w:val="00C941CB"/>
    <w:rsid w:val="00CC2357"/>
    <w:rsid w:val="00CF071A"/>
    <w:rsid w:val="00D058B8"/>
    <w:rsid w:val="00D56C11"/>
    <w:rsid w:val="00D834A0"/>
    <w:rsid w:val="00D872DF"/>
    <w:rsid w:val="00D91E21"/>
    <w:rsid w:val="00DA7FCD"/>
    <w:rsid w:val="00E365E1"/>
    <w:rsid w:val="00E4064F"/>
    <w:rsid w:val="00E820A4"/>
    <w:rsid w:val="00EB006A"/>
    <w:rsid w:val="00EB4772"/>
    <w:rsid w:val="00EC0F1F"/>
    <w:rsid w:val="00ED169E"/>
    <w:rsid w:val="00ED4235"/>
    <w:rsid w:val="00F04346"/>
    <w:rsid w:val="00F075DC"/>
    <w:rsid w:val="00F149E9"/>
    <w:rsid w:val="00F5134D"/>
    <w:rsid w:val="00F728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66252"/>
  <w15:chartTrackingRefBased/>
  <w15:docId w15:val="{715C5152-22B1-4643-BBB9-527FF1A15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92E5C"/>
    <w:pPr>
      <w:widowControl/>
      <w:spacing w:after="240"/>
    </w:pPr>
    <w:rPr>
      <w:szCs w:val="24"/>
      <w:lang w:eastAsia="en-US"/>
    </w:rPr>
  </w:style>
  <w:style w:type="paragraph" w:customStyle="1" w:styleId="NormalHanging12a">
    <w:name w:val="NormalHanging12a"/>
    <w:basedOn w:val="Normal"/>
    <w:rsid w:val="00292E5C"/>
    <w:pPr>
      <w:widowControl/>
      <w:spacing w:after="240"/>
      <w:ind w:left="566" w:hanging="566"/>
    </w:pPr>
    <w:rPr>
      <w:szCs w:val="24"/>
      <w:lang w:eastAsia="en-US"/>
    </w:rPr>
  </w:style>
  <w:style w:type="paragraph" w:customStyle="1" w:styleId="Normal12">
    <w:name w:val="Normal12"/>
    <w:basedOn w:val="Normal"/>
    <w:rsid w:val="00292E5C"/>
    <w:pPr>
      <w:spacing w:after="240"/>
    </w:pPr>
    <w:rPr>
      <w:szCs w:val="24"/>
      <w:lang w:eastAsia="en-US"/>
    </w:rPr>
  </w:style>
  <w:style w:type="paragraph" w:customStyle="1" w:styleId="NormalHanging">
    <w:name w:val="NormalHanging"/>
    <w:basedOn w:val="Normal"/>
    <w:rsid w:val="00292E5C"/>
    <w:pPr>
      <w:spacing w:after="240"/>
      <w:ind w:left="566" w:hanging="566"/>
    </w:pPr>
    <w:rPr>
      <w:szCs w:val="24"/>
      <w:lang w:eastAsia="en-US"/>
    </w:rPr>
  </w:style>
  <w:style w:type="paragraph" w:customStyle="1" w:styleId="NormalCenter12a">
    <w:name w:val="NormalCenter12a"/>
    <w:basedOn w:val="Normal"/>
    <w:rsid w:val="00292E5C"/>
    <w:pPr>
      <w:widowControl/>
      <w:spacing w:after="240"/>
      <w:jc w:val="center"/>
    </w:pPr>
    <w:rPr>
      <w:szCs w:val="24"/>
      <w:lang w:eastAsia="en-US"/>
    </w:rPr>
  </w:style>
  <w:style w:type="character" w:styleId="Hyperlink">
    <w:name w:val="Hyperlink"/>
    <w:basedOn w:val="DefaultParagraphFont"/>
    <w:rsid w:val="00292E5C"/>
    <w:rPr>
      <w:color w:val="0000FF"/>
      <w:u w:val="single"/>
    </w:rPr>
  </w:style>
  <w:style w:type="paragraph" w:styleId="Revision">
    <w:name w:val="Revision"/>
    <w:hidden/>
    <w:uiPriority w:val="99"/>
    <w:semiHidden/>
    <w:rsid w:val="002D565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5232</Words>
  <Characters>31659</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2026-07-07T14:02:00Z</dcterms:created>
  <dcterms:modified xsi:type="dcterms:W3CDTF">2026-07-07T14:02:00Z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A10-0170/2026</vt:lpwstr>
  </property>
  <property fmtid="{D5CDD505-2E9C-101B-9397-08002B2CF9AE}" pid="4" name="&lt;Type&gt;">
    <vt:lpwstr>RR</vt:lpwstr>
  </property>
</Properties>
</file>