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908BD" w14:paraId="6294F2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8C07E90" w14:textId="02929E24" w:rsidR="00751A4A" w:rsidRPr="005908BD" w:rsidRDefault="00473DF8" w:rsidP="0010095E">
            <w:pPr>
              <w:pStyle w:val="EPName"/>
            </w:pPr>
            <w:r w:rsidRPr="005908BD">
              <w:t>Европейски</w:t>
            </w:r>
            <w:r w:rsidR="000A61A6" w:rsidRPr="005908BD">
              <w:t xml:space="preserve"> парламент</w:t>
            </w:r>
          </w:p>
          <w:p w14:paraId="1BC43474" w14:textId="1137C0EA" w:rsidR="00751A4A" w:rsidRPr="005908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08BD">
              <w:t>2024</w:t>
            </w:r>
            <w:r w:rsidR="00473DF8">
              <w:t> – </w:t>
            </w:r>
            <w:r w:rsidR="00817416" w:rsidRPr="005908BD">
              <w:t>202</w:t>
            </w:r>
            <w:r w:rsidRPr="005908BD">
              <w:t>9</w:t>
            </w:r>
          </w:p>
        </w:tc>
        <w:tc>
          <w:tcPr>
            <w:tcW w:w="2268" w:type="dxa"/>
            <w:shd w:val="clear" w:color="auto" w:fill="auto"/>
          </w:tcPr>
          <w:p w14:paraId="511D0D52" w14:textId="77777777" w:rsidR="00751A4A" w:rsidRPr="005908BD" w:rsidRDefault="00187494" w:rsidP="0010095E">
            <w:pPr>
              <w:pStyle w:val="EPLogo"/>
            </w:pPr>
            <w:r w:rsidRPr="005908BD">
              <w:rPr>
                <w:noProof/>
                <w:lang w:eastAsia="ja-JP"/>
              </w:rPr>
              <w:drawing>
                <wp:inline distT="0" distB="0" distL="0" distR="0" wp14:anchorId="54DA1AA2" wp14:editId="4E3C951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716F92D" w14:textId="77777777" w:rsidR="00D058B8" w:rsidRPr="005908BD" w:rsidRDefault="00D058B8" w:rsidP="004C5D52">
      <w:pPr>
        <w:pStyle w:val="LineTop"/>
      </w:pPr>
    </w:p>
    <w:p w14:paraId="1761F104" w14:textId="77777777" w:rsidR="00680577" w:rsidRPr="005908BD" w:rsidRDefault="000A61A6" w:rsidP="00680577">
      <w:pPr>
        <w:pStyle w:val="EPBodyTA1"/>
      </w:pPr>
      <w:r w:rsidRPr="005908BD">
        <w:t>ПРИЕТИ ТЕКСТОВЕ</w:t>
      </w:r>
    </w:p>
    <w:p w14:paraId="2367ECBD" w14:textId="77777777" w:rsidR="00D058B8" w:rsidRPr="005908BD" w:rsidRDefault="00D058B8" w:rsidP="00D058B8">
      <w:pPr>
        <w:pStyle w:val="LineBottom"/>
      </w:pPr>
    </w:p>
    <w:p w14:paraId="64F1D0AC" w14:textId="291C3865" w:rsidR="000A61A6" w:rsidRPr="005908BD" w:rsidRDefault="000A61A6" w:rsidP="000A61A6">
      <w:pPr>
        <w:pStyle w:val="ATHeading1"/>
      </w:pPr>
      <w:bookmarkStart w:id="0" w:name="TANumber"/>
      <w:r w:rsidRPr="005908BD">
        <w:t>P10_TA(2026)0</w:t>
      </w:r>
      <w:r w:rsidR="00B22A96">
        <w:t>246</w:t>
      </w:r>
      <w:bookmarkEnd w:id="0"/>
    </w:p>
    <w:p w14:paraId="2BDF314D" w14:textId="77777777" w:rsidR="000A61A6" w:rsidRPr="005908BD" w:rsidRDefault="000A61A6" w:rsidP="000A61A6">
      <w:pPr>
        <w:pStyle w:val="ATHeading2"/>
      </w:pPr>
      <w:bookmarkStart w:id="1" w:name="title"/>
      <w:r w:rsidRPr="005908BD">
        <w:t xml:space="preserve">Препоръка относно променящата се геополитическа обстановка в Източна Азия и необходимостта от по-тясно сътрудничество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региона</w:t>
      </w:r>
      <w:bookmarkEnd w:id="1"/>
    </w:p>
    <w:p w14:paraId="2C731025" w14:textId="77777777" w:rsidR="000A61A6" w:rsidRPr="005908BD" w:rsidRDefault="000A61A6" w:rsidP="000A61A6">
      <w:pPr>
        <w:rPr>
          <w:i/>
          <w:vanish/>
        </w:rPr>
      </w:pPr>
      <w:r w:rsidRPr="005908BD">
        <w:rPr>
          <w:i/>
        </w:rPr>
        <w:fldChar w:fldCharType="begin"/>
      </w:r>
      <w:r w:rsidRPr="005908BD">
        <w:rPr>
          <w:i/>
        </w:rPr>
        <w:instrText xml:space="preserve"> TC"(</w:instrText>
      </w:r>
      <w:bookmarkStart w:id="2" w:name="DocNumber"/>
      <w:r w:rsidRPr="005908BD">
        <w:rPr>
          <w:i/>
        </w:rPr>
        <w:instrText>A10-0189/2026</w:instrText>
      </w:r>
      <w:bookmarkEnd w:id="2"/>
      <w:r w:rsidRPr="005908BD">
        <w:rPr>
          <w:i/>
        </w:rPr>
        <w:instrText xml:space="preserve"> - Докладчик: Адам </w:instrText>
      </w:r>
      <w:proofErr w:type="spellStart"/>
      <w:r w:rsidRPr="005908BD">
        <w:rPr>
          <w:i/>
        </w:rPr>
        <w:instrText>Белан</w:instrText>
      </w:r>
      <w:proofErr w:type="spellEnd"/>
      <w:r w:rsidRPr="005908BD">
        <w:rPr>
          <w:i/>
        </w:rPr>
        <w:instrText xml:space="preserve">)"\l3 \n&gt; \* MERGEFORMAT </w:instrText>
      </w:r>
      <w:r w:rsidRPr="005908BD">
        <w:rPr>
          <w:i/>
        </w:rPr>
        <w:fldChar w:fldCharType="end"/>
      </w:r>
    </w:p>
    <w:p w14:paraId="553F259F" w14:textId="77777777" w:rsidR="000A61A6" w:rsidRPr="005908BD" w:rsidRDefault="000A61A6" w:rsidP="000A61A6">
      <w:pPr>
        <w:rPr>
          <w:vanish/>
        </w:rPr>
      </w:pPr>
      <w:bookmarkStart w:id="3" w:name="Commission"/>
      <w:r w:rsidRPr="005908BD">
        <w:rPr>
          <w:vanish/>
        </w:rPr>
        <w:t>Комисия по външни работи</w:t>
      </w:r>
      <w:bookmarkEnd w:id="3"/>
    </w:p>
    <w:p w14:paraId="729317DB" w14:textId="77777777" w:rsidR="000A61A6" w:rsidRPr="005908BD" w:rsidRDefault="000A61A6" w:rsidP="000A61A6">
      <w:pPr>
        <w:rPr>
          <w:vanish/>
        </w:rPr>
      </w:pPr>
      <w:bookmarkStart w:id="4" w:name="PE"/>
      <w:r w:rsidRPr="005908BD">
        <w:rPr>
          <w:vanish/>
        </w:rPr>
        <w:t>PE776.904</w:t>
      </w:r>
      <w:bookmarkEnd w:id="4"/>
    </w:p>
    <w:p w14:paraId="10071742" w14:textId="48A5BC64" w:rsidR="000A61A6" w:rsidRPr="005908BD" w:rsidRDefault="000A61A6" w:rsidP="000A61A6">
      <w:pPr>
        <w:pStyle w:val="ATHeading3"/>
      </w:pPr>
      <w:bookmarkStart w:id="5" w:name="Sujet"/>
      <w:r w:rsidRPr="005908BD">
        <w:t xml:space="preserve">Препоръка на Европейския парламент </w:t>
      </w:r>
      <w:r w:rsidR="00473DF8">
        <w:t xml:space="preserve">от 7 юли 2026 г. </w:t>
      </w:r>
      <w:r w:rsidRPr="005908BD">
        <w:t xml:space="preserve">до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променящата се геополитическа обстановка в Източна Азия и необходимостта от по-тясно сътрудничество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региона</w:t>
      </w:r>
      <w:bookmarkEnd w:id="5"/>
      <w:r w:rsidRPr="005908BD">
        <w:t xml:space="preserve"> </w:t>
      </w:r>
      <w:bookmarkStart w:id="6" w:name="References"/>
      <w:r w:rsidRPr="005908BD">
        <w:t>(2025/2169(INI))</w:t>
      </w:r>
      <w:bookmarkEnd w:id="6"/>
    </w:p>
    <w:p w14:paraId="4F89F8D5" w14:textId="77777777" w:rsidR="004F7611" w:rsidRPr="005908BD" w:rsidRDefault="004F7611" w:rsidP="004F7611">
      <w:pPr>
        <w:pStyle w:val="EPComma"/>
      </w:pPr>
      <w:r w:rsidRPr="005908BD">
        <w:rPr>
          <w:i/>
          <w:iCs/>
        </w:rPr>
        <w:t>Европейският парламент</w:t>
      </w:r>
      <w:r w:rsidRPr="005908BD">
        <w:t>,</w:t>
      </w:r>
    </w:p>
    <w:p w14:paraId="7B1BD07A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дял V от Договора за Европейския съюз,</w:t>
      </w:r>
    </w:p>
    <w:p w14:paraId="7519D500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16 септември 2021 г., озаглавено „Стратегията на ЕС за сътрудничество в Индийско-Тихоокеанския регион“ (JOIN(2021)0024),</w:t>
      </w:r>
    </w:p>
    <w:p w14:paraId="7B0D446D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Стратегическия компас за сигурността и отбраната, одобрен от Съвета на 21 март 2022 г., в който се подчертава ролята на партньорствата за сигурността и устойчивостта на Съюза, включително в Индийско-Тихоокеанския регион,</w:t>
      </w:r>
    </w:p>
    <w:p w14:paraId="47070B4C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 декември 2021 г., озаглавено „</w:t>
      </w:r>
      <w:proofErr w:type="spellStart"/>
      <w:r w:rsidRPr="005908BD">
        <w:t>Global</w:t>
      </w:r>
      <w:proofErr w:type="spellEnd"/>
      <w:r w:rsidRPr="005908BD">
        <w:t xml:space="preserve"> </w:t>
      </w:r>
      <w:proofErr w:type="spellStart"/>
      <w:r w:rsidRPr="005908BD">
        <w:t>Gateway</w:t>
      </w:r>
      <w:proofErr w:type="spellEnd"/>
      <w:r w:rsidRPr="005908BD">
        <w:t>“ (JOIN(2021)0030),</w:t>
      </w:r>
    </w:p>
    <w:p w14:paraId="74494CA1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 xml:space="preserve">като взе предвид съвместното съобщение на Комисията и върховния представител на Съюза по въпросите на външните работи и политиката на сигурност от 20 юни 2023 г., озаглавено „Европейска стратегия за икономическа сигурност“, </w:t>
      </w:r>
    </w:p>
    <w:p w14:paraId="3B0DBD84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12 ноември 2025 г., озаглавено „Европейски щит за демокрацията: създаване на възможности за силни и устойчиви демокрации“ (JOIN(2025)0791),</w:t>
      </w:r>
    </w:p>
    <w:p w14:paraId="192C42B4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lastRenderedPageBreak/>
        <w:t>–</w:t>
      </w:r>
      <w:r w:rsidRPr="005908BD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16 декември 2020 г., озаглавено „Стратегия на ЕС за киберсигурност за цифровото десетилетие“ (JOIN(2020)0018),</w:t>
      </w:r>
    </w:p>
    <w:p w14:paraId="5207AD62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партньорството между Европейския съюз и Украйна в областта на сигурността и отбраната от 1 ноември 2024 г.,</w:t>
      </w:r>
    </w:p>
    <w:p w14:paraId="0B937913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партньорството между Европейския съюз и Република Корея в областта на сигурността и отбраната от 4 ноември 2024 г.,</w:t>
      </w:r>
    </w:p>
    <w:p w14:paraId="339873AB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Споразумението за стратегическо партньорство между Европейския съюз и неговите държави членки, от една страна, и Япония, от друга страна</w:t>
      </w:r>
      <w:r w:rsidRPr="005908BD">
        <w:rPr>
          <w:rStyle w:val="FootnoteReference"/>
        </w:rPr>
        <w:footnoteReference w:id="1"/>
      </w:r>
      <w:r w:rsidRPr="005908BD">
        <w:t>,</w:t>
      </w:r>
    </w:p>
    <w:p w14:paraId="7A9A2F93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рамковото споразумение между Европейския съюз и неговите държави членки, от една страна, и Република Корея, от друга страна</w:t>
      </w:r>
      <w:r w:rsidRPr="005908BD">
        <w:rPr>
          <w:rStyle w:val="FootnoteReference"/>
        </w:rPr>
        <w:footnoteReference w:id="2"/>
      </w:r>
      <w:r w:rsidRPr="005908BD">
        <w:t>,</w:t>
      </w:r>
    </w:p>
    <w:p w14:paraId="08200D0C" w14:textId="77777777" w:rsidR="004F7611" w:rsidRPr="005908BD" w:rsidRDefault="004F7611" w:rsidP="004F7611">
      <w:pPr>
        <w:pStyle w:val="NormalHanging12a"/>
        <w:rPr>
          <w:b/>
          <w:i/>
        </w:rPr>
      </w:pPr>
      <w:r w:rsidRPr="005908BD">
        <w:t>–</w:t>
      </w:r>
      <w:r w:rsidRPr="005908BD">
        <w:tab/>
        <w:t>като взе предвид Споразумението за икономическо партньорство между ЕС и Япония</w:t>
      </w:r>
      <w:r w:rsidRPr="005908BD">
        <w:rPr>
          <w:rStyle w:val="FootnoteReference"/>
          <w:bCs/>
          <w:iCs/>
        </w:rPr>
        <w:footnoteReference w:id="3"/>
      </w:r>
      <w:r w:rsidRPr="005908BD">
        <w:t>,</w:t>
      </w:r>
    </w:p>
    <w:p w14:paraId="50A1358A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Споразумението за свободна търговия между Европейския съюз и неговите държави членки, от една страна, и Република Корея, от друга страна</w:t>
      </w:r>
      <w:r w:rsidRPr="005908BD">
        <w:rPr>
          <w:rStyle w:val="FootnoteReference"/>
          <w:bCs/>
          <w:iCs/>
        </w:rPr>
        <w:footnoteReference w:id="4"/>
      </w:r>
      <w:r w:rsidRPr="005908BD">
        <w:t>,</w:t>
      </w:r>
    </w:p>
    <w:p w14:paraId="538FC11A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Конвенцията на ООН по морско право (UNCLOS),</w:t>
      </w:r>
    </w:p>
    <w:p w14:paraId="4CEFF7B5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съвместната декларация, приета на 30-ата среща на високо равнище между ЕС и Япония, състояла се на 23 юли 2025 г. в Токио,</w:t>
      </w:r>
    </w:p>
    <w:p w14:paraId="2CFEBEDC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42-рото междупарламентарно заседание ЕС – Япония, проведено на 28 и 29 май 2025 г. в Токио,</w:t>
      </w:r>
    </w:p>
    <w:p w14:paraId="43ECCB2C" w14:textId="261B88D4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 xml:space="preserve">като взе предвид </w:t>
      </w:r>
      <w:r w:rsidR="00B22A96" w:rsidRPr="00B22A96">
        <w:t>третия</w:t>
      </w:r>
      <w:r w:rsidRPr="005908BD">
        <w:t xml:space="preserve"> стратегически диалог между ЕС и Япония, проведен на </w:t>
      </w:r>
      <w:r w:rsidR="00B22A96" w:rsidRPr="00B22A96">
        <w:t xml:space="preserve">26 март 2026 г. във Во дьо </w:t>
      </w:r>
      <w:proofErr w:type="spellStart"/>
      <w:r w:rsidR="00B22A96" w:rsidRPr="00B22A96">
        <w:t>Серне</w:t>
      </w:r>
      <w:proofErr w:type="spellEnd"/>
      <w:r w:rsidRPr="005908BD">
        <w:t xml:space="preserve">, </w:t>
      </w:r>
    </w:p>
    <w:p w14:paraId="6E3B3B3C" w14:textId="4C9E421D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 xml:space="preserve">като взе предвид </w:t>
      </w:r>
      <w:r w:rsidR="00B22A96">
        <w:t>9</w:t>
      </w:r>
      <w:r w:rsidRPr="005908BD">
        <w:t xml:space="preserve">-ия диалог в областта на цифровата политика между ЕС и Япония на </w:t>
      </w:r>
      <w:r w:rsidR="00B22A96" w:rsidRPr="00B22A96">
        <w:t>25 март 2026 г. в Токио</w:t>
      </w:r>
      <w:r w:rsidRPr="005908BD">
        <w:t>,</w:t>
      </w:r>
    </w:p>
    <w:p w14:paraId="715C6E58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писмото за намеренията, подписано на 13 март 2025 г. от ЕС и Япония, относно сътрудничеството в областта на квантовата наука и технология с цел задълбочаване на съвместните научни изследвания, обмена и развитието на екосистемите;</w:t>
      </w:r>
    </w:p>
    <w:p w14:paraId="0202286C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 xml:space="preserve">като взе предвид ангажимента за засилване на сътрудничеството в областта на суровините от критично значение, поет от ЕС, Япония и Съединените щати по </w:t>
      </w:r>
      <w:r w:rsidRPr="005908BD">
        <w:lastRenderedPageBreak/>
        <w:t>време на срещата на министрите по въпросите на минералите от критично значение на 4 февруари 2026 г.,</w:t>
      </w:r>
    </w:p>
    <w:p w14:paraId="27D573DA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Зеления съюз между ЕС и Япония от 27 май 2021 г.,</w:t>
      </w:r>
    </w:p>
    <w:p w14:paraId="42CA4A04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съвместната декларация, приета на 11-ата среща на високо равнище между ЕС и Република Корея, състояла се на 10 юни 2026 г. в Брюксел,</w:t>
      </w:r>
    </w:p>
    <w:p w14:paraId="6586416F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23-ото междупарламентарно заседание ЕС – Република Корея, проведено на 18 ноември 2025 г. в Брюксел,</w:t>
      </w:r>
    </w:p>
    <w:p w14:paraId="6A893230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втория стратегически диалог между ЕС и Република Корея, проведен на 22 януари 2026 г. в Брюксел,</w:t>
      </w:r>
    </w:p>
    <w:p w14:paraId="2C5746BD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Зеленото партньорство между ЕС и Република Корея от 22 май 2023 г.,</w:t>
      </w:r>
    </w:p>
    <w:p w14:paraId="2B417855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4</w:t>
      </w:r>
      <w:r w:rsidRPr="005908BD">
        <w:noBreakHyphen/>
        <w:t>ия министерски форум ЕС – Индийско</w:t>
      </w:r>
      <w:r w:rsidRPr="005908BD">
        <w:noBreakHyphen/>
        <w:t>Тихоокеански регион, проведен в Брюксел на 20 – 21 ноември 2025 г.,</w:t>
      </w:r>
    </w:p>
    <w:p w14:paraId="09B22D26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изявлението след неотдавнашното посещение на делегация на комисията по външни работи в Република Корея и Япония от 31 март до 2 април 2026 г.,</w:t>
      </w:r>
    </w:p>
    <w:p w14:paraId="137ABD3C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своята резолюция от 7 юни 2022 г. относно ЕС и предизвикателствата, свързани със сигурността, в региона на Индийския и Тихия океан</w:t>
      </w:r>
      <w:r w:rsidRPr="005908BD">
        <w:rPr>
          <w:rStyle w:val="FootnoteReference"/>
        </w:rPr>
        <w:footnoteReference w:id="5"/>
      </w:r>
      <w:r w:rsidRPr="005908BD">
        <w:t>,</w:t>
      </w:r>
    </w:p>
    <w:p w14:paraId="66BA63A3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своята резолюция от 13 декември 2023 г. относно отношенията между ЕС и Япония,</w:t>
      </w:r>
      <w:r w:rsidRPr="005908BD">
        <w:rPr>
          <w:rStyle w:val="FootnoteReference"/>
        </w:rPr>
        <w:footnoteReference w:id="6"/>
      </w:r>
    </w:p>
    <w:p w14:paraId="178D50F0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своята резолюция от 21 януари 2026 г. относно изпълнението на общата външна политика и политика на сигурност – годишен доклад за 2025 г.</w:t>
      </w:r>
      <w:r w:rsidRPr="005908BD">
        <w:rPr>
          <w:rStyle w:val="FootnoteReference"/>
        </w:rPr>
        <w:footnoteReference w:id="7"/>
      </w:r>
      <w:r w:rsidRPr="005908BD">
        <w:t>,</w:t>
      </w:r>
    </w:p>
    <w:p w14:paraId="2366D02B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своята резолюция от 28 ноември 2024 г. относно засилване на непоколебимата подкрепа на ЕС за Украйна срещу агресивната война на Русия и нарастващото военно сътрудничество между Северна Корея и Русия,</w:t>
      </w:r>
      <w:r w:rsidRPr="005908BD">
        <w:rPr>
          <w:rStyle w:val="FootnoteReference"/>
          <w:bCs/>
          <w:iCs/>
        </w:rPr>
        <w:footnoteReference w:id="8"/>
      </w:r>
    </w:p>
    <w:p w14:paraId="3A4CD850" w14:textId="77777777" w:rsidR="004F7611" w:rsidRPr="005908BD" w:rsidRDefault="004F7611" w:rsidP="004F7611">
      <w:pPr>
        <w:pStyle w:val="NormalHanging12a"/>
        <w:rPr>
          <w:b/>
          <w:i/>
        </w:rPr>
      </w:pPr>
      <w:r w:rsidRPr="005908BD">
        <w:t>–</w:t>
      </w:r>
      <w:r w:rsidRPr="005908BD">
        <w:tab/>
        <w:t>като взе предвид своята резолюция от 24 октомври 2024 г. относно погрешното тълкуване на Резолюция 2758 на ООН от страна на Китайската народна република и продължаващите ѝ военни провокации около Тайван</w:t>
      </w:r>
      <w:r w:rsidRPr="005908BD">
        <w:rPr>
          <w:rStyle w:val="FootnoteReference"/>
          <w:bCs/>
          <w:iCs/>
        </w:rPr>
        <w:footnoteReference w:id="9"/>
      </w:r>
      <w:r w:rsidRPr="005908BD">
        <w:t>,</w:t>
      </w:r>
    </w:p>
    <w:p w14:paraId="311354F9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–</w:t>
      </w:r>
      <w:r w:rsidRPr="005908BD">
        <w:tab/>
        <w:t>като взе предвид своята резолюция от 13 декември 2023 г. относно търговските и инвестиционните отношения между ЕС и Тайван</w:t>
      </w:r>
      <w:r w:rsidRPr="005908BD">
        <w:rPr>
          <w:rStyle w:val="FootnoteReference"/>
          <w:bCs/>
          <w:iCs/>
        </w:rPr>
        <w:footnoteReference w:id="10"/>
      </w:r>
      <w:r w:rsidRPr="005908BD">
        <w:t xml:space="preserve">, </w:t>
      </w:r>
    </w:p>
    <w:p w14:paraId="4DAF9B1D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 xml:space="preserve">като взе предвид своите позиции и препоръки относно сътрудничеството в </w:t>
      </w:r>
      <w:r w:rsidRPr="005908BD">
        <w:lastRenderedPageBreak/>
        <w:t xml:space="preserve">Индийско-Тихоокеанския регион, включително призивите да се работи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за отстояване на свободата на корабоплаването и стабилността в Тайванския проток и Източнокитайско и Южнокитайско море,</w:t>
      </w:r>
    </w:p>
    <w:p w14:paraId="64DE8C63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член 121 от своя Правилник за дейността,</w:t>
      </w:r>
    </w:p>
    <w:p w14:paraId="48BC9E89" w14:textId="77777777" w:rsidR="004F7611" w:rsidRPr="005908BD" w:rsidRDefault="004F7611" w:rsidP="004F7611">
      <w:pPr>
        <w:pStyle w:val="NormalHanging12a"/>
      </w:pPr>
      <w:r w:rsidRPr="005908BD">
        <w:t>–</w:t>
      </w:r>
      <w:r w:rsidRPr="005908BD">
        <w:tab/>
        <w:t>като взе предвид доклада на комисията по външни работи (A10-0189/2026),</w:t>
      </w:r>
    </w:p>
    <w:p w14:paraId="071ACF2E" w14:textId="77777777" w:rsidR="004F7611" w:rsidRPr="005908BD" w:rsidRDefault="004F7611" w:rsidP="004F7611">
      <w:pPr>
        <w:pStyle w:val="NormalHanging12a"/>
      </w:pPr>
      <w:r w:rsidRPr="005908BD">
        <w:t>А.</w:t>
      </w:r>
      <w:r w:rsidRPr="005908BD">
        <w:tab/>
        <w:t xml:space="preserve">като има предвид, че продължаващите геополитически промени и нарастващото стратегическо значение на Индийско-Тихоокеанския регион променят световния ред; като има предвид, че Източна Азия и по-широкият Индийско-Тихоокеански регион са от решаващо значение за световния просперитет и сигурност, енергийната сигурност и демократичната устойчивост, тъй като там се намират жизненоважни морски коридори, авангардни технологични екосистеми, основни търговски маршрути, над половината от световното население и критични вериги на доставки от съществено значение за икономическата </w:t>
      </w:r>
      <w:proofErr w:type="spellStart"/>
      <w:r w:rsidRPr="005908BD">
        <w:t>конкурентоспосбност</w:t>
      </w:r>
      <w:proofErr w:type="spellEnd"/>
      <w:r w:rsidRPr="005908BD">
        <w:t xml:space="preserve"> и дългосрочната промишлена устойчивост на ЕС в стратегически сектори, както и за геополитическото му влияние;</w:t>
      </w:r>
    </w:p>
    <w:p w14:paraId="2A8AD049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Б.</w:t>
      </w:r>
      <w:r w:rsidRPr="005908BD">
        <w:tab/>
        <w:t>като има предвид, че икономическата сигурност, включително устойчивите и диверсифицирани вериги на доставки на суровини от критично значение, полупроводници и чисти технологии, е неразделна част от търговската и външната политика и политиката на сигурност; като има предвид, че намаляването на стратегическите зависимости и подобряването на устойчивостта и диверсификацията на веригите на доставки в критични сектори са от съществено значение за икономическата сигурност и конкурентоспособност на ЕС в съответствие със стратегията на му за намаляване на риска, като същевременно се избягва ненужното икономическо отделяне;</w:t>
      </w:r>
    </w:p>
    <w:p w14:paraId="2A653951" w14:textId="77777777" w:rsidR="004F7611" w:rsidRDefault="004F7611" w:rsidP="004F7611">
      <w:pPr>
        <w:pStyle w:val="NormalHanging12a"/>
      </w:pPr>
      <w:r w:rsidRPr="005908BD">
        <w:t>В.</w:t>
      </w:r>
      <w:r w:rsidRPr="005908BD">
        <w:tab/>
        <w:t>като има предвид, че геополитическият пейзаж в Източна Азия става все по-нестабилен през последните години, като регионалната динамика на силите все повече се оформя от системно съперничество, морски спорове, струпване на военни сили и разширяващото се влияние на авторитарни модели на управление, които използват икономическа принуда, включително дискриминационен достъп до пазара, хибридни заплахи, включително чуждестранно манипулиране на информация и вмешателство, и търговски и политически шпионаж, които поставят под въпрос мира, стабилността и основания на правила международен ред и изискват координирани отговори с партньори, които споделят демократични ценности и високи регулаторни стандарти;</w:t>
      </w:r>
    </w:p>
    <w:p w14:paraId="65724A11" w14:textId="2C292A14" w:rsidR="006E5AD6" w:rsidRPr="005908BD" w:rsidRDefault="006E5AD6" w:rsidP="004F7611">
      <w:pPr>
        <w:pStyle w:val="NormalHanging12a"/>
        <w:rPr>
          <w:bCs/>
          <w:iCs/>
        </w:rPr>
      </w:pPr>
      <w:r>
        <w:rPr>
          <w:bCs/>
          <w:iCs/>
        </w:rPr>
        <w:t>Г</w:t>
      </w:r>
      <w:r w:rsidRPr="006E5AD6">
        <w:rPr>
          <w:bCs/>
          <w:iCs/>
        </w:rPr>
        <w:t>.</w:t>
      </w:r>
      <w:r w:rsidRPr="006E5AD6">
        <w:rPr>
          <w:bCs/>
          <w:iCs/>
        </w:rPr>
        <w:tab/>
        <w:t>като има предвид, че сигурността на Япония, Южна Корея и Тайван продължава да бъде до голяма степен зависима от Съединените щати; като има предвид, че тези партньори са все по-засегнати от непредсказуемостта и икономическата принуда от страна на САЩ, които понякога достигат дори до най-близките им съюзници; като има предвид, че поради това тези демократични партньори трябва да укрепят и диверсифицират своите партньорства с други участници, по-специално ЕС, за да укрепят устойчивостта и общите интереси в областта на сигурността;</w:t>
      </w:r>
    </w:p>
    <w:p w14:paraId="0854A621" w14:textId="6E5B4326" w:rsidR="004F7611" w:rsidRPr="005908BD" w:rsidRDefault="000C5F0B" w:rsidP="004F7611">
      <w:pPr>
        <w:pStyle w:val="NormalHanging12a"/>
        <w:rPr>
          <w:bCs/>
          <w:iCs/>
        </w:rPr>
      </w:pPr>
      <w:r>
        <w:t>Д</w:t>
      </w:r>
      <w:r w:rsidR="004F7611" w:rsidRPr="005908BD">
        <w:t>.</w:t>
      </w:r>
      <w:r w:rsidR="004F7611" w:rsidRPr="005908BD">
        <w:tab/>
        <w:t xml:space="preserve">като има предвид, че „Стратегията на ЕС за сътрудничество в Индийско-Тихоокеанския регион“ се основава на убеждението, че сигурността и просперитетът на ЕС и Индийско-Тихоокеанския регион са неразривно свързани; </w:t>
      </w:r>
      <w:r w:rsidR="004F7611" w:rsidRPr="005908BD">
        <w:lastRenderedPageBreak/>
        <w:t xml:space="preserve">като има предвид, че в стратегията се подчертава значението на засилването на ангажимента на ЕС в региона чрез по-задълбочен политически диалог, засилено икономическо сътрудничество и разширени партньорства в областта на сигурността; като има предвид, че разпадането на основания на правила ред и на основаните на правила традиционни съюзи, както и появата на агресивни участници, ръководени от империалистични амбиции, оправдават по-силни връзки между ЕС и </w:t>
      </w:r>
      <w:proofErr w:type="spellStart"/>
      <w:r w:rsidR="004F7611" w:rsidRPr="005908BD">
        <w:t>единомислещите</w:t>
      </w:r>
      <w:proofErr w:type="spellEnd"/>
      <w:r w:rsidR="004F7611" w:rsidRPr="005908BD">
        <w:t xml:space="preserve"> партньори в региона, за да се повишат взаимната сигурност и просперитетът;</w:t>
      </w:r>
    </w:p>
    <w:p w14:paraId="32760154" w14:textId="3E2C093B" w:rsidR="004F7611" w:rsidRPr="005908BD" w:rsidRDefault="000C5F0B" w:rsidP="004F7611">
      <w:pPr>
        <w:pStyle w:val="NormalHanging12a"/>
        <w:rPr>
          <w:bCs/>
          <w:iCs/>
        </w:rPr>
      </w:pPr>
      <w:r>
        <w:t>Е</w:t>
      </w:r>
      <w:r w:rsidR="004F7611" w:rsidRPr="005908BD">
        <w:t>.</w:t>
      </w:r>
      <w:r w:rsidR="004F7611" w:rsidRPr="005908BD">
        <w:tab/>
        <w:t>като има предвид, че свободите на корабоплаването и прелитането са основни принципи на международното право, залегнали по-специално в Конвенцията на ООН по морско право, и са от ключово значение за икономическата сигурност на Съюза;</w:t>
      </w:r>
    </w:p>
    <w:p w14:paraId="741DB5F9" w14:textId="3A6B0329" w:rsidR="004F7611" w:rsidRPr="005908BD" w:rsidRDefault="000C5F0B" w:rsidP="004F7611">
      <w:pPr>
        <w:pStyle w:val="NormalHanging12a"/>
      </w:pPr>
      <w:r>
        <w:t>Ж</w:t>
      </w:r>
      <w:r w:rsidR="004F7611" w:rsidRPr="005908BD">
        <w:t>.</w:t>
      </w:r>
      <w:r w:rsidR="004F7611" w:rsidRPr="005908BD">
        <w:tab/>
        <w:t>като има предвид, че все по-сложните предизвикателства пред сигурността оказват значително въздействие върху стабилността и просперитета както на Европа, така и на Индийско-Тихоокеанския регион, а стабилността на двата региона е по-тясно свързана от всякога; като има предвид, че и двата региона са пряко засегнати от незаконното пълномащабно нашествие на Русия в Украйна и от подкрепата на трети държави като Китай и Северна Корея за руската агресия; като има предвид, че стабилното сътрудничество между ЕС и Япония и между ЕС и Република Корея в областта на отбранителната промишленост е абсолютно необходимо; като има предвид, че Япония и Република Корея се открояват със значителната си финансова и хуманитарна помощ за Украйна; като има предвид, че Япония е предоставила и поела ангажимент за финансова и военна помощ за Украйна в размер над 20 милиарда щатски долара от 2022 г. насам; като има предвид, че нестабилността в Близкия изток има значителни последици за Европа и Източна Азия по отношение на енергийната сигурност и смущенията във веригата на доставки;</w:t>
      </w:r>
    </w:p>
    <w:p w14:paraId="32DB1615" w14:textId="5F2ABD07" w:rsidR="004F7611" w:rsidRPr="005908BD" w:rsidRDefault="000C5F0B" w:rsidP="004F7611">
      <w:pPr>
        <w:pStyle w:val="NormalHanging12a"/>
        <w:rPr>
          <w:bCs/>
          <w:iCs/>
        </w:rPr>
      </w:pPr>
      <w:r>
        <w:t>З</w:t>
      </w:r>
      <w:r w:rsidR="004F7611" w:rsidRPr="005908BD">
        <w:t>.</w:t>
      </w:r>
      <w:r w:rsidR="004F7611" w:rsidRPr="005908BD">
        <w:tab/>
        <w:t>като има предвид, че в „Стратегическия компас за сигурността и отбраната“ се посочва, че някои участници, като например Корейската народнодемократична република (КНДР), продължават да застрашават регионалния и международния мир и сигурност; като има предвид, че ядрената и ракетната програма на КНДР представлява сериозна заплаха за основания на правила международен ред, както и евентуалният трансфер на технологии в областта на ядрените оръжия или балистичните ракети и безпилотни летателни апарати (БЛА) от страна на Русия в замяна на оръжие и военен персонал; като има предвид, че КНДР многократно е нарушавала резолюциите на Съвета за сигурност на ООН чрез продължаващи изстрелвания на ракети, включително изпитвания над Япония;</w:t>
      </w:r>
    </w:p>
    <w:p w14:paraId="19EAEA97" w14:textId="05A29DD9" w:rsidR="004F7611" w:rsidRPr="005908BD" w:rsidRDefault="000C5F0B" w:rsidP="004F7611">
      <w:pPr>
        <w:pStyle w:val="NormalHanging12a"/>
        <w:rPr>
          <w:bCs/>
          <w:iCs/>
        </w:rPr>
      </w:pPr>
      <w:r>
        <w:t>И</w:t>
      </w:r>
      <w:r w:rsidR="004F7611" w:rsidRPr="005908BD">
        <w:t>.</w:t>
      </w:r>
      <w:r w:rsidR="004F7611" w:rsidRPr="005908BD">
        <w:tab/>
        <w:t>като има предвид, че нарастващото значение на цифровото пространство за функционирането на нашите общества и икономики увеличи броя и мащаба на кибератаките; като има предвид, че в съвместното съобщение относно Стратегията на ЕС за киберсигурност за цифровото десетилетие се посочва, че борбата с тези заплахи и уязвимости изисква сътрудничество с партньори, които се придържат към върховенството на закона, основните свободи, демокрацията и правата на човека;</w:t>
      </w:r>
    </w:p>
    <w:p w14:paraId="643656DB" w14:textId="4A8E3B50" w:rsidR="004F7611" w:rsidRPr="005908BD" w:rsidRDefault="000C5F0B" w:rsidP="004F7611">
      <w:pPr>
        <w:pStyle w:val="NormalHanging12a"/>
      </w:pPr>
      <w:r>
        <w:t>Й</w:t>
      </w:r>
      <w:r w:rsidR="004F7611" w:rsidRPr="005908BD">
        <w:t>.</w:t>
      </w:r>
      <w:r w:rsidR="004F7611" w:rsidRPr="005908BD">
        <w:tab/>
        <w:t xml:space="preserve">като има предвид, че интересите на ЕС и глобалната сигурност могат да бъдат защитени най-добре чрез задълбочаване на практическото сътрудничество с </w:t>
      </w:r>
      <w:proofErr w:type="spellStart"/>
      <w:r w:rsidR="004F7611" w:rsidRPr="005908BD">
        <w:t>единомислещи</w:t>
      </w:r>
      <w:proofErr w:type="spellEnd"/>
      <w:r w:rsidR="004F7611" w:rsidRPr="005908BD">
        <w:t xml:space="preserve"> партньори в региона – по-специално Япония, Република Корея и </w:t>
      </w:r>
      <w:r w:rsidR="004F7611" w:rsidRPr="005908BD">
        <w:lastRenderedPageBreak/>
        <w:t>Тайван, като същевременно се търси принципен и конструктивен ангажимент с регионални участници, и чрез диалог с Асоциацията на народите от Югоизточна Азия (АСЕАН) като централен участник в организирането на това сътрудничество; като има предвид, че тези партньорства следва да служат за укрепване на стратегическата автономност на ЕС чрез консолидиране на стабилна промишлена и технологична база за европейската отбрана, без да оставят ЕС твърде силно зависим от външни сили; като има предвид, че ЕС следва да избягва динамика на конфронтация въз основа на блокове, като вместо това насърчава многостранното сътрудничество и диалога въз основа на международното право;</w:t>
      </w:r>
    </w:p>
    <w:p w14:paraId="13AEEBA6" w14:textId="4D864FB7" w:rsidR="004F7611" w:rsidRPr="005908BD" w:rsidRDefault="000C5F0B" w:rsidP="004F7611">
      <w:pPr>
        <w:pStyle w:val="NormalHanging12a"/>
      </w:pPr>
      <w:r>
        <w:t>К</w:t>
      </w:r>
      <w:r w:rsidR="004F7611" w:rsidRPr="005908BD">
        <w:t>.</w:t>
      </w:r>
      <w:r w:rsidR="004F7611" w:rsidRPr="005908BD">
        <w:tab/>
        <w:t>като има предвид, че стратегическото партньорство между ЕС и Япония служи като модел за ефективно двустранно сътрудничество, което укрепва способността им да влияят на политиките на редица многостранни форуми; като има предвид, че влизането в сила на Споразумението за стратегическо партньорство (ССП) между ЕС и Япония на 1 януари 2025 г. дава възможност за по-задълбочено сътрудничество, включително в области като сигурността и отбраната, хибридните заплахи, морската сигурност, киберсигурността, космическото пространство и неразпространението на оръжия, наред с осезаеми съвместни усилия в рамките на Алианса за конкурентоспособност, зеления съюз и цифровото партньорство и диалога в областта на енергетиката;</w:t>
      </w:r>
    </w:p>
    <w:p w14:paraId="3892FBD9" w14:textId="34AD0FA6" w:rsidR="004F7611" w:rsidRPr="005908BD" w:rsidRDefault="000C5F0B" w:rsidP="004F7611">
      <w:pPr>
        <w:pStyle w:val="NormalHanging12a"/>
        <w:rPr>
          <w:bCs/>
          <w:iCs/>
        </w:rPr>
      </w:pPr>
      <w:r>
        <w:t>Л</w:t>
      </w:r>
      <w:r w:rsidR="004F7611" w:rsidRPr="005908BD">
        <w:t>.</w:t>
      </w:r>
      <w:r w:rsidR="004F7611" w:rsidRPr="005908BD">
        <w:tab/>
        <w:t xml:space="preserve">като има предвид, че Япония е най-близкият стратегически партньор на ЕС в Индийско-Тихоокеанския регион; като има предвид, че глобалните предизвикателства, и по-специално нарастващото напрежение в Индийско-Тихоокеанския регион, изискват все по-тясно партньорство между ЕС и Япония; като има предвид, че свободният и отворен Индийско-Тихоокеански регион е основен интерес, преследван както от Япония, така и от ЕС, по-специално чрез насърчаване на основан на правила международен ред, в който всички държави се придържат към международното право и принципа на мирно уреждане на конфликти; като има предвид, че Япония е важен участник в няколко форума в Индийско-Тихоокеанския регион, като например Срещата на високо равнище на Източна Азия; като има предвид, че ЕС и Япония търсят общи подходи на двустранно равнище и в рамките на многостранни форуми като Г-7, Г-20, ООН, Световната търговска организация (СТО), Световната здравна организация (СЗО) и Организацията за икономическо сътрудничество и развитие (ОИСР), както и сближаване като </w:t>
      </w:r>
      <w:proofErr w:type="spellStart"/>
      <w:r w:rsidR="004F7611" w:rsidRPr="005908BD">
        <w:t>единомислещи</w:t>
      </w:r>
      <w:proofErr w:type="spellEnd"/>
      <w:r w:rsidR="004F7611" w:rsidRPr="005908BD">
        <w:t xml:space="preserve"> донори;</w:t>
      </w:r>
    </w:p>
    <w:p w14:paraId="79D484AD" w14:textId="6E3E29EB" w:rsidR="004F7611" w:rsidRPr="005908BD" w:rsidRDefault="000C5F0B" w:rsidP="004F7611">
      <w:pPr>
        <w:pStyle w:val="NormalHanging12a"/>
        <w:rPr>
          <w:bCs/>
          <w:iCs/>
        </w:rPr>
      </w:pPr>
      <w:r>
        <w:t>М</w:t>
      </w:r>
      <w:r w:rsidR="004F7611" w:rsidRPr="005908BD">
        <w:t>.</w:t>
      </w:r>
      <w:r w:rsidR="004F7611" w:rsidRPr="005908BD">
        <w:tab/>
        <w:t>като има предвид, че Споразумението за икономическо партньорство между ЕС и Япония влезе в сила през 2019 г. и беше изменено, за да включи разпоредби относно свободното движение на данни през 2024 г.; като има предвид, че Япония е седмият по големина търговски партньор на ЕС;</w:t>
      </w:r>
    </w:p>
    <w:p w14:paraId="68F2E0AC" w14:textId="74596C79" w:rsidR="004F7611" w:rsidRPr="005908BD" w:rsidRDefault="000C5F0B" w:rsidP="004F7611">
      <w:pPr>
        <w:pStyle w:val="NormalHanging12a"/>
        <w:rPr>
          <w:bCs/>
          <w:iCs/>
        </w:rPr>
      </w:pPr>
      <w:r>
        <w:t>Н</w:t>
      </w:r>
      <w:r w:rsidR="004F7611" w:rsidRPr="005908BD">
        <w:t>.</w:t>
      </w:r>
      <w:r w:rsidR="004F7611" w:rsidRPr="005908BD">
        <w:tab/>
      </w:r>
      <w:bookmarkStart w:id="7" w:name="_Hlk233719618"/>
      <w:r w:rsidR="004F7611" w:rsidRPr="005908BD">
        <w:t xml:space="preserve">като има предвид, че през май </w:t>
      </w:r>
      <w:r w:rsidR="00B22A96" w:rsidRPr="00B22A96">
        <w:t xml:space="preserve">2026 г. четвъртият </w:t>
      </w:r>
      <w:r w:rsidR="004F7611" w:rsidRPr="005908BD">
        <w:t xml:space="preserve"> Съвет за цифрово партньорство между ЕС и Япония разшири сътрудничеството в областта на изкуствения интелект (ИИ), 5G/6G, полупроводниците, киберсигурността и управлението на данни, като </w:t>
      </w:r>
      <w:r w:rsidR="00B22A96" w:rsidRPr="00B22A96">
        <w:t>приветства напредъка по</w:t>
      </w:r>
      <w:r w:rsidR="004F7611" w:rsidRPr="005908BD">
        <w:t xml:space="preserve"> съвместния научноизследователски проект 6G MIRAI-HARMONY</w:t>
      </w:r>
      <w:bookmarkEnd w:id="7"/>
      <w:r w:rsidR="004F7611" w:rsidRPr="005908BD">
        <w:t>;</w:t>
      </w:r>
    </w:p>
    <w:p w14:paraId="48A22231" w14:textId="66EABD43" w:rsidR="004F7611" w:rsidRPr="005908BD" w:rsidRDefault="000C5F0B" w:rsidP="004F7611">
      <w:pPr>
        <w:pStyle w:val="NormalHanging12a"/>
        <w:rPr>
          <w:bCs/>
          <w:iCs/>
        </w:rPr>
      </w:pPr>
      <w:r>
        <w:t>О</w:t>
      </w:r>
      <w:r w:rsidR="004F7611" w:rsidRPr="005908BD">
        <w:t>.</w:t>
      </w:r>
      <w:r w:rsidR="004F7611" w:rsidRPr="005908BD">
        <w:tab/>
        <w:t>като има предвид, че енергийният диалог между ЕС и Япония през 2025 г. подчерта съвместната работа по веригите на доставки на чиста енергия, сигурността на ВПГ и сътрудничеството в областта на водорода с цел подкрепа на неутралността по отношение на климата;</w:t>
      </w:r>
    </w:p>
    <w:p w14:paraId="0F06875F" w14:textId="566BB411" w:rsidR="004F7611" w:rsidRPr="005908BD" w:rsidRDefault="000C5F0B" w:rsidP="004F7611">
      <w:pPr>
        <w:pStyle w:val="NormalHanging12a"/>
        <w:rPr>
          <w:b/>
          <w:bCs/>
          <w:i/>
          <w:iCs/>
          <w:szCs w:val="24"/>
        </w:rPr>
      </w:pPr>
      <w:r>
        <w:lastRenderedPageBreak/>
        <w:t>П</w:t>
      </w:r>
      <w:r w:rsidR="004F7611" w:rsidRPr="005908BD">
        <w:t>.</w:t>
      </w:r>
      <w:r w:rsidR="004F7611" w:rsidRPr="005908BD">
        <w:tab/>
        <w:t xml:space="preserve">като има предвид, че стратегическото партньорство между ЕС и Република Корея – ключов съюзник в Индийско-Тихоокеанския регион, обхваща политическия диалог, търговията и сътрудничеството в областта на сигурността; като има предвид, че Споразумението за свободна търговия между ЕС и Република Корея допринесе за значителен растеж на двустранната търговия след влизането му в сила; като има предвид, че </w:t>
      </w:r>
      <w:bookmarkStart w:id="8" w:name="_Hlk233719710"/>
      <w:r w:rsidR="004F7611" w:rsidRPr="005908BD">
        <w:t>Рамковото споразумение между ЕС и Република Корея</w:t>
      </w:r>
      <w:bookmarkEnd w:id="8"/>
      <w:r w:rsidR="004F7611" w:rsidRPr="005908BD">
        <w:t xml:space="preserve"> укрепва политическите, икономическите и институционалните връзки, включително сигурността; като има предвид, че Рамковото споразумение за участие укрепва политическите отношения и отношенията в областта на сигурността между ЕС и Република Корея и подчертава споделените ценности и интереси; като има предвид, че на срещата на високо равнище между ЕС и Република Корея през 2023 г. лидерите се споразумяха да установят партньорство в областта на сигурността и стратегически диалог на равнище външни министри с цел засилване на сътрудничеството в областта на световния мир и сигурността; като има предвид, че партньорството в областта на сигурността и отбраната между ЕС и Република Корея осигурява структурирана рамка за връзки във всички области на сигурността; като има предвид, че Споразумението за цифрова търговия между ЕС и Република Корея определя взаимноизгодни правила относно данните и цифровите технологии; като има предвид, че Република Корея играе ключова роля за регионалната стабилност;</w:t>
      </w:r>
    </w:p>
    <w:p w14:paraId="08840BA0" w14:textId="7CE7CC42" w:rsidR="004F7611" w:rsidRPr="005908BD" w:rsidRDefault="000C5F0B" w:rsidP="004F7611">
      <w:pPr>
        <w:pStyle w:val="NormalHanging12a"/>
        <w:rPr>
          <w:szCs w:val="24"/>
        </w:rPr>
      </w:pPr>
      <w:r>
        <w:t>Р</w:t>
      </w:r>
      <w:r w:rsidR="004F7611" w:rsidRPr="005908BD">
        <w:t>.</w:t>
      </w:r>
      <w:r w:rsidR="004F7611" w:rsidRPr="005908BD">
        <w:tab/>
        <w:t>като има предвид, че Споразумението за свободна търговия между ЕС и Република Корея, беше първото от ново поколение търговски споразумения на ЕС; като има предвид, че продължава да бъде важно пълното прилагане на главата относно търговията и устойчивото развитие от Споразумението за свободна търговия между ЕС и Република Корея, включително непрекъснатият напредък по отношение на трудовите права и ратифицирането на Конвенцията на Международната организация на труда (МОТ) относно премахването на принудителния труд от 1957 г. (№ 105); като има предвид, че Република Корея е осмият по големина търговски партньор на ЕС;</w:t>
      </w:r>
    </w:p>
    <w:p w14:paraId="4CBEB0DF" w14:textId="6394093E" w:rsidR="004F7611" w:rsidRPr="005908BD" w:rsidRDefault="000C5F0B" w:rsidP="004F7611">
      <w:pPr>
        <w:pStyle w:val="NormalHanging12a"/>
      </w:pPr>
      <w:r>
        <w:t>С</w:t>
      </w:r>
      <w:r w:rsidR="004F7611" w:rsidRPr="005908BD">
        <w:t>.</w:t>
      </w:r>
      <w:r w:rsidR="004F7611" w:rsidRPr="005908BD">
        <w:tab/>
        <w:t xml:space="preserve">като има предвид, че ЕС вече е създал стратегически партньорства с Япония и Република Корея като </w:t>
      </w:r>
      <w:proofErr w:type="spellStart"/>
      <w:r w:rsidR="004F7611" w:rsidRPr="005908BD">
        <w:t>единомислещи</w:t>
      </w:r>
      <w:proofErr w:type="spellEnd"/>
      <w:r w:rsidR="004F7611" w:rsidRPr="005908BD">
        <w:t xml:space="preserve"> партньори в региона; като има предвид, че Япония и Република Корея насочват значителни ресурси към ускоряване на енергийния си преход, включително с оглед на ратифицирането от тяхна страна на Парижкото споразумение от 2015 г. и значителните си инвестиции в слънчева енергия и вятърна енергия от разположени в морето инсталации; като има предвид, че ЕС се стреми да отиде по-далеч в стратегическите си партньорства и да засили сътрудничеството си с Япония и Република Корея в областта на енергията от възобновяеми източници, за да постигне въглеродна неутралност до 2050 г.;</w:t>
      </w:r>
    </w:p>
    <w:p w14:paraId="4A943A3F" w14:textId="413386BC" w:rsidR="004F7611" w:rsidRPr="005908BD" w:rsidRDefault="000C5F0B" w:rsidP="004F7611">
      <w:pPr>
        <w:pStyle w:val="NormalHanging12a"/>
      </w:pPr>
      <w:r>
        <w:t>Т</w:t>
      </w:r>
      <w:r w:rsidR="004F7611" w:rsidRPr="005908BD">
        <w:t>.</w:t>
      </w:r>
      <w:r w:rsidR="004F7611" w:rsidRPr="005908BD">
        <w:tab/>
        <w:t>като има предвид, че Република Корея и Япония са водещи технологични участници, чието развитие на ИИ, включително в областта на отбраната, оформя отговори на киберзаплахите и военните заплахи, особено с оглед на постоянните заплахи на КНДР;</w:t>
      </w:r>
    </w:p>
    <w:p w14:paraId="338B578F" w14:textId="70C4B3C2" w:rsidR="004F7611" w:rsidRPr="005908BD" w:rsidRDefault="000C5F0B" w:rsidP="004F7611">
      <w:pPr>
        <w:pStyle w:val="NormalHanging12a"/>
      </w:pPr>
      <w:r>
        <w:t>У</w:t>
      </w:r>
      <w:r w:rsidR="004F7611" w:rsidRPr="005908BD">
        <w:t>.</w:t>
      </w:r>
      <w:r w:rsidR="004F7611" w:rsidRPr="005908BD">
        <w:tab/>
        <w:t xml:space="preserve">като има предвид, че Австралия, Япония и Република Корея задълбочават тристранното сътрудничество с цел повишаване на сигурността и стабилността в Индийско-Тихоокеанския регион, включително чрез съвместни военни учения и по-тясно сътрудничество в областта на отбранителните технологии и устойчивостта на веригата на доставки; като има предвид, че тази нарастваща </w:t>
      </w:r>
      <w:r w:rsidR="004F7611" w:rsidRPr="005908BD">
        <w:lastRenderedPageBreak/>
        <w:t>тристранна координация се основава на импулса, породен от всеобхватното стратегическо партньорство на Австралия с Република Корея и нейното специално стратегическо партньорство с Япония;</w:t>
      </w:r>
    </w:p>
    <w:p w14:paraId="03AAC62B" w14:textId="431E6724" w:rsidR="004F7611" w:rsidRPr="005908BD" w:rsidRDefault="000C5F0B" w:rsidP="004F7611">
      <w:pPr>
        <w:pStyle w:val="NormalHanging12a"/>
      </w:pPr>
      <w:r>
        <w:t>Ф</w:t>
      </w:r>
      <w:r w:rsidR="004F7611" w:rsidRPr="005908BD">
        <w:t>.</w:t>
      </w:r>
      <w:r w:rsidR="004F7611" w:rsidRPr="005908BD">
        <w:tab/>
        <w:t xml:space="preserve">като има предвид, че на 1 януари 2025 г. Република Корея стана първата азиатска държава, която се присъедини към програмата „Хоризонт Европа“, </w:t>
      </w:r>
      <w:r w:rsidR="00473DF8">
        <w:t xml:space="preserve">като завършването на преговорите с </w:t>
      </w:r>
      <w:r w:rsidR="00473DF8" w:rsidRPr="005908BD">
        <w:t xml:space="preserve">Япония </w:t>
      </w:r>
      <w:r w:rsidR="004F7611" w:rsidRPr="005908BD">
        <w:t>последва на 22 декември 2025 г.; като има предвид, че присъединяването на двете държави към програмата показва силния им ангажимент за сътрудничество с ЕС в областта на научните изследвания и иновациите;</w:t>
      </w:r>
    </w:p>
    <w:p w14:paraId="49812275" w14:textId="0067A952" w:rsidR="004F7611" w:rsidRPr="005908BD" w:rsidRDefault="000C5F0B" w:rsidP="004F7611">
      <w:pPr>
        <w:pStyle w:val="NormalHanging12a"/>
        <w:rPr>
          <w:bCs/>
          <w:iCs/>
        </w:rPr>
      </w:pPr>
      <w:r>
        <w:t>Х</w:t>
      </w:r>
      <w:r w:rsidR="004F7611" w:rsidRPr="005908BD">
        <w:t>.</w:t>
      </w:r>
      <w:r w:rsidR="004F7611" w:rsidRPr="005908BD">
        <w:tab/>
        <w:t xml:space="preserve">като има предвид, че Тайван е надежден ключов демократичен партньор на ЕС в региона на Източна Азия; като има предвид, че ЕС и Тайван споделят общи ценности като демокрацията, върховенството на закона и правата на човека и са поели ангажимент да поддържат </w:t>
      </w:r>
      <w:proofErr w:type="spellStart"/>
      <w:r w:rsidR="004F7611" w:rsidRPr="005908BD">
        <w:t>мултилатерализма</w:t>
      </w:r>
      <w:proofErr w:type="spellEnd"/>
      <w:r w:rsidR="004F7611" w:rsidRPr="005908BD">
        <w:t xml:space="preserve"> и основания на правила международен ред; като има предвид, че в Бялата книга за европейската отбранителна готовност до 2030 г. (JOIN(2025)0120) се изразява загриженост относно натиска, упражняван от страна на Китай над Тайван чрез засилване на политическите, икономическите, военните и кибернетичните мерки; като има предвид, че мирът и стабилността в Тайванския проток и Южнокитайско море са от жизненоважен стратегически интерес за ЕС и са от съществено значение за глобалната сигурност и просперитет, включително за международните търговски потоци, сигурността на инвестициите и функционирането на световните вериги на доставки;</w:t>
      </w:r>
    </w:p>
    <w:p w14:paraId="7A13BD3D" w14:textId="23D76F14" w:rsidR="004F7611" w:rsidRPr="005908BD" w:rsidRDefault="000C5F0B" w:rsidP="004F7611">
      <w:pPr>
        <w:pStyle w:val="NormalHanging12a"/>
        <w:rPr>
          <w:bCs/>
          <w:iCs/>
        </w:rPr>
      </w:pPr>
      <w:r>
        <w:t>Ц</w:t>
      </w:r>
      <w:r w:rsidR="004F7611" w:rsidRPr="005908BD">
        <w:t>.</w:t>
      </w:r>
      <w:r w:rsidR="004F7611" w:rsidRPr="005908BD">
        <w:tab/>
        <w:t>като има предвид, че Тайван е 13-ият по големина търговски партньор на ЕС и ключов икономически партньор, който се нарежда сред най-важните търговски и инвестиционни партньори на ЕС в Азия, и играе централна роля в световните вериги за създаване на стойност, особено в производството на полупроводници, общественото здраве, демократичната устойчивост и подготвеността при бедствия;</w:t>
      </w:r>
    </w:p>
    <w:p w14:paraId="624FCC16" w14:textId="1ACD2644" w:rsidR="004F7611" w:rsidRPr="005908BD" w:rsidRDefault="000C5F0B" w:rsidP="004F7611">
      <w:pPr>
        <w:pStyle w:val="NormalHanging12a"/>
        <w:rPr>
          <w:bCs/>
          <w:iCs/>
        </w:rPr>
      </w:pPr>
      <w:r>
        <w:t>Ч</w:t>
      </w:r>
      <w:r w:rsidR="004F7611" w:rsidRPr="005908BD">
        <w:t>.</w:t>
      </w:r>
      <w:r w:rsidR="004F7611" w:rsidRPr="005908BD">
        <w:tab/>
        <w:t>като има предвид, че Тайван се намира в стратегическо положение по отношение на търговията; като има предвид, че през Тайванския проток преминава основният маршрут за корабите, пътуващи от Китай, Япония, Република Корея и Тайван към Европа; като има предвид, че Тайван е водещ на пазара на производство на полупроводници, като производителите му произвеждат около 50% от полупроводниците в света; като има предвид, че стратегията на ЕС за Индийско-Тихоокеанския регион съдържа доводи за засилване на сътрудничеството в областта на търговията и инвестициите с Тайван и се застъпва за стабилизиране на напрежението в Южнокитайско море и Тайванския проток;</w:t>
      </w:r>
    </w:p>
    <w:p w14:paraId="2A555CCF" w14:textId="4B41B1F4" w:rsidR="004F7611" w:rsidRPr="005908BD" w:rsidRDefault="000C5F0B" w:rsidP="004F7611">
      <w:pPr>
        <w:pStyle w:val="NormalHanging12a"/>
        <w:rPr>
          <w:bCs/>
          <w:iCs/>
        </w:rPr>
      </w:pPr>
      <w:r>
        <w:t>Ш</w:t>
      </w:r>
      <w:r w:rsidR="004F7611" w:rsidRPr="005908BD">
        <w:t>.</w:t>
      </w:r>
      <w:r w:rsidR="004F7611" w:rsidRPr="005908BD">
        <w:tab/>
        <w:t>като има предвид, че сътрудничеството между ЕС, Япония, Република Корея и Тайван допринася за насърчаването на стабилността, отворените пазари и основания на правила международен ред; като има предвид, че тези партньори споделят общи интереси за справяне с глобалните предизвикателства, включително икономическата сигурност и технологичното развитие; като има предвид, че засилената координация между ЕС, Япония и Република Корея може да допринесе за по-голяма съгласуваност на политиките при справянето с регионалните и глобалните предизвикателства;</w:t>
      </w:r>
    </w:p>
    <w:p w14:paraId="27D62B7F" w14:textId="3254C0C6" w:rsidR="004F7611" w:rsidRPr="005908BD" w:rsidRDefault="000C5F0B" w:rsidP="004F7611">
      <w:pPr>
        <w:pStyle w:val="NormalHanging12a"/>
        <w:rPr>
          <w:bCs/>
          <w:iCs/>
        </w:rPr>
      </w:pPr>
      <w:r>
        <w:t>Щ</w:t>
      </w:r>
      <w:r w:rsidR="004F7611" w:rsidRPr="005908BD">
        <w:t>.</w:t>
      </w:r>
      <w:r w:rsidR="004F7611" w:rsidRPr="005908BD">
        <w:tab/>
        <w:t xml:space="preserve">като има предвид, че тристранното сътрудничество между ЕС, Япония, Република </w:t>
      </w:r>
      <w:r w:rsidR="004F7611" w:rsidRPr="005908BD">
        <w:lastRenderedPageBreak/>
        <w:t xml:space="preserve">Корея и Тайван може да подкрепи разработването на международни норми и стандарти, особено в областта на цифровото управление и веригите на доставки; като има предвид, че ЕС, Япония и Република Корея са </w:t>
      </w:r>
      <w:proofErr w:type="spellStart"/>
      <w:r w:rsidR="004F7611" w:rsidRPr="005908BD">
        <w:t>единомислещи</w:t>
      </w:r>
      <w:proofErr w:type="spellEnd"/>
      <w:r w:rsidR="004F7611" w:rsidRPr="005908BD">
        <w:t xml:space="preserve"> партньори, които споделят едни и същи цели; като има предвид, че тяхното стратегическо партньорство в областта на ИИ е механизъм за насърчаване на обмена в цифровата търговия и за справяне с промените в глобален контекст; </w:t>
      </w:r>
    </w:p>
    <w:p w14:paraId="5E4F66C0" w14:textId="78742B51" w:rsidR="004F7611" w:rsidRPr="005908BD" w:rsidRDefault="000C5F0B" w:rsidP="004F7611">
      <w:pPr>
        <w:pStyle w:val="NormalHanging12a"/>
        <w:rPr>
          <w:bCs/>
          <w:iCs/>
        </w:rPr>
      </w:pPr>
      <w:r>
        <w:t>АА</w:t>
      </w:r>
      <w:r w:rsidR="004F7611" w:rsidRPr="005908BD">
        <w:t>.</w:t>
      </w:r>
      <w:r w:rsidR="004F7611" w:rsidRPr="005908BD">
        <w:tab/>
        <w:t xml:space="preserve">като има предвид, че Зеленият алианс между ЕС и Япония и Зеленото партньорство между ЕС и Република Корея предоставят конкретни рамки за сътрудничество в действията в областта на климата, чистата енергия, </w:t>
      </w:r>
      <w:proofErr w:type="spellStart"/>
      <w:r w:rsidR="004F7611" w:rsidRPr="005908BD">
        <w:t>декарбонизацията</w:t>
      </w:r>
      <w:proofErr w:type="spellEnd"/>
      <w:r w:rsidR="004F7611" w:rsidRPr="005908BD">
        <w:t xml:space="preserve"> на промишлеността, кръговата икономика и други елементи на екологичния преход; като има предвид, че по-задълбоченото структурирано сътрудничество с Тайван в областта на чистите технологии и устойчивостта на веригите на доставки също е в интерес на ЕС;</w:t>
      </w:r>
    </w:p>
    <w:p w14:paraId="2725B5C2" w14:textId="1BAEB5E5" w:rsidR="004F7611" w:rsidRPr="005908BD" w:rsidRDefault="000C5F0B" w:rsidP="004F7611">
      <w:pPr>
        <w:pStyle w:val="NormalHanging12a"/>
        <w:rPr>
          <w:bCs/>
          <w:iCs/>
        </w:rPr>
      </w:pPr>
      <w:r>
        <w:t>АБ</w:t>
      </w:r>
      <w:r w:rsidR="004F7611" w:rsidRPr="005908BD">
        <w:t>.</w:t>
      </w:r>
      <w:r w:rsidR="004F7611" w:rsidRPr="005908BD">
        <w:tab/>
        <w:t>като има предвид, че мирът и стабилността в Тайванския проток и Южнокитайско море са от стратегическо значение за регионалната и световната сигурност; като има предвид, че някои държави – членки на ЕС, имат военноморско присъствие в Индийско-Тихоокеанския регион и че ЕС като цяло има пряк интерес от запазване на статуквото;</w:t>
      </w:r>
    </w:p>
    <w:p w14:paraId="6CBA9D6E" w14:textId="1884C239" w:rsidR="004F7611" w:rsidRPr="005908BD" w:rsidRDefault="000C5F0B" w:rsidP="004F7611">
      <w:pPr>
        <w:pStyle w:val="NormalHanging12a"/>
        <w:rPr>
          <w:bCs/>
          <w:iCs/>
        </w:rPr>
      </w:pPr>
      <w:r>
        <w:t>АВ</w:t>
      </w:r>
      <w:r w:rsidR="004F7611" w:rsidRPr="005908BD">
        <w:t>.</w:t>
      </w:r>
      <w:r w:rsidR="004F7611" w:rsidRPr="005908BD">
        <w:tab/>
        <w:t>като има предвид, че през ноември 2025 г. ЕС и Филипините установиха диалог по въпросите на сигурността и отбраната с цел справяне с нарастващата сложност на заплахите за сигурността и насърчаване на обмена и сътрудничеството по проблеми като морската сигурност, регионалната стабилност и свързаността; като има предвид, че през януари 2026 г. ЕС и Виетнам подобриха отношенията си до всеобхватно стратегическо партньорство с цел задълбочаване на сътрудничеството в широк кръг от области, включително в областта на морската сигурност, устойчивостта на веригите на доставки и укрепването на свързаността между Европа и Югоизточна Азия;</w:t>
      </w:r>
    </w:p>
    <w:p w14:paraId="4E366984" w14:textId="381BC8BE" w:rsidR="004F7611" w:rsidRPr="005908BD" w:rsidRDefault="000C5F0B" w:rsidP="004F7611">
      <w:pPr>
        <w:pStyle w:val="NormalHanging12a"/>
        <w:rPr>
          <w:bCs/>
          <w:iCs/>
        </w:rPr>
      </w:pPr>
      <w:r>
        <w:t>АГ</w:t>
      </w:r>
      <w:r w:rsidR="004F7611" w:rsidRPr="005908BD">
        <w:t>.</w:t>
      </w:r>
      <w:r w:rsidR="004F7611" w:rsidRPr="005908BD">
        <w:tab/>
        <w:t>като има предвид, че положението с правата на човека в КНДР продължава да се характеризира със системни, широко разпространени и груби нарушения, включително ограничения на свободата на изразяване, движение и достъп до информация, наличие на политически затворнически лагери и документирани случаи на принудителен труд и изтезания, като липсват минимални правни стандарти в рамките на наказателния процес; като има предвид, че международните институции непрекъснато докладват за тези нарушения, като се изискват постоянно внимание и действия от страна на международната общност;</w:t>
      </w:r>
    </w:p>
    <w:p w14:paraId="187ABDCE" w14:textId="1CF0F82B" w:rsidR="004F7611" w:rsidRPr="005908BD" w:rsidRDefault="000C5F0B" w:rsidP="004F7611">
      <w:pPr>
        <w:pStyle w:val="NormalHanging12a"/>
      </w:pPr>
      <w:r>
        <w:t>АД</w:t>
      </w:r>
      <w:r w:rsidR="004F7611" w:rsidRPr="005908BD">
        <w:t>.</w:t>
      </w:r>
      <w:r w:rsidR="004F7611" w:rsidRPr="005908BD">
        <w:tab/>
        <w:t>като има предвид, че присъствието и сътрудничеството на ЕС в Източна Азия е от изключително значение за насърчаването на мира и стабилността в региона, за запазването на икономическата сигурност и за укрепването на основания на правила международен ред, тъй като предизвикателствата пред сигурността в региона имат преки последици за световния мир и интересите на ЕС; като има предвид, че партньорите в Източна Азия, включително Япония, Република Корея, Тайван и членовете на АСЕАН, поддържат сложни и многостранни отношения с Китай, характеризиращи се със значителна икономическа взаимозависимост;</w:t>
      </w:r>
    </w:p>
    <w:p w14:paraId="37D03AF0" w14:textId="636D469C" w:rsidR="004F7611" w:rsidRPr="005908BD" w:rsidRDefault="000C5F0B" w:rsidP="004F7611">
      <w:pPr>
        <w:pStyle w:val="NormalHanging12a"/>
        <w:rPr>
          <w:bCs/>
          <w:iCs/>
        </w:rPr>
      </w:pPr>
      <w:r>
        <w:t>АЕ</w:t>
      </w:r>
      <w:r w:rsidR="004F7611" w:rsidRPr="005908BD">
        <w:t>.</w:t>
      </w:r>
      <w:r w:rsidR="004F7611" w:rsidRPr="005908BD">
        <w:tab/>
        <w:t xml:space="preserve">като има предвид, че отвъдморските страни и територии (ОСТ) са единствената територия, принадлежаща на държавите членки в Тихия океан и Индийско-Тихоокеанския регион; като има предвид, че ОСТ служат като единствени по рода </w:t>
      </w:r>
      <w:r w:rsidR="004F7611" w:rsidRPr="005908BD">
        <w:lastRenderedPageBreak/>
        <w:t>си фокусни точки от стратегически интерес, като осигуряват на ЕС присъствие, влияние и партньорства в съответните региони, не на последно място в областта на отбраната, търговията, цифровите технологии, космическото пространство и културното сътрудничество;</w:t>
      </w:r>
    </w:p>
    <w:p w14:paraId="4A71DE61" w14:textId="723AC954" w:rsidR="004F7611" w:rsidRPr="005908BD" w:rsidRDefault="000C5F0B" w:rsidP="004F7611">
      <w:pPr>
        <w:pStyle w:val="NormalHanging12a"/>
        <w:rPr>
          <w:bCs/>
          <w:iCs/>
        </w:rPr>
      </w:pPr>
      <w:r>
        <w:t>АЖ</w:t>
      </w:r>
      <w:r w:rsidR="004F7611" w:rsidRPr="005908BD">
        <w:t>.</w:t>
      </w:r>
      <w:r w:rsidR="004F7611" w:rsidRPr="005908BD">
        <w:tab/>
        <w:t xml:space="preserve">като има предвид, че ЕС е най-големият източник на преки чуждестранни инвестиции в Япония, Република Корея и Тайван; </w:t>
      </w:r>
    </w:p>
    <w:p w14:paraId="0D6D1D3D" w14:textId="544A829E" w:rsidR="004F7611" w:rsidRPr="005908BD" w:rsidRDefault="000C5F0B" w:rsidP="004F7611">
      <w:pPr>
        <w:pStyle w:val="NormalHanging12a"/>
        <w:rPr>
          <w:bCs/>
          <w:iCs/>
        </w:rPr>
      </w:pPr>
      <w:r>
        <w:t>АЗ</w:t>
      </w:r>
      <w:r w:rsidR="004F7611" w:rsidRPr="005908BD">
        <w:t>.</w:t>
      </w:r>
      <w:r w:rsidR="004F7611" w:rsidRPr="005908BD">
        <w:tab/>
        <w:t>като има предвид, че Всеобхватното и прогресивно споразумение за Транстихоокеанско партньорство (CPTPP) се превърна в главна основана на правила търговска рамка в Индийско-Тихоокеанския регион; като има предвид, че Япония е член на CPTPP, а Република Корея и Тайван са кандидатствали за членство; като има предвид, че през ноември 2025 г. ЕС започна диалог по въпросите на търговията и инвестициите с държавите от CPTPP;</w:t>
      </w:r>
    </w:p>
    <w:p w14:paraId="2E075326" w14:textId="77777777" w:rsidR="004F7611" w:rsidRPr="005908BD" w:rsidRDefault="004F7611" w:rsidP="004F7611">
      <w:pPr>
        <w:pStyle w:val="NormalHanging12a"/>
      </w:pPr>
      <w:r w:rsidRPr="005908BD">
        <w:t>1.</w:t>
      </w:r>
      <w:r w:rsidRPr="005908BD">
        <w:tab/>
        <w:t>препоръчва на Съвета, Комисията и заместник-председателя на Комисията/върховен представител на Съюза по въпросите на външните работи и политиката на сигурност:</w:t>
      </w:r>
    </w:p>
    <w:p w14:paraId="6A0DB62A" w14:textId="77777777" w:rsidR="004F7611" w:rsidRPr="005908BD" w:rsidRDefault="004F7611" w:rsidP="004F7611">
      <w:pPr>
        <w:pStyle w:val="NormalHangingLeft12a"/>
        <w:rPr>
          <w:bCs/>
          <w:iCs/>
        </w:rPr>
      </w:pPr>
      <w:r w:rsidRPr="005908BD">
        <w:t>а)</w:t>
      </w:r>
      <w:r w:rsidRPr="005908BD">
        <w:tab/>
        <w:t xml:space="preserve">да засилят стратегическия акцент, присъствието и видимостта на ЕС в Източна Азия и диалога и сътрудничеството му в този регион, включително чрез дипломатическа ангажираност, сътрудничество в областта на сигурността, междуличностни контакти и икономически партньорства, с цел да се избегне динамиката на конфронтация, основана на блокове, и да се допринесе за мира, регионалната стабилност, сигурността, просперитета и устойчивото развитие, подкрепени от насърчаването на демокрацията, многостранното сътрудничество, принципите на правовата държава, правата на човека, основаната на правила търговска система, териториалната цялост и международното право; в този контекст да си сътрудничат с Япония относно нейната актуализирана концепция за свободен и отворен Индийско-Тихоокеански регион; да засилят сътрудничеството, координацията и диалога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от Източна Азия, като използват пълноценно познанията им за региона и опита им в него, за да гарантират по-ефективен, съгласуван и съобразен с контекста подход към мира, сигурността и стабилността в Източна Азия;</w:t>
      </w:r>
    </w:p>
    <w:p w14:paraId="2B124F89" w14:textId="77777777" w:rsidR="004F7611" w:rsidRPr="005908BD" w:rsidRDefault="004F7611" w:rsidP="004F7611">
      <w:pPr>
        <w:pStyle w:val="NormalHangingLeft12a"/>
        <w:rPr>
          <w:bCs/>
          <w:iCs/>
        </w:rPr>
      </w:pPr>
      <w:r w:rsidRPr="005908BD">
        <w:t>б)</w:t>
      </w:r>
      <w:r w:rsidRPr="005908BD">
        <w:tab/>
        <w:t>да засилят стратегическото прогнозиране и планирането на действия при извънредни ситуации между ЕС и неговите източноазиатски партньори с цел разработване на споделена оценка на регионалните рискове за сигурността и координиране на възпиращите мерки за опазване и допринасяне за мира и стабилността в региона и проактивно възпиране на едностранните опити за промяна на регионалното статукво със сила или принуда;</w:t>
      </w:r>
    </w:p>
    <w:p w14:paraId="78821248" w14:textId="77777777" w:rsidR="004F7611" w:rsidRPr="005908BD" w:rsidRDefault="004F7611" w:rsidP="004F7611">
      <w:pPr>
        <w:pStyle w:val="NormalHangingLeft12a"/>
        <w:rPr>
          <w:bCs/>
          <w:iCs/>
        </w:rPr>
      </w:pPr>
      <w:r w:rsidRPr="005908BD">
        <w:t>в)</w:t>
      </w:r>
      <w:r w:rsidRPr="005908BD">
        <w:tab/>
        <w:t xml:space="preserve">да приветстват значителния дипломатически напредък, постигнат от правителствата на Япония и Република Корея в изграждането на ориентирано към бъдещето и устойчиво партньорство, тъй като такова засилено сътрудничество между Япония и Република Корея е от жизненоважно значение за поддържането на основан на правила международен ред и за гарантирането на стабилност в Индийско-Тихоокеанския регион; </w:t>
      </w:r>
    </w:p>
    <w:p w14:paraId="31045A5B" w14:textId="77777777" w:rsidR="004F7611" w:rsidRPr="005908BD" w:rsidRDefault="004F7611" w:rsidP="004F7611">
      <w:pPr>
        <w:pStyle w:val="NormalHangingLeft12a"/>
        <w:rPr>
          <w:bCs/>
          <w:iCs/>
        </w:rPr>
      </w:pPr>
      <w:r w:rsidRPr="005908BD">
        <w:t>г)</w:t>
      </w:r>
      <w:r w:rsidRPr="005908BD">
        <w:tab/>
        <w:t xml:space="preserve">да укрепят стратегическата автономност и икономическата сигурност на ЕС </w:t>
      </w:r>
      <w:r w:rsidRPr="005908BD">
        <w:lastRenderedPageBreak/>
        <w:t xml:space="preserve">чрез диверсификация на търговията и инвестициите, сигурни и предвидими вериги на доставки, отворени пазари и търговски потоци и по-тясно сътрудничество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Източна Азия, като същевременно осигуряват взаимни ползи и създаване на стойност на местно равнище и спазват ангажимента на ЕС за справедлива и устойчива търговия;</w:t>
      </w:r>
    </w:p>
    <w:p w14:paraId="0F0B14D3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д)</w:t>
      </w:r>
      <w:r w:rsidRPr="005908BD">
        <w:tab/>
        <w:t xml:space="preserve">да задълбочат сътрудничеството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региона, по-специално Япония, Република Корея и Тайван, както и с държавите от АСЕАН, за преодоляване на общите предизвикателства в области като икономическата принуда, произволните мерки за контрол на износа, включително ограничения на износа на изделия с двойна употреба, насочени към Япония, непазарните политики и практики, демократичната устойчивост, екологичния преход, киберсигурността, хибридните заплахи, включително чуждестранното манипулиране на информация и вмешателството, защитата на критичната инфраструктура, в това число подводните кабели и пристанищните и логистичните центрове, морската и космическата сигурност, неразпространението на оръжия и нововъзникващите отбранителни технологии, включително напредналите технологии за безпилотни летателни апарати, като същевременно укрепват полезните взаимодействия с ключови партньори и регионални организации при пълно зачитане на Устава на ООН; да проучат и изпълнят съвместни инициативи за укрепване на съответната за страните стратегическа автономност и да намалят зависимостта от Китай; да подчертаят значението на стабилните институции и жизнеспособните демокрации на Япония, Република Корея и Тайван в по-широкия регионален контекст, като осигурят решаващ противовес в региона; </w:t>
      </w:r>
    </w:p>
    <w:p w14:paraId="372AAC3C" w14:textId="77777777" w:rsidR="004F7611" w:rsidRPr="005908BD" w:rsidRDefault="004F7611" w:rsidP="004F7611">
      <w:pPr>
        <w:pStyle w:val="NormalHanging12a"/>
        <w:ind w:left="1134"/>
      </w:pPr>
      <w:r w:rsidRPr="005908BD">
        <w:t>e)</w:t>
      </w:r>
      <w:r w:rsidRPr="005908BD">
        <w:tab/>
        <w:t xml:space="preserve">да поддържат – в координация с </w:t>
      </w:r>
      <w:proofErr w:type="spellStart"/>
      <w:r w:rsidRPr="005908BD">
        <w:t>единомислещи</w:t>
      </w:r>
      <w:proofErr w:type="spellEnd"/>
      <w:r w:rsidRPr="005908BD">
        <w:t xml:space="preserve"> партньори – отворени канали за диалог и принципна ангажираност с други глобални участници в Източна Азия, по-специално, с цел справяне с общите глобални предизвикателства;</w:t>
      </w:r>
    </w:p>
    <w:p w14:paraId="7B1E3B81" w14:textId="77777777" w:rsidR="004F7611" w:rsidRPr="005908BD" w:rsidRDefault="004F7611" w:rsidP="004F7611">
      <w:pPr>
        <w:pStyle w:val="NormalHanging12a"/>
        <w:ind w:left="1134"/>
      </w:pPr>
      <w:r w:rsidRPr="005908BD">
        <w:t>ж)</w:t>
      </w:r>
      <w:r w:rsidRPr="005908BD">
        <w:tab/>
        <w:t xml:space="preserve">да потвърдят отново значението на спазването на международното право за насърчаване на мира и просперитета в свободния и отворен Индийско-Тихоокеански регион; активно да насърчават зачитането и всеобщото прилагане на Конвенцията на Организацията на обединените нации по морско право (UNCLOS) като универсална правна рамка, която урежда морските дейности, включително арбитражното решение за Южнокитайско море от 2016 г., и да възразяват срещу едностранни действия или искове, които не са в съответствие с международното право; </w:t>
      </w:r>
    </w:p>
    <w:p w14:paraId="51DDCF87" w14:textId="77777777" w:rsidR="004F7611" w:rsidRPr="005908BD" w:rsidRDefault="004F7611" w:rsidP="004F7611">
      <w:pPr>
        <w:pStyle w:val="NormalHanging12a"/>
        <w:ind w:left="1134"/>
      </w:pPr>
      <w:r w:rsidRPr="005908BD">
        <w:t>з)</w:t>
      </w:r>
      <w:r w:rsidRPr="005908BD">
        <w:tab/>
        <w:t xml:space="preserve">да улеснят структурираното военно-промишлено сътрудничество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и да създадат съответни партньорства в областта на сигурността, които да са съсредоточени върху оперативната съвместимост, съвместното разработване и възлагане на обществени поръчки за отбранителни технологии, сигурността на веригите на доставки и споделената научноизследователска и развойна дейност във въздухоплаването и безпилотните летателни апарати, също така по отношение на приноса на системите, основани на ИИ;</w:t>
      </w:r>
    </w:p>
    <w:p w14:paraId="456F5E10" w14:textId="77777777" w:rsidR="004F7611" w:rsidRPr="005908BD" w:rsidRDefault="004F7611" w:rsidP="004F7611">
      <w:pPr>
        <w:pStyle w:val="NormalHanging12a"/>
        <w:ind w:left="1134"/>
      </w:pPr>
      <w:r w:rsidRPr="005908BD">
        <w:t>и)</w:t>
      </w:r>
      <w:r w:rsidRPr="005908BD">
        <w:tab/>
        <w:t xml:space="preserve">да продължат да работят прагматично с Китай по глобалните предизвикателства, като същевременно засилят координацията с </w:t>
      </w:r>
      <w:proofErr w:type="spellStart"/>
      <w:r w:rsidRPr="005908BD">
        <w:lastRenderedPageBreak/>
        <w:t>единомислещи</w:t>
      </w:r>
      <w:proofErr w:type="spellEnd"/>
      <w:r w:rsidRPr="005908BD">
        <w:t xml:space="preserve"> партньори по въпросите на сигурността с оглед на все по-решаващата роля на Китай за световния мир и стабилност, особено в контекста на агресивната война на Русия срещу Украйна и продължаващата нестабилност в Близкия изток;</w:t>
      </w:r>
    </w:p>
    <w:p w14:paraId="5C78547E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й)</w:t>
      </w:r>
      <w:r w:rsidRPr="005908BD">
        <w:tab/>
        <w:t xml:space="preserve">да засилят сътрудничеството в областта на сигурните, устойчиви и диверсифицирани вериги на доставки на полупроводници, батерии и суровини от критично значение, включително чрез проследимост, рециклиране, </w:t>
      </w:r>
      <w:proofErr w:type="spellStart"/>
      <w:r w:rsidRPr="005908BD">
        <w:t>кръговост</w:t>
      </w:r>
      <w:proofErr w:type="spellEnd"/>
      <w:r w:rsidRPr="005908BD">
        <w:t xml:space="preserve"> и високи екологични и трудови стандарти, и в координация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съответните многостранни инициативи; </w:t>
      </w:r>
    </w:p>
    <w:p w14:paraId="0F4E46F5" w14:textId="77777777" w:rsidR="004F7611" w:rsidRPr="005908BD" w:rsidRDefault="004F7611" w:rsidP="004F7611">
      <w:pPr>
        <w:pStyle w:val="NormalHanging12a"/>
        <w:ind w:left="1134"/>
      </w:pPr>
      <w:r w:rsidRPr="005908BD">
        <w:t>к)</w:t>
      </w:r>
      <w:r w:rsidRPr="005908BD">
        <w:tab/>
        <w:t>да доразвиват ССП между ЕС и Япония и партньорството на страните в областта на сигурността и отбраната; да насърчават по-задълбоченото сътрудничество по въпросите на отбранителната промишленост, включително съвместното участие в отбранителни инициативи, напредъка по споразумение за сигурност на информацията и по-нататъшното развитие на диалога между ЕС и Япония в областта на отбранителната промишленост, за да се увеличат устойчивостта на веригата на доставки, оперативната съвместимост и иновациите; да засилят конкретните съвместни дейности в рамките на Алианса за конкурентоспособност, Зеления алианс, цифровото партньорство и енергийните диалози, като продължат да разширяват икономическия диалог на високо равнище между ЕС и Япония и да укрепват стратегическото икономическо сътрудничество между двете страни; да ускорят прилагането на Алианса за конкурентоспособност между ЕС и Япония;</w:t>
      </w:r>
    </w:p>
    <w:p w14:paraId="4904EF08" w14:textId="77777777" w:rsidR="004F7611" w:rsidRPr="005908BD" w:rsidRDefault="004F7611" w:rsidP="004F7611">
      <w:pPr>
        <w:pStyle w:val="NormalHanging12a"/>
        <w:ind w:left="1134"/>
      </w:pPr>
      <w:r w:rsidRPr="005908BD">
        <w:t>л)</w:t>
      </w:r>
      <w:r w:rsidRPr="005908BD">
        <w:tab/>
        <w:t xml:space="preserve">да подчертаят, че партньорството между ЕС и Япония е едно от тези с изключително </w:t>
      </w:r>
      <w:proofErr w:type="spellStart"/>
      <w:r w:rsidRPr="005908BD">
        <w:t>единомислещи</w:t>
      </w:r>
      <w:proofErr w:type="spellEnd"/>
      <w:r w:rsidRPr="005908BD">
        <w:t xml:space="preserve"> партньори, изградено върху споделени ценности, демокрация, свободна търговия и взаимно съвместими интереси; да подчертаят значението на по-нататъшното задълбочаване и разширяване на това партньорство както на двустранна основа, така и в многостранен контекст; да посочат, че ЕС и Япония, взети заедно, съставляват почти 25% от световния брутен вътрешен продукт (БВП) и че това партньорство може и следва да играе ключова роля в оформянето на мирен, основан на правила, приобщаващ, справедлив, устойчив и проспериращ международен ред; да приветстват финансовата, техническата и хуманитарната помощ, както и помощта в областта на сигурността, която Япония предоставя на Украйна от началото на пълномащабното нашествие на Русия през 2022 г.;</w:t>
      </w:r>
    </w:p>
    <w:p w14:paraId="5D52F16D" w14:textId="77777777" w:rsidR="004F7611" w:rsidRPr="005908BD" w:rsidRDefault="004F7611" w:rsidP="004F7611">
      <w:pPr>
        <w:pStyle w:val="NormalHanging12a"/>
        <w:ind w:left="1134"/>
      </w:pPr>
      <w:r w:rsidRPr="005908BD">
        <w:t>м)</w:t>
      </w:r>
      <w:r w:rsidRPr="005908BD">
        <w:tab/>
        <w:t xml:space="preserve">да работят за напредък в осъществяването на партньорството между ЕС и Република Корея в областта на сигурността и отбраната, като насърчават практическото сътрудничество в областта на морската сигурност, неразпространението на оръжия, киберсигурността, борбата с тероризма и управлението на кризи, доразвиват съществуващите съвместни операции и проучват възможностите за допълнително взаимодействие в рамките на инструмента на ЕС за координирано морско присъствие; да започнат диалог между ЕС и Република Корея в областта на отбранителната промишленост и да засилят координацията помежду си в рамките на многостранни форуми за поддържане на мира, възпиране на провокациите и насърчаване на премахването на ядреното оръжие; да продължат да надграждат върху успешното и взаимноизгодно сътрудничество в областта на отбранителните </w:t>
      </w:r>
      <w:r w:rsidRPr="005908BD">
        <w:lastRenderedPageBreak/>
        <w:t>продукти между Южна Корея и държави – членки на ЕС; да задълбочат сътрудничеството между ЕС и Република Корея с цел засилване на военната и финансовата помощ за Украйна;</w:t>
      </w:r>
    </w:p>
    <w:p w14:paraId="5204D589" w14:textId="77777777" w:rsidR="004F7611" w:rsidRPr="005908BD" w:rsidRDefault="004F7611" w:rsidP="004F7611">
      <w:pPr>
        <w:pStyle w:val="NormalHanging12a"/>
        <w:ind w:left="1134"/>
      </w:pPr>
      <w:r w:rsidRPr="005908BD">
        <w:t>н)</w:t>
      </w:r>
      <w:r w:rsidRPr="005908BD">
        <w:tab/>
        <w:t>да приветстват сътрудничеството на Република Корея с ЕС по отношение на общите опасения, свързани с икономическата сигурност; да наблегнат на обстоятелството, че Република Корея продължава да бъде ключов партньор във всички усилия за намаляване на риска и постигане на приятелски отношения, по-специално в рамките на търговската сфера; настоятелно да призоват Специализирания комитет по нововъзникващи търговски и икономически въпроси, новосъздаден в рамките на споразумението за свободна търговия между ЕС и Република Корея, да ускори сътрудничеството, особено по теми от значение за икономическата сигурност, като например критичните вериги на доставки и свръхкапацитета;</w:t>
      </w:r>
    </w:p>
    <w:p w14:paraId="1E80DB0A" w14:textId="77777777" w:rsidR="004F7611" w:rsidRPr="005908BD" w:rsidRDefault="004F7611" w:rsidP="004F7611">
      <w:pPr>
        <w:pStyle w:val="NormalHanging12a"/>
        <w:ind w:left="1134"/>
      </w:pPr>
      <w:r w:rsidRPr="005908BD">
        <w:t>о)</w:t>
      </w:r>
      <w:r w:rsidRPr="005908BD">
        <w:tab/>
        <w:t xml:space="preserve">да ускорят съвместните усилия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Източна Азия за справяне с нарастващата ангажираност на Русия с КНДР, включително подкрепата ѝ за укрепване на ядрените и балистичните способности на КНДР и нежеланието на Китай да предотврати това, както и да разгледат връзката между ядрените програми на КНДР и Иран, като подчертаят, че това участие изостря напрегнатата геополитическа обстановка на Корейския полуостров; да постигнат напредък в сътрудничеството с Република Корея за справяне с кампаниите за дезинформация в изборните процеси и за защита на изборната инфраструктура от кибератаки;</w:t>
      </w:r>
    </w:p>
    <w:p w14:paraId="505FC22F" w14:textId="77777777" w:rsidR="004F7611" w:rsidRPr="005908BD" w:rsidRDefault="004F7611" w:rsidP="004F7611">
      <w:pPr>
        <w:pStyle w:val="NormalHanging12a"/>
        <w:ind w:left="1134"/>
      </w:pPr>
      <w:r w:rsidRPr="005908BD">
        <w:t>п)</w:t>
      </w:r>
      <w:r w:rsidRPr="005908BD">
        <w:tab/>
        <w:t xml:space="preserve">да приветстват усилията на Република Корея за възобновяване на диалога с КНДР чрез проактивни мерки за намаляване на напрежението и изграждане на доверие; да призоват КНДР незабавно да прекрати всички свои военни действия и провокации, както и развитието на възможности в областта на ядрените и балистичните ракети; категорично да осъдят и ефективно да се справят със злонамерените действия на КНДР в киберпространството, включително кражбата на криптовалута и други форми на киберпрестъпност; настоятелно да призоват КНДР да позволи достъп на организациите за хуманитарна помощ, да зачита правата на човека и по-специално незабавно да разреши проблема с отвличанията; настоятелно да призоват Русия и КНДР да спазват изцяло Устава на ООН и резолюциите на Съвета за сигурност на ООН, включително по отношение на пълното премахване на ядреното оръжие в КНДР; да осъдят приноса на КНДР за агресията на Русия срещу Украйна, включително ангажимента ѝ чрез изпращането на военен персонал и оборудване; да развиват политиката на ЕС по отношение на Северна Корея, като надлежно вземат предвид експертните познания, нуждите в областта на сигурността и основателните опасения на </w:t>
      </w:r>
      <w:proofErr w:type="spellStart"/>
      <w:r w:rsidRPr="005908BD">
        <w:t>единомислещите</w:t>
      </w:r>
      <w:proofErr w:type="spellEnd"/>
      <w:r w:rsidRPr="005908BD">
        <w:t xml:space="preserve"> партньори в региона, по-специално тези в непосредствена географска близост до КНДР, а именно Южна Корея и Япония;</w:t>
      </w:r>
    </w:p>
    <w:p w14:paraId="04A95DB8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р)</w:t>
      </w:r>
      <w:r w:rsidRPr="005908BD">
        <w:tab/>
        <w:t xml:space="preserve">да създадат структурирана и всеобхватна рамка за сътрудничество между ЕС и Тайван въз основа на съществуващите механизми, като например диалога в областта на търговията и инвестициите, със силен икономически и търговски компонент, с акцент върху критичните технологии като полупроводниците и изкуствения интелект, устойчивостта на веригата на </w:t>
      </w:r>
      <w:r w:rsidRPr="005908BD">
        <w:lastRenderedPageBreak/>
        <w:t>доставки, киберсигурността, мерките за противодействие на дезинформацията, морската сигурност, общественото здраве, гражданската защита и сигурната свързаност, както и демократичната, социалната и енергийната устойчивост и подготвеността при бедствия; да продължат да подкрепят пълноценното участие на Тайван в значими международни организации и технически форуми като СЗО, Международната организация за гражданско въздухоплаване и Рамковата конвенция на ООН по изменението на климата; да засилят редовния обмен между ЕС и неговите тайвански партньори по съответните въпроси на сигурността, икономическата сигурност, гъвкавостта на веригата на доставки, демократичната цялост и почтеността на изборите, защитата на критичната инфраструктура и сътрудничеството в областта на чистите технологии; настоятелно призовава китайските органи да се координират тясно с други регионални участници, включително Тайван, когато са изправени пред големи глобални предизвикателства в областта на здравеопазването; да подчертаят, че всеки опит от страна на авторитарни режими да повлияят на отношенията между ЕС и Тайван, е неприемлив;</w:t>
      </w:r>
    </w:p>
    <w:p w14:paraId="707D0ABF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с)</w:t>
      </w:r>
      <w:r w:rsidRPr="005908BD">
        <w:tab/>
        <w:t>да подчертаят, че Тайван е ключов демократичен партньор за ЕС в Индийско-Тихоокеанския регион; да задълбочат още повече диалога между ЕС и Тайван в областта на търговията и инвестициите с цел преодоляване на пречките пред достъпа до пазара и повишаване на правната сигурност за инвеститорите от ЕС; да проучат стартирането на преговори за двустранно споразумение за инвестициите между ЕС и Тайван или други свързани с търговията рамки; да отчетат значението на Тайван за гарантирането на световните вериги на доставки, особено в сектора на високите технологии, и да призоват ЕС и неговите държави членки да се ангажират с по-тясно сътрудничество с Тайван, за да се поощрят допълнително икономическите, търговските и инвестиционните връзки; да признаят опита на Тайван в управлението на икономическата експозиция спрямо Китай и силните му страни в демократичното управление, прозрачните регулаторни стандарти и устойчивите цифрови и технологични екосистеми;</w:t>
      </w:r>
    </w:p>
    <w:p w14:paraId="0812365B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т)</w:t>
      </w:r>
      <w:r w:rsidRPr="005908BD">
        <w:tab/>
        <w:t xml:space="preserve">да потвърдят отново значението на мира и стабилността в Тайванския проток, като отхвърлят всяка принудителна едностранна промяна на статуквото; да гарантират чрез ясни и координирани послания, заедно с държавите членки и </w:t>
      </w:r>
      <w:proofErr w:type="spellStart"/>
      <w:r w:rsidRPr="005908BD">
        <w:t>единомислещите</w:t>
      </w:r>
      <w:proofErr w:type="spellEnd"/>
      <w:r w:rsidRPr="005908BD">
        <w:t xml:space="preserve"> партньори, че подобни действия ще имат значителна политическа и икономическа цена; да подчертаят, че всички различия трябва да бъдат разрешени по мирен начин чрез диалог, в съответствие с международното право и при зачитане на волята на тайванския народ; категорично да припомнят, че свободата на корабоплаването и прелитането, гарантирана от международното право, трябва да се зачита в Индийско-Тихоокеанския регион, включително в Южнокитайско море и Тайванския проток; да се ангажират активно с дипломатически усилия за предотвратяване на по-нататъшна ескалация в Тайванския проток и Източнокитайско и Южнокитайско море; спешно да разработят мерки за планиране на действия при извънредни ситуации и за смекчаване въз основа на вероятни сценарии за ескалация, включително военноморска блокада на Тайван от страна на Китайската народна република;</w:t>
      </w:r>
    </w:p>
    <w:p w14:paraId="3DBBE300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у)</w:t>
      </w:r>
      <w:r w:rsidRPr="005908BD">
        <w:tab/>
        <w:t xml:space="preserve">да подчертаят значението на инструментите на ЕС за икономическа </w:t>
      </w:r>
      <w:r w:rsidRPr="005908BD">
        <w:lastRenderedPageBreak/>
        <w:t xml:space="preserve">сигурност за справяне с икономическите практики на принуда и за защита на лоялната конкуренция, включително инструмента за борба с принудата, ефективните механизми за скрининг на преките чуждестранни инвестиции и режимите за контрол на износа, когато е целесъобразно и в съответствие с правото на ЕС; да консолидират геоикономическото влияние на ЕС, включително чрез координиран контрол върху износа, съвместни оценки на риска и колективни отговори на икономическата принуда, като по този начин превърнат двустранните зависимости в ефективен възпиращ фактор и укрепят както икономическата сигурност на ЕС, така и тази на неговите партньори; </w:t>
      </w:r>
    </w:p>
    <w:p w14:paraId="6C005BB4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ф)</w:t>
      </w:r>
      <w:r w:rsidRPr="005908BD">
        <w:tab/>
        <w:t>да засилят сътрудничеството чрез договаряне на тристранни или четиристранни споразумения и инициативи по въпроси от общ интерес, които допринасят за поддържането на многостранния, основан на правила международен ред; да развият съществуващите цифрови партньорства между ЕС и Япония и между ЕС и Република Корея чрез споделени ангажименти в областта на изкуствения интелект, полупроводниците, свързаността от следващо поколение, квантовите изчислителни технологии, управлението на данните, киберсигурността, технологиите за акумулаторни батерии, подводните кабели, цифровата самоличност и устойчивостта на веригите на доставки; да укрепят рамките за сътрудничество за разработване на отбранителни технологии;</w:t>
      </w:r>
    </w:p>
    <w:p w14:paraId="64CAE706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х)</w:t>
      </w:r>
      <w:r w:rsidRPr="005908BD">
        <w:tab/>
        <w:t>да приложат цялостно и ефективно търговските споразумения с Япония и Република Корея, включително в областта на достъпа до пазара, нетарифните бариери, устойчивото развитие и регулаторното сътрудничество и, по отношение на Република Корея, гарантиране на прилагането на основните конвенции на МОТ; да насърчават по-тясно сътрудничество между малките и средните предприятия (МСП) в ЕС и тези в неговите партньорски държави в Източна Азия с цел насърчаване на възможностите за взаимен бизнес, подобряване на достъпа до пазара и укрепване на мрежите за иновации;</w:t>
      </w:r>
    </w:p>
    <w:p w14:paraId="570DBAE7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ц)</w:t>
      </w:r>
      <w:r w:rsidRPr="005908BD">
        <w:tab/>
        <w:t xml:space="preserve">да гарантират, че всички бъдещи икономически или специфични секторни споразумения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региона са взаимноизгодни партньорства, които надхвърлят икономическите цели и целите в областта на сигурността, и също така включват силни ангажименти по отношение на трудовите права, опазването на околната среда и развитието на чисти и устойчиви вериги за създаване на стойност в съответствие с рамката на ЕС за търговия и устойчиво развитие; да популяризират всеобхватна информационна кампания в Източна Азия относно политиките на Европейския съюз по отношение на стоманодобивния сектор и предложението за Акт за ускоряване на промишлеността</w:t>
      </w:r>
      <w:r w:rsidRPr="005908BD">
        <w:rPr>
          <w:rStyle w:val="FootnoteReference"/>
          <w:bCs/>
          <w:iCs/>
        </w:rPr>
        <w:footnoteReference w:id="11"/>
      </w:r>
      <w:r w:rsidRPr="005908BD">
        <w:t xml:space="preserve"> с оглед повишаване на прозрачността и разбирането на целите на ЕС сред международните партньори; да подчертаят значението на проактивното ангажиране с източноазиатските партньори, за да се отговори на техните опасения, да се насърчи диалогът и да се предотвратят потенциални недоразумения в търговските и индустриалните отношения;</w:t>
      </w:r>
    </w:p>
    <w:p w14:paraId="44C81512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ч)</w:t>
      </w:r>
      <w:r w:rsidRPr="005908BD">
        <w:tab/>
        <w:t xml:space="preserve">да предприемат последващи действия във връзка с докладваните случаи на </w:t>
      </w:r>
      <w:r w:rsidRPr="005908BD">
        <w:lastRenderedPageBreak/>
        <w:t>заобикаляне на санкциите от страна на Русия чрез юрисдикции в Източна Азия, включително пренасочване на търговията с цел придобиване на санкционирани стоки с двойна употреба, на микрочипове и промишлени машини чрез посредници в региона;</w:t>
      </w:r>
    </w:p>
    <w:p w14:paraId="4ADD359F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ш)</w:t>
      </w:r>
      <w:r w:rsidRPr="005908BD">
        <w:tab/>
        <w:t xml:space="preserve">да увеличат политическия и икономическия ангажимент, както и ангажимента в областта на сигурността на ЕС в Индийско-Тихоокеанския регион като цяло чрез засилени партньорства с всички </w:t>
      </w:r>
      <w:proofErr w:type="spellStart"/>
      <w:r w:rsidRPr="005908BD">
        <w:t>единомислещи</w:t>
      </w:r>
      <w:proofErr w:type="spellEnd"/>
      <w:r w:rsidRPr="005908BD">
        <w:t xml:space="preserve"> участници и чрез инициативи като стратегията </w:t>
      </w:r>
      <w:proofErr w:type="spellStart"/>
      <w:r w:rsidRPr="005908BD">
        <w:t>Global</w:t>
      </w:r>
      <w:proofErr w:type="spellEnd"/>
      <w:r w:rsidRPr="005908BD">
        <w:t xml:space="preserve"> </w:t>
      </w:r>
      <w:proofErr w:type="spellStart"/>
      <w:r w:rsidRPr="005908BD">
        <w:t>Gateway</w:t>
      </w:r>
      <w:proofErr w:type="spellEnd"/>
      <w:r w:rsidRPr="005908BD">
        <w:t>, насърчавайки диалозите по правата на човека, устойчивото развитие и свързаността, равенството и високите трудови стандарти; да признаят нарастващото сближаване на стратегическите интереси между евроатлантическия и Индийско-Тихоокеанския регион, като Япония и Република Корея служат като партньори на НАТО в рамките на четирите партньори от Индийско-Тихоокеанския регион (IP4), което се илюстрира и от неотдавнашното създаване на мисията на Япония в НАТО; да потвърдят, че това сътрудничество повишава взаимната осведоменост относно положението с развитието на сигурността в двата региона; да подкрепят рамката на НАТО IP4 като съществен принос за укрепване на европейската сигурност и да задълбочат междурегионалното сътрудничество по допълващ се и взаимно подсилващ се начин; да засилят ангажираността и координацията на ЕС с ключови инициативи в областта на регионалната сигурност в Индийско-Тихоокеанския регион, включително Четиристранния диалог по въпросите на сигурността между Съединените щати, Австралия, Индия и Япония; да разработят всеобхватна, последователна и гъвкава нова стратегия за Индийско-Тихоокеанския регион, която да се основава твърдо на европейските ценности и интереси, както и на реалностите, нуждите и приоритетите на региона;</w:t>
      </w:r>
    </w:p>
    <w:p w14:paraId="235EE5B0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щ)</w:t>
      </w:r>
      <w:r w:rsidRPr="005908BD">
        <w:tab/>
        <w:t>да надградят стратегическата позиция на отвъдморските страни и територии (ОСТ) в Индийско-Тихоокеанския регион, така че те да могат да служат като усъвършенствани платформи за сътрудничество с регионалните партньори, включително в областта на търговията, цифровата свързаност, критичната инфраструктура и дейностите в космическото пространство;</w:t>
      </w:r>
    </w:p>
    <w:p w14:paraId="0A9E4B03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proofErr w:type="spellStart"/>
      <w:r w:rsidRPr="005908BD">
        <w:t>aа</w:t>
      </w:r>
      <w:proofErr w:type="spellEnd"/>
      <w:r w:rsidRPr="005908BD">
        <w:t>)</w:t>
      </w:r>
      <w:r w:rsidRPr="005908BD">
        <w:tab/>
        <w:t xml:space="preserve">да подчертаят произтичащата от това роля на АСЕАН за гарантиране на стабилността и за насърчаване на интеграцията на обществата и икономическата интеграция; да приветстват нарастващата ангажираност на Япония и Република Корея с АСЕАН, включително чрез редовни двустранни и многостранни срещи на високо равнище; да подчертаят решаващото значение на АСЕАН за гарантирането на мирен и проспериращ Индийско-Тихоокеански регион; да засилят структурирания ангажимент с АСЕАН за изграждане на приобщаващи структури в областта на регионалната сигурност, за координиране на многостранните политически отговори и за допълнително укрепване на присъствието на ЕС в региона чрез задълбочаване на сътрудничеството с АСЕАН и нейните държави членки, включително чрез засилен диалог по въпросите на сигурността и отбраната с Виетнам и Филипините; да насърчават засилването на ролята и видимостта на Съюза в регионални формати, по-специално в рамките за сътрудничество с АСЕАН, като същевременно морската безопасност и сигурност, киберсигурността и управлението на кризи се определят като приоритетни области за разширено сътрудничество въз основа на </w:t>
      </w:r>
      <w:r w:rsidRPr="005908BD">
        <w:lastRenderedPageBreak/>
        <w:t>инициативи като ESIWA+, CRIMARIO II и проектите за безопасност на пристанищата в световен мащаб;</w:t>
      </w:r>
    </w:p>
    <w:p w14:paraId="75B05CCC" w14:textId="77777777" w:rsidR="004F7611" w:rsidRPr="005908BD" w:rsidRDefault="004F7611" w:rsidP="004F7611">
      <w:pPr>
        <w:pStyle w:val="NormalHanging12a"/>
        <w:ind w:left="1134"/>
      </w:pPr>
      <w:r w:rsidRPr="005908BD">
        <w:t>аб)</w:t>
      </w:r>
      <w:r w:rsidRPr="005908BD">
        <w:tab/>
        <w:t>да разширят съвместните действия в областта на нетрадиционната сигурност, като например издирване и спасяване, реагиране при бедствия и екологични инциденти; да стартират структурирана инициатива за укрепване на защитата и устойчивостта на критичната морска инфраструктура, включително подводни кабели, тръбопроводи и пристанища; да повишават осведомеността в областта на морското дело чрез целенасочено изграждане на капацитет, обучение, датчици и обмен на данни в сътрудничество с бреговата охрана на АСЕАН и регионалните свързващи центрове;</w:t>
      </w:r>
    </w:p>
    <w:p w14:paraId="09E4EC7B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r w:rsidRPr="005908BD">
        <w:t>ав)</w:t>
      </w:r>
      <w:r w:rsidRPr="005908BD">
        <w:tab/>
        <w:t xml:space="preserve">да подкрепят укрепването на връзки между гражданите чрез целенасочени схеми за мобилност на изследователи, инженери и специалисти по киберсигурност, както и чрез инициативи за структурирано побратимяване между европейски и източноазиатски иновационни центрове; да усилят взаимното разбиране на споделените ценности сред студентите от двата региона чрез задълбочаване, разширяване и укрепване на програмите за образование, като например „Еразъм+“, с </w:t>
      </w:r>
      <w:proofErr w:type="spellStart"/>
      <w:r w:rsidRPr="005908BD">
        <w:t>единомислещи</w:t>
      </w:r>
      <w:proofErr w:type="spellEnd"/>
      <w:r w:rsidRPr="005908BD">
        <w:t xml:space="preserve"> партньори в региона; да засилят обмена между парламентите, държавните служители, местните органи и гражданското общество; да увеличат подкрепата за изучаването на езици, културния обмен и ръководените от младите хора инициативи с цел изграждане на дългосрочна устойчивост на обществата и доверие между двата региона;</w:t>
      </w:r>
    </w:p>
    <w:p w14:paraId="2E50F397" w14:textId="77777777" w:rsidR="004F7611" w:rsidRPr="005908BD" w:rsidRDefault="004F7611" w:rsidP="004F7611">
      <w:pPr>
        <w:pStyle w:val="NormalHanging12a"/>
        <w:ind w:left="1134"/>
        <w:rPr>
          <w:bCs/>
          <w:iCs/>
        </w:rPr>
      </w:pPr>
      <w:proofErr w:type="spellStart"/>
      <w:r w:rsidRPr="005908BD">
        <w:t>аг</w:t>
      </w:r>
      <w:proofErr w:type="spellEnd"/>
      <w:r w:rsidRPr="005908BD">
        <w:t>)</w:t>
      </w:r>
      <w:r w:rsidRPr="005908BD">
        <w:tab/>
        <w:t>да разширят сътрудничеството в рамките на „Хоризонт Европа“ с цел засилване на взаимноизгодното сътрудничество в областта на науката и технологиите, като се отчитат положително фактите, че Република Корея стана първата азиатска държава, асоциирана към стълб II на „Хоризонт Европа“ през юли 2025 г., и че ЕС успешно приключи преговорите с Япония за асоциирането ѝ към „Хоризонт Европа“ през декември 2025 г.; да обмислят започването на преговори с Тайван в рамките на „Хоризонт Европа“; да подкрепят видимостта на ЕС в целия регион чрез съдържателни усилия в областта на културата и публичната дипломация;</w:t>
      </w:r>
    </w:p>
    <w:p w14:paraId="729DB794" w14:textId="77777777" w:rsidR="004F7611" w:rsidRPr="005908BD" w:rsidRDefault="004F7611" w:rsidP="004F7611">
      <w:pPr>
        <w:pStyle w:val="NormalHanging12a"/>
        <w:rPr>
          <w:bCs/>
          <w:iCs/>
        </w:rPr>
      </w:pPr>
      <w:r w:rsidRPr="005908BD">
        <w:t>2.</w:t>
      </w:r>
      <w:r w:rsidRPr="005908BD">
        <w:tab/>
        <w:t>очаква задълбочаване на парламентарната дипломация и междупарламентарния обмен по въпроси от взаимен интерес с парламента на Япония, Националното събрание на Република Корея и членове на тайванския законодателен орган Юан; изразява твърдо убеждение, че укрепването на стратегическите партньорства както с Япония, така и с Република Корея през последните години следва да бъде отразено чрез подсилване на връзките на междупарламентарно равнище; счита, че редовният и структуриран обмен между парламентаристите би бил от полза за всеобхватната програма за сътрудничество с двете държави; освен това счита, че следва да се проучи възможността за създаване на съвместен парламентарен комитет ЕС – Япония и на съвместен парламентарен комитет ЕС – Република Корея;</w:t>
      </w:r>
    </w:p>
    <w:p w14:paraId="27988CCC" w14:textId="7C7A5CD9" w:rsidR="005908BD" w:rsidRPr="005908BD" w:rsidRDefault="004F7611" w:rsidP="005908BD">
      <w:pPr>
        <w:pStyle w:val="NormalHanging12a"/>
      </w:pPr>
      <w:r w:rsidRPr="005908BD">
        <w:t>3.</w:t>
      </w:r>
      <w:r w:rsidRPr="005908BD">
        <w:tab/>
        <w:t xml:space="preserve">възлага на своя председател да предаде настоящата препоръка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правителствата и парламентите на държавите членки, на правителствата и </w:t>
      </w:r>
      <w:r w:rsidRPr="005908BD">
        <w:lastRenderedPageBreak/>
        <w:t>парламентите на Япония, Република Корея и Тайван и на секретариата и държавите членки на Асоциацията на народите от Югоизточна Азия.</w:t>
      </w:r>
    </w:p>
    <w:p w14:paraId="1774895E" w14:textId="7429BA3C" w:rsidR="00E365E1" w:rsidRPr="005908BD" w:rsidRDefault="00E365E1" w:rsidP="000A61A6"/>
    <w:sectPr w:rsidR="00E365E1" w:rsidRPr="005908BD" w:rsidSect="005908B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7A30A0" w14:textId="77777777" w:rsidR="000A61A6" w:rsidRPr="005908BD" w:rsidRDefault="000A61A6">
      <w:r w:rsidRPr="005908BD">
        <w:separator/>
      </w:r>
    </w:p>
  </w:endnote>
  <w:endnote w:type="continuationSeparator" w:id="0">
    <w:p w14:paraId="149DCAED" w14:textId="77777777" w:rsidR="000A61A6" w:rsidRPr="005908BD" w:rsidRDefault="000A61A6">
      <w:r w:rsidRPr="005908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8CA359" w14:textId="77777777" w:rsidR="000A61A6" w:rsidRPr="005908BD" w:rsidRDefault="000A61A6">
      <w:r w:rsidRPr="005908BD">
        <w:separator/>
      </w:r>
    </w:p>
  </w:footnote>
  <w:footnote w:type="continuationSeparator" w:id="0">
    <w:p w14:paraId="79883402" w14:textId="77777777" w:rsidR="000A61A6" w:rsidRPr="005908BD" w:rsidRDefault="000A61A6">
      <w:r w:rsidRPr="005908BD">
        <w:continuationSeparator/>
      </w:r>
    </w:p>
  </w:footnote>
  <w:footnote w:id="1">
    <w:p w14:paraId="5AC2E618" w14:textId="311E0A5B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OВ L 216, 26.1.2018 г., стр. 4, ELI: </w:t>
      </w:r>
      <w:hyperlink r:id="rId1" w:tooltip="Предоставя достъп до този документ чрез неговия ELI URI." w:history="1">
        <w:r w:rsidRPr="005908BD">
          <w:rPr>
            <w:rStyle w:val="Hyperlink"/>
            <w:sz w:val="24"/>
            <w:lang w:val="bg-BG"/>
          </w:rPr>
          <w:t>http://data.europa.eu/eli/agree_internation/2018/1197/oj</w:t>
        </w:r>
      </w:hyperlink>
      <w:r w:rsidRPr="005908BD">
        <w:rPr>
          <w:sz w:val="24"/>
          <w:lang w:val="bg-BG"/>
        </w:rPr>
        <w:t>.</w:t>
      </w:r>
    </w:p>
  </w:footnote>
  <w:footnote w:id="2">
    <w:p w14:paraId="020206A2" w14:textId="1296589D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ОВ L 20, 23.1.2013 г., стр. 2.</w:t>
      </w:r>
    </w:p>
  </w:footnote>
  <w:footnote w:id="3">
    <w:p w14:paraId="22C51526" w14:textId="18FF4536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 xml:space="preserve">ОВ L 330, 27.12.2018 г., стр. 3, ELI: </w:t>
      </w:r>
      <w:hyperlink r:id="rId2" w:history="1">
        <w:r w:rsidRPr="005908BD">
          <w:rPr>
            <w:rStyle w:val="Hyperlink"/>
            <w:sz w:val="24"/>
            <w:lang w:val="bg-BG"/>
          </w:rPr>
          <w:t>http://data.europa.eu/eli/agree_internation/2018/1907/oj</w:t>
        </w:r>
      </w:hyperlink>
      <w:r w:rsidRPr="005908BD">
        <w:rPr>
          <w:sz w:val="24"/>
          <w:lang w:val="bg-BG"/>
        </w:rPr>
        <w:t>.</w:t>
      </w:r>
    </w:p>
  </w:footnote>
  <w:footnote w:id="4">
    <w:p w14:paraId="7DC9114B" w14:textId="1929D5E0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ОВ L 127, 14.5.2011 г., стр. 6, ELI: </w:t>
      </w:r>
      <w:hyperlink r:id="rId3" w:tooltip="Предоставя достъп до този документ чрез неговия ELI URI." w:history="1">
        <w:r w:rsidRPr="005908BD">
          <w:rPr>
            <w:rStyle w:val="Hyperlink"/>
            <w:sz w:val="24"/>
            <w:lang w:val="bg-BG"/>
          </w:rPr>
          <w:t>http://data.europa.eu/eli/agree_internation/2011/265/oj</w:t>
        </w:r>
      </w:hyperlink>
      <w:r w:rsidRPr="005908BD">
        <w:rPr>
          <w:sz w:val="24"/>
          <w:lang w:val="bg-BG"/>
        </w:rPr>
        <w:t>.</w:t>
      </w:r>
    </w:p>
  </w:footnote>
  <w:footnote w:id="5">
    <w:p w14:paraId="25A96DD2" w14:textId="6B6388E1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ОВ C 493, 27.12.2022 г., стр. 32.</w:t>
      </w:r>
    </w:p>
  </w:footnote>
  <w:footnote w:id="6">
    <w:p w14:paraId="6FE6E9A0" w14:textId="2AA862ED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 xml:space="preserve">ОВ C, C/2024/4167, 2.8.2024 г., ELI: </w:t>
      </w:r>
      <w:hyperlink r:id="rId4" w:history="1">
        <w:r w:rsidRPr="005908BD">
          <w:rPr>
            <w:rStyle w:val="Hyperlink"/>
            <w:sz w:val="24"/>
            <w:lang w:val="bg-BG"/>
          </w:rPr>
          <w:t>http://data.europa.eu/eli/C/2024/4167/oj</w:t>
        </w:r>
      </w:hyperlink>
      <w:r w:rsidRPr="005908BD">
        <w:rPr>
          <w:sz w:val="24"/>
          <w:lang w:val="bg-BG"/>
        </w:rPr>
        <w:t>.</w:t>
      </w:r>
    </w:p>
  </w:footnote>
  <w:footnote w:id="7">
    <w:p w14:paraId="089DA540" w14:textId="1398C0F6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Приети текстове, P10_TA(2026)0012.</w:t>
      </w:r>
    </w:p>
  </w:footnote>
  <w:footnote w:id="8">
    <w:p w14:paraId="22D9411F" w14:textId="412615AA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 xml:space="preserve">OВ C, C/2025/1809, 20.6.2025 г., ELI: </w:t>
      </w:r>
      <w:hyperlink r:id="rId5" w:history="1">
        <w:r w:rsidRPr="005908BD">
          <w:rPr>
            <w:rStyle w:val="Hyperlink"/>
            <w:sz w:val="24"/>
            <w:lang w:val="bg-BG"/>
          </w:rPr>
          <w:t>http://data.europa.eu/eli/C/2025/1809/oj</w:t>
        </w:r>
      </w:hyperlink>
      <w:r w:rsidRPr="005908BD">
        <w:rPr>
          <w:sz w:val="24"/>
          <w:lang w:val="bg-BG"/>
        </w:rPr>
        <w:t>.</w:t>
      </w:r>
    </w:p>
  </w:footnote>
  <w:footnote w:id="9">
    <w:p w14:paraId="03A416EF" w14:textId="196FF03F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 xml:space="preserve">ОВ C, C/2025/487, 29.1.2025 г., ELI: </w:t>
      </w:r>
      <w:hyperlink r:id="rId6" w:history="1">
        <w:r w:rsidRPr="005908BD">
          <w:rPr>
            <w:rStyle w:val="Hyperlink"/>
            <w:sz w:val="24"/>
            <w:lang w:val="bg-BG"/>
          </w:rPr>
          <w:t>http://data.europa.eu/eli/C/2025/487/oj</w:t>
        </w:r>
      </w:hyperlink>
      <w:r w:rsidRPr="005908BD">
        <w:rPr>
          <w:sz w:val="24"/>
          <w:lang w:val="bg-BG"/>
        </w:rPr>
        <w:t>.</w:t>
      </w:r>
    </w:p>
  </w:footnote>
  <w:footnote w:id="10">
    <w:p w14:paraId="49108C0A" w14:textId="69B67843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 xml:space="preserve">ОВ C, C/2024/4174, 2.8.2024 г., ELI: </w:t>
      </w:r>
      <w:hyperlink r:id="rId7" w:history="1">
        <w:r w:rsidRPr="005908BD">
          <w:rPr>
            <w:rStyle w:val="Hyperlink"/>
            <w:sz w:val="24"/>
            <w:lang w:val="bg-BG"/>
          </w:rPr>
          <w:t>http://data.europa.eu/eli/C/2024/4174/oj</w:t>
        </w:r>
      </w:hyperlink>
      <w:r w:rsidRPr="005908BD">
        <w:rPr>
          <w:sz w:val="24"/>
          <w:lang w:val="bg-BG"/>
        </w:rPr>
        <w:t>.</w:t>
      </w:r>
    </w:p>
  </w:footnote>
  <w:footnote w:id="11">
    <w:p w14:paraId="1AD944D6" w14:textId="1D067E1A" w:rsidR="004F7611" w:rsidRPr="005908BD" w:rsidRDefault="004F7611" w:rsidP="005908BD">
      <w:pPr>
        <w:pStyle w:val="FootnoteText"/>
        <w:ind w:left="567" w:hanging="567"/>
        <w:rPr>
          <w:sz w:val="24"/>
          <w:lang w:val="bg-BG"/>
        </w:rPr>
      </w:pPr>
      <w:r w:rsidRPr="005908BD">
        <w:rPr>
          <w:rStyle w:val="FootnoteReference"/>
          <w:sz w:val="24"/>
          <w:lang w:val="bg-BG"/>
        </w:rPr>
        <w:footnoteRef/>
      </w:r>
      <w:r w:rsidR="005908BD" w:rsidRPr="005908BD">
        <w:rPr>
          <w:sz w:val="24"/>
          <w:lang w:val="bg-BG"/>
        </w:rPr>
        <w:t xml:space="preserve"> </w:t>
      </w:r>
      <w:r w:rsidR="005908BD" w:rsidRPr="005908BD">
        <w:rPr>
          <w:sz w:val="24"/>
          <w:lang w:val="bg-BG"/>
        </w:rPr>
        <w:tab/>
      </w:r>
      <w:r w:rsidRPr="005908BD">
        <w:rPr>
          <w:sz w:val="24"/>
          <w:lang w:val="bg-BG"/>
        </w:rPr>
        <w:t>COM(2026)0100.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82489149">
    <w:abstractNumId w:val="9"/>
  </w:num>
  <w:num w:numId="2" w16cid:durableId="121313346">
    <w:abstractNumId w:val="9"/>
  </w:num>
  <w:num w:numId="3" w16cid:durableId="1873299022">
    <w:abstractNumId w:val="7"/>
  </w:num>
  <w:num w:numId="4" w16cid:durableId="1596551310">
    <w:abstractNumId w:val="7"/>
  </w:num>
  <w:num w:numId="5" w16cid:durableId="318578735">
    <w:abstractNumId w:val="6"/>
  </w:num>
  <w:num w:numId="6" w16cid:durableId="1238903565">
    <w:abstractNumId w:val="6"/>
  </w:num>
  <w:num w:numId="7" w16cid:durableId="1696348779">
    <w:abstractNumId w:val="5"/>
  </w:num>
  <w:num w:numId="8" w16cid:durableId="1477408442">
    <w:abstractNumId w:val="5"/>
  </w:num>
  <w:num w:numId="9" w16cid:durableId="649559500">
    <w:abstractNumId w:val="4"/>
  </w:num>
  <w:num w:numId="10" w16cid:durableId="1966499426">
    <w:abstractNumId w:val="4"/>
  </w:num>
  <w:num w:numId="11" w16cid:durableId="2129665474">
    <w:abstractNumId w:val="8"/>
  </w:num>
  <w:num w:numId="12" w16cid:durableId="1888762356">
    <w:abstractNumId w:val="8"/>
  </w:num>
  <w:num w:numId="13" w16cid:durableId="2047293452">
    <w:abstractNumId w:val="3"/>
  </w:num>
  <w:num w:numId="14" w16cid:durableId="1998918917">
    <w:abstractNumId w:val="3"/>
  </w:num>
  <w:num w:numId="15" w16cid:durableId="1280068418">
    <w:abstractNumId w:val="2"/>
  </w:num>
  <w:num w:numId="16" w16cid:durableId="271980895">
    <w:abstractNumId w:val="2"/>
  </w:num>
  <w:num w:numId="17" w16cid:durableId="1221283685">
    <w:abstractNumId w:val="1"/>
  </w:num>
  <w:num w:numId="18" w16cid:durableId="1306546462">
    <w:abstractNumId w:val="1"/>
  </w:num>
  <w:num w:numId="19" w16cid:durableId="843856287">
    <w:abstractNumId w:val="0"/>
  </w:num>
  <w:num w:numId="20" w16cid:durableId="220602387">
    <w:abstractNumId w:val="0"/>
  </w:num>
  <w:num w:numId="21" w16cid:durableId="1278677381">
    <w:abstractNumId w:val="9"/>
  </w:num>
  <w:num w:numId="22" w16cid:durableId="1787312988">
    <w:abstractNumId w:val="7"/>
  </w:num>
  <w:num w:numId="23" w16cid:durableId="1899240081">
    <w:abstractNumId w:val="6"/>
  </w:num>
  <w:num w:numId="24" w16cid:durableId="1194998799">
    <w:abstractNumId w:val="5"/>
  </w:num>
  <w:num w:numId="25" w16cid:durableId="1418284328">
    <w:abstractNumId w:val="4"/>
  </w:num>
  <w:num w:numId="26" w16cid:durableId="286859798">
    <w:abstractNumId w:val="8"/>
  </w:num>
  <w:num w:numId="27" w16cid:durableId="256985442">
    <w:abstractNumId w:val="3"/>
  </w:num>
  <w:num w:numId="28" w16cid:durableId="1380203458">
    <w:abstractNumId w:val="2"/>
  </w:num>
  <w:num w:numId="29" w16cid:durableId="2133086328">
    <w:abstractNumId w:val="1"/>
  </w:num>
  <w:num w:numId="30" w16cid:durableId="955017880">
    <w:abstractNumId w:val="0"/>
  </w:num>
  <w:num w:numId="31" w16cid:durableId="1119640533">
    <w:abstractNumId w:val="9"/>
  </w:num>
  <w:num w:numId="32" w16cid:durableId="156649544">
    <w:abstractNumId w:val="7"/>
  </w:num>
  <w:num w:numId="33" w16cid:durableId="648941128">
    <w:abstractNumId w:val="6"/>
  </w:num>
  <w:num w:numId="34" w16cid:durableId="2079589823">
    <w:abstractNumId w:val="5"/>
  </w:num>
  <w:num w:numId="35" w16cid:durableId="555434132">
    <w:abstractNumId w:val="4"/>
  </w:num>
  <w:num w:numId="36" w16cid:durableId="419954822">
    <w:abstractNumId w:val="8"/>
  </w:num>
  <w:num w:numId="37" w16cid:durableId="875654818">
    <w:abstractNumId w:val="3"/>
  </w:num>
  <w:num w:numId="38" w16cid:durableId="85275393">
    <w:abstractNumId w:val="2"/>
  </w:num>
  <w:num w:numId="39" w16cid:durableId="1101728122">
    <w:abstractNumId w:val="1"/>
  </w:num>
  <w:num w:numId="40" w16cid:durableId="1348411467">
    <w:abstractNumId w:val="0"/>
  </w:num>
  <w:num w:numId="41" w16cid:durableId="1905219976">
    <w:abstractNumId w:val="10"/>
  </w:num>
  <w:num w:numId="42" w16cid:durableId="1438602349">
    <w:abstractNumId w:val="10"/>
  </w:num>
  <w:num w:numId="43" w16cid:durableId="1297293264">
    <w:abstractNumId w:val="10"/>
  </w:num>
  <w:num w:numId="44" w16cid:durableId="18835139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9/2026"/>
    <w:docVar w:name="dvlangue" w:val="BG"/>
    <w:docVar w:name="dvnumam" w:val="39"/>
    <w:docVar w:name="dvpe" w:val="776.904"/>
    <w:docVar w:name="dvrapporteur" w:val="Докладчик: "/>
    <w:docVar w:name="dvtitre" w:val="Препоръка на Европейския парламент до Европейския съвет и до Съвета относно препоръката на Европейския парламент към Съвета, Комисията и заместник-председателя на Комисията/върховен представител на Съюза по въпросите на външните работи и политиката на сигурност относно променящата се геополитическа обстановка в Източна Азия и необходимостта от по-тясно сътрудничество с единомислещи партньори в региона(2025/2169(INI))"/>
  </w:docVars>
  <w:rsids>
    <w:rsidRoot w:val="000A61A6"/>
    <w:rsid w:val="00002272"/>
    <w:rsid w:val="00064002"/>
    <w:rsid w:val="000677B9"/>
    <w:rsid w:val="000831BA"/>
    <w:rsid w:val="000A42CC"/>
    <w:rsid w:val="000A61A6"/>
    <w:rsid w:val="000C5F0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3DF8"/>
    <w:rsid w:val="004867E3"/>
    <w:rsid w:val="00494A28"/>
    <w:rsid w:val="004969D7"/>
    <w:rsid w:val="004B663F"/>
    <w:rsid w:val="004C0004"/>
    <w:rsid w:val="004C5D52"/>
    <w:rsid w:val="004F7611"/>
    <w:rsid w:val="0050519A"/>
    <w:rsid w:val="005072A1"/>
    <w:rsid w:val="00514517"/>
    <w:rsid w:val="00545827"/>
    <w:rsid w:val="00560270"/>
    <w:rsid w:val="005908BD"/>
    <w:rsid w:val="005C2568"/>
    <w:rsid w:val="005F1B17"/>
    <w:rsid w:val="006037C0"/>
    <w:rsid w:val="00646895"/>
    <w:rsid w:val="006631B6"/>
    <w:rsid w:val="00680577"/>
    <w:rsid w:val="006E5AD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22A9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878A3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1524F5"/>
  <w15:chartTrackingRefBased/>
  <w15:docId w15:val="{026673EC-382A-4FA1-8EC1-CA69C5B56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F7611"/>
    <w:pPr>
      <w:spacing w:before="480" w:after="240"/>
    </w:pPr>
  </w:style>
  <w:style w:type="paragraph" w:customStyle="1" w:styleId="NormalHanging12a">
    <w:name w:val="NormalHanging12a"/>
    <w:basedOn w:val="Normal"/>
    <w:rsid w:val="004F7611"/>
    <w:pPr>
      <w:spacing w:after="240"/>
      <w:ind w:left="567" w:hanging="567"/>
    </w:pPr>
  </w:style>
  <w:style w:type="paragraph" w:customStyle="1" w:styleId="NormalHangingLeft12a">
    <w:name w:val="NormalHangingLeft12a"/>
    <w:basedOn w:val="Normal"/>
    <w:rsid w:val="004F7611"/>
    <w:pPr>
      <w:spacing w:after="240"/>
      <w:ind w:left="1134" w:hanging="567"/>
    </w:pPr>
  </w:style>
  <w:style w:type="character" w:styleId="Hyperlink">
    <w:name w:val="Hyperlink"/>
    <w:basedOn w:val="DefaultParagraphFont"/>
    <w:rsid w:val="004F761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73DF8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agree_internation/2011/265/oj" TargetMode="External"/><Relationship Id="rId7" Type="http://schemas.openxmlformats.org/officeDocument/2006/relationships/hyperlink" Target="http://data.europa.eu/eli/C/2024/4174/oj" TargetMode="External"/><Relationship Id="rId2" Type="http://schemas.openxmlformats.org/officeDocument/2006/relationships/hyperlink" Target="http://data.europa.eu/eli/agree_internation/2018/1907/oj" TargetMode="External"/><Relationship Id="rId1" Type="http://schemas.openxmlformats.org/officeDocument/2006/relationships/hyperlink" Target="http://data.europa.eu/eli/agree_internation/2018/1197/oj" TargetMode="External"/><Relationship Id="rId6" Type="http://schemas.openxmlformats.org/officeDocument/2006/relationships/hyperlink" Target="http://data.europa.eu/eli/C/2025/487/oj" TargetMode="External"/><Relationship Id="rId5" Type="http://schemas.openxmlformats.org/officeDocument/2006/relationships/hyperlink" Target="http://data.europa.eu/eli/C/2025/1809/oj" TargetMode="External"/><Relationship Id="rId4" Type="http://schemas.openxmlformats.org/officeDocument/2006/relationships/hyperlink" Target="http://data.europa.eu/eli/C/2024/416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18</Pages>
  <Words>7060</Words>
  <Characters>43397</Characters>
  <Application>Microsoft Office Word</Application>
  <DocSecurity>0</DocSecurity>
  <Lines>361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50357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MINKOVA Maria</cp:lastModifiedBy>
  <cp:revision>2</cp:revision>
  <cp:lastPrinted>2004-11-19T15:42:00Z</cp:lastPrinted>
  <dcterms:created xsi:type="dcterms:W3CDTF">2026-07-07T13:15:00Z</dcterms:created>
  <dcterms:modified xsi:type="dcterms:W3CDTF">2026-07-07T13:15:00Z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A10-0189/2026</vt:lpwstr>
  </property>
  <property fmtid="{D5CDD505-2E9C-101B-9397-08002B2CF9AE}" pid="4" name="&lt;Type&gt;">
    <vt:lpwstr>RR</vt:lpwstr>
  </property>
</Properties>
</file>