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5D1A" w14:paraId="3C2113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2B74FD" w14:textId="77777777" w:rsidR="00751A4A" w:rsidRPr="00275D1A" w:rsidRDefault="00461BE6" w:rsidP="0010095E">
            <w:pPr>
              <w:pStyle w:val="EPName"/>
            </w:pPr>
            <w:r w:rsidRPr="00275D1A">
              <w:t>Evropský parlament</w:t>
            </w:r>
          </w:p>
          <w:p w14:paraId="7B33C235" w14:textId="77777777" w:rsidR="00751A4A" w:rsidRPr="00275D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5D1A">
              <w:t>2024</w:t>
            </w:r>
            <w:r w:rsidR="00817416" w:rsidRPr="00275D1A">
              <w:t>-202</w:t>
            </w:r>
            <w:r w:rsidRPr="00275D1A">
              <w:t>9</w:t>
            </w:r>
          </w:p>
        </w:tc>
        <w:tc>
          <w:tcPr>
            <w:tcW w:w="2268" w:type="dxa"/>
            <w:shd w:val="clear" w:color="auto" w:fill="auto"/>
          </w:tcPr>
          <w:p w14:paraId="0BAE6338" w14:textId="77777777" w:rsidR="00751A4A" w:rsidRPr="00275D1A" w:rsidRDefault="00187494" w:rsidP="0010095E">
            <w:pPr>
              <w:pStyle w:val="EPLogo"/>
            </w:pPr>
            <w:r w:rsidRPr="00275D1A">
              <w:rPr>
                <w:noProof/>
                <w:lang w:eastAsia="ja-JP"/>
              </w:rPr>
              <w:drawing>
                <wp:inline distT="0" distB="0" distL="0" distR="0" wp14:anchorId="2D51D069" wp14:editId="36B508F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E358B8" w14:textId="77777777" w:rsidR="00D058B8" w:rsidRPr="00275D1A" w:rsidRDefault="00D058B8" w:rsidP="004C5D52">
      <w:pPr>
        <w:pStyle w:val="LineTop"/>
      </w:pPr>
    </w:p>
    <w:p w14:paraId="3BCF63A2" w14:textId="77777777" w:rsidR="00680577" w:rsidRPr="00275D1A" w:rsidRDefault="00461BE6" w:rsidP="00680577">
      <w:pPr>
        <w:pStyle w:val="EPBodyTA1"/>
      </w:pPr>
      <w:r w:rsidRPr="00275D1A">
        <w:t>PŘIJATÉ TEXTY</w:t>
      </w:r>
    </w:p>
    <w:p w14:paraId="1E2E210F" w14:textId="77777777" w:rsidR="00D058B8" w:rsidRPr="00275D1A" w:rsidRDefault="00D058B8" w:rsidP="00D058B8">
      <w:pPr>
        <w:pStyle w:val="LineBottom"/>
      </w:pPr>
    </w:p>
    <w:p w14:paraId="6AB702CE" w14:textId="5C576019" w:rsidR="00461BE6" w:rsidRPr="00275D1A" w:rsidRDefault="00461BE6" w:rsidP="00461BE6">
      <w:pPr>
        <w:pStyle w:val="ATHeading1"/>
      </w:pPr>
      <w:bookmarkStart w:id="0" w:name="TANumber"/>
      <w:r w:rsidRPr="00275D1A">
        <w:t>P10_</w:t>
      </w:r>
      <w:proofErr w:type="gramStart"/>
      <w:r w:rsidRPr="00275D1A">
        <w:t>TA(</w:t>
      </w:r>
      <w:proofErr w:type="gramEnd"/>
      <w:r w:rsidRPr="00275D1A">
        <w:t>2026)0</w:t>
      </w:r>
      <w:r w:rsidR="00BD0609">
        <w:t>246</w:t>
      </w:r>
      <w:bookmarkEnd w:id="0"/>
    </w:p>
    <w:p w14:paraId="09F3882F" w14:textId="77777777" w:rsidR="00461BE6" w:rsidRPr="00275D1A" w:rsidRDefault="00461BE6" w:rsidP="00461BE6">
      <w:pPr>
        <w:pStyle w:val="ATHeading2"/>
      </w:pPr>
      <w:bookmarkStart w:id="1" w:name="title"/>
      <w:r w:rsidRPr="00275D1A">
        <w:t>Doporučení týkající se měnící se geopolitické situace ve východní Asii a potřeby užší spolupráce s podobně smýšlejícími partnery v regionu</w:t>
      </w:r>
      <w:bookmarkEnd w:id="1"/>
    </w:p>
    <w:p w14:paraId="5EBC2367" w14:textId="77777777" w:rsidR="00461BE6" w:rsidRPr="00275D1A" w:rsidRDefault="00461BE6" w:rsidP="00461BE6">
      <w:pPr>
        <w:rPr>
          <w:i/>
          <w:vanish/>
        </w:rPr>
      </w:pPr>
      <w:r w:rsidRPr="00275D1A">
        <w:rPr>
          <w:i/>
        </w:rPr>
        <w:fldChar w:fldCharType="begin"/>
      </w:r>
      <w:r w:rsidRPr="00275D1A">
        <w:rPr>
          <w:i/>
        </w:rPr>
        <w:instrText xml:space="preserve"> TC"(</w:instrText>
      </w:r>
      <w:bookmarkStart w:id="2" w:name="DocNumber"/>
      <w:r w:rsidRPr="00275D1A">
        <w:rPr>
          <w:i/>
        </w:rPr>
        <w:instrText>A10-0189/2026</w:instrText>
      </w:r>
      <w:bookmarkEnd w:id="2"/>
      <w:r w:rsidRPr="00275D1A">
        <w:rPr>
          <w:i/>
        </w:rPr>
        <w:instrText xml:space="preserve"> - Zpravodaj: Adam </w:instrText>
      </w:r>
      <w:proofErr w:type="spellStart"/>
      <w:r w:rsidRPr="00275D1A">
        <w:rPr>
          <w:i/>
        </w:rPr>
        <w:instrText>Bielan</w:instrText>
      </w:r>
      <w:proofErr w:type="spellEnd"/>
      <w:r w:rsidRPr="00275D1A">
        <w:rPr>
          <w:i/>
        </w:rPr>
        <w:instrText xml:space="preserve">)"\l3 \n&gt; \* MERGEFORMAT </w:instrText>
      </w:r>
      <w:r w:rsidRPr="00275D1A">
        <w:rPr>
          <w:i/>
        </w:rPr>
        <w:fldChar w:fldCharType="end"/>
      </w:r>
    </w:p>
    <w:p w14:paraId="72A70653" w14:textId="77777777" w:rsidR="00461BE6" w:rsidRPr="00275D1A" w:rsidRDefault="00461BE6" w:rsidP="00461BE6">
      <w:pPr>
        <w:rPr>
          <w:vanish/>
        </w:rPr>
      </w:pPr>
      <w:bookmarkStart w:id="3" w:name="Commission"/>
      <w:r w:rsidRPr="00275D1A">
        <w:rPr>
          <w:vanish/>
        </w:rPr>
        <w:t>Výbor pro zahraniční věci</w:t>
      </w:r>
      <w:bookmarkEnd w:id="3"/>
    </w:p>
    <w:p w14:paraId="0CAA8B2D" w14:textId="77777777" w:rsidR="00461BE6" w:rsidRPr="00275D1A" w:rsidRDefault="00461BE6" w:rsidP="00461BE6">
      <w:pPr>
        <w:rPr>
          <w:vanish/>
        </w:rPr>
      </w:pPr>
      <w:bookmarkStart w:id="4" w:name="PE"/>
      <w:r w:rsidRPr="00275D1A">
        <w:rPr>
          <w:vanish/>
        </w:rPr>
        <w:t>PE776.904</w:t>
      </w:r>
      <w:bookmarkEnd w:id="4"/>
    </w:p>
    <w:p w14:paraId="05A9FBEB" w14:textId="0FB43ADB" w:rsidR="00461BE6" w:rsidRPr="00275D1A" w:rsidRDefault="00650087" w:rsidP="00461BE6">
      <w:pPr>
        <w:pStyle w:val="ATHeading3"/>
      </w:pPr>
      <w:bookmarkStart w:id="5" w:name="Sujet"/>
      <w:r>
        <w:t>Doporučení</w:t>
      </w:r>
      <w:r w:rsidRPr="00275D1A">
        <w:t xml:space="preserve"> </w:t>
      </w:r>
      <w:r w:rsidR="00461BE6" w:rsidRPr="00275D1A">
        <w:t>Evropského parlamentu ze dne</w:t>
      </w:r>
      <w:r w:rsidR="006F3889">
        <w:t xml:space="preserve"> </w:t>
      </w:r>
      <w:r w:rsidR="00691458">
        <w:t>7</w:t>
      </w:r>
      <w:r w:rsidR="006F3889">
        <w:t>. července</w:t>
      </w:r>
      <w:r w:rsidR="00461BE6" w:rsidRPr="00275D1A">
        <w:t xml:space="preserve"> 2026 Radě, Komisi a místopředsedkyni Komise, vysoké představitelce Unie pro zahraniční věci a bezpečnostní politiku týkající se měnící se geopolitické situace ve východní Asii a potřeby užší spolupráce s podobně smýšlejícími partnery v regionu</w:t>
      </w:r>
      <w:bookmarkEnd w:id="5"/>
      <w:r w:rsidR="00461BE6" w:rsidRPr="00275D1A">
        <w:t xml:space="preserve"> </w:t>
      </w:r>
      <w:bookmarkStart w:id="6" w:name="References"/>
      <w:r w:rsidR="00461BE6" w:rsidRPr="00275D1A">
        <w:t>(2025/2169(INI))</w:t>
      </w:r>
      <w:bookmarkEnd w:id="6"/>
    </w:p>
    <w:p w14:paraId="126877F9" w14:textId="77777777" w:rsidR="00B42956" w:rsidRPr="00275D1A" w:rsidRDefault="00B42956" w:rsidP="00B42956">
      <w:pPr>
        <w:pStyle w:val="EPComma"/>
      </w:pPr>
      <w:r w:rsidRPr="00275D1A">
        <w:rPr>
          <w:i/>
        </w:rPr>
        <w:t>Evropský parlament</w:t>
      </w:r>
      <w:r w:rsidRPr="00275D1A">
        <w:t>,</w:t>
      </w:r>
    </w:p>
    <w:p w14:paraId="4CCF4C7F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hlavu V Smlouvy o Evropské unii,</w:t>
      </w:r>
    </w:p>
    <w:p w14:paraId="47B67117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společné sdělení Komise a vysokého představitele Unie pro zahraniční věci a bezpečnostní politiku ze dne 16. září 2021 nazvané „Strategie EU pro spolupráci v indicko-tichomořském regionu“ (</w:t>
      </w:r>
      <w:proofErr w:type="gramStart"/>
      <w:r w:rsidRPr="00275D1A">
        <w:t>JOIN(</w:t>
      </w:r>
      <w:proofErr w:type="gramEnd"/>
      <w:r w:rsidRPr="00275D1A">
        <w:t>2021)0024),</w:t>
      </w:r>
    </w:p>
    <w:p w14:paraId="3D1D47BD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Strategický kompas pro bezpečnost a obranu schválený Radou dne 21. března 2022, který zdůrazňuje úlohu partnerství pro bezpečnost a odolnost Unie, a to i v indicko-tichomořském regionu,</w:t>
      </w:r>
    </w:p>
    <w:p w14:paraId="2755E2F8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  <w:t>s ohledem na společné sdělení Komise a vysokého představitele Unie pro zahraniční věci a bezpečnostní politiku ze dne 1. prosince 2021 nazvané „</w:t>
      </w:r>
      <w:proofErr w:type="spellStart"/>
      <w:r w:rsidRPr="00275D1A">
        <w:t>Global</w:t>
      </w:r>
      <w:proofErr w:type="spellEnd"/>
      <w:r w:rsidRPr="00275D1A">
        <w:t xml:space="preserve"> </w:t>
      </w:r>
      <w:proofErr w:type="spellStart"/>
      <w:r w:rsidRPr="00275D1A">
        <w:t>Gateway</w:t>
      </w:r>
      <w:proofErr w:type="spellEnd"/>
      <w:r w:rsidRPr="00275D1A">
        <w:t>“ (</w:t>
      </w:r>
      <w:proofErr w:type="gramStart"/>
      <w:r w:rsidRPr="00275D1A">
        <w:t>JOIN(</w:t>
      </w:r>
      <w:proofErr w:type="gramEnd"/>
      <w:r w:rsidRPr="00275D1A">
        <w:t>2021)0030),</w:t>
      </w:r>
    </w:p>
    <w:p w14:paraId="24F11E9C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  <w:t xml:space="preserve">s ohledem na společné sdělení Komise a vysokého představitele Unie pro zahraniční věci a bezpečnostní politiku ze dne 20. června 2023 nazvané „Evropská strategie hospodářské bezpečnosti“, </w:t>
      </w:r>
    </w:p>
    <w:p w14:paraId="51300A55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  <w:t>s ohledem na společné sdělení Komise a vysoké představitelky Unie pro zahraniční věci a bezpečnostní politiku ze dne 12. listopadu 2025 nazvané „Evropský štít pro demokracii: podpora silných a odolných demokracií“ (</w:t>
      </w:r>
      <w:proofErr w:type="gramStart"/>
      <w:r w:rsidRPr="00275D1A">
        <w:t>JOIN(</w:t>
      </w:r>
      <w:proofErr w:type="gramEnd"/>
      <w:r w:rsidRPr="00275D1A">
        <w:t>2025)0791),</w:t>
      </w:r>
    </w:p>
    <w:p w14:paraId="3B09398B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  <w:t>s ohledem na společné sdělení Komise a vysokého představitele Unie pro zahraniční věci a bezpečnostní politiku ze dne 16. prosince 2020 nazvané „Strategie kybernetické bezpečnosti EU pro digitální dekádu“ (</w:t>
      </w:r>
      <w:proofErr w:type="gramStart"/>
      <w:r w:rsidRPr="00275D1A">
        <w:t>JOIN(</w:t>
      </w:r>
      <w:proofErr w:type="gramEnd"/>
      <w:r w:rsidRPr="00275D1A">
        <w:t>2020)0018),</w:t>
      </w:r>
    </w:p>
    <w:p w14:paraId="6BF15B17" w14:textId="77777777" w:rsidR="00B42956" w:rsidRPr="00275D1A" w:rsidRDefault="00B42956" w:rsidP="00B42956">
      <w:pPr>
        <w:pStyle w:val="NormalHanging12a"/>
      </w:pPr>
      <w:r w:rsidRPr="00275D1A">
        <w:lastRenderedPageBreak/>
        <w:t>–</w:t>
      </w:r>
      <w:r w:rsidRPr="00275D1A">
        <w:tab/>
        <w:t>s ohledem na partnerství Evropské unie a Japonska v oblasti bezpečnosti a obrany ze dne 1. listopadu 2024,</w:t>
      </w:r>
    </w:p>
    <w:p w14:paraId="25407A24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partnerství Evropské unie a Korejské republiky v oblasti bezpečnosti a obrany ze dne 4. listopadu 2024,</w:t>
      </w:r>
    </w:p>
    <w:p w14:paraId="359A896D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Dohodu o strategickém partnerství mezi Evropskou unií a jejími členskými státy na jedné straně a Japonskem na straně druhé</w:t>
      </w:r>
      <w:r w:rsidRPr="00275D1A">
        <w:rPr>
          <w:rStyle w:val="FootnoteReference"/>
        </w:rPr>
        <w:footnoteReference w:id="1"/>
      </w:r>
      <w:r w:rsidRPr="00275D1A">
        <w:t>,</w:t>
      </w:r>
    </w:p>
    <w:p w14:paraId="0496E5FB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Rámcovou dohodu mezi Evropskou unií a jejími členskými státy na jedné straně a Korejskou republikou na straně druhé</w:t>
      </w:r>
      <w:r w:rsidRPr="00275D1A">
        <w:rPr>
          <w:rStyle w:val="FootnoteReference"/>
        </w:rPr>
        <w:footnoteReference w:id="2"/>
      </w:r>
      <w:r w:rsidRPr="00275D1A">
        <w:t>,</w:t>
      </w:r>
    </w:p>
    <w:p w14:paraId="2C017752" w14:textId="77777777" w:rsidR="00B42956" w:rsidRPr="00275D1A" w:rsidRDefault="00B42956" w:rsidP="00B42956">
      <w:pPr>
        <w:pStyle w:val="NormalHanging12a"/>
        <w:rPr>
          <w:b/>
          <w:i/>
        </w:rPr>
      </w:pPr>
      <w:r w:rsidRPr="00275D1A">
        <w:t>–</w:t>
      </w:r>
      <w:r w:rsidRPr="00275D1A">
        <w:tab/>
        <w:t>s ohledem na dohodu mezi Evropskou unií a Japonskem o hospodářském partnerství</w:t>
      </w:r>
      <w:r w:rsidRPr="00275D1A">
        <w:rPr>
          <w:rStyle w:val="FootnoteReference"/>
          <w:bCs/>
          <w:iCs/>
        </w:rPr>
        <w:footnoteReference w:id="3"/>
      </w:r>
      <w:r w:rsidRPr="00275D1A">
        <w:t>,</w:t>
      </w:r>
    </w:p>
    <w:p w14:paraId="4F4B53EA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  <w:t>s ohledem na Dohodu o volném obchodu mezi Evropskou unií a jejími členskými státy na straně jedné a Korejskou republikou na straně druhé</w:t>
      </w:r>
      <w:r w:rsidRPr="00275D1A">
        <w:rPr>
          <w:rStyle w:val="FootnoteReference"/>
          <w:bCs/>
          <w:iCs/>
        </w:rPr>
        <w:footnoteReference w:id="4"/>
      </w:r>
      <w:r w:rsidRPr="00275D1A">
        <w:t>,</w:t>
      </w:r>
    </w:p>
    <w:p w14:paraId="17DF0AA8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  <w:t>s ohledem na Úmluvu OSN o mořském právu,</w:t>
      </w:r>
    </w:p>
    <w:p w14:paraId="62A88FEB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společné prohlášení přijaté na 30. summitu EU a Japonska, který se konal v Tokiu dne 23. července 2025,</w:t>
      </w:r>
    </w:p>
    <w:p w14:paraId="77A60FBF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42. meziparlamentní setkání EU a Japonska, které se konalo v Tokiu ve dnech 28. a 29. května 2025,</w:t>
      </w:r>
    </w:p>
    <w:p w14:paraId="38B70960" w14:textId="4494F2B1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</w:r>
      <w:r w:rsidR="00BD0609" w:rsidRPr="00BD0609">
        <w:t xml:space="preserve">s ohledem na třetí strategický dialog EU a Japonska, který se uskutečnil ve </w:t>
      </w:r>
      <w:proofErr w:type="spellStart"/>
      <w:r w:rsidR="00BD0609" w:rsidRPr="00BD0609">
        <w:t>Vaux</w:t>
      </w:r>
      <w:proofErr w:type="spellEnd"/>
      <w:r w:rsidR="00BD0609" w:rsidRPr="00BD0609">
        <w:t>-de-</w:t>
      </w:r>
      <w:proofErr w:type="spellStart"/>
      <w:r w:rsidR="00BD0609" w:rsidRPr="00BD0609">
        <w:t>Cernay</w:t>
      </w:r>
      <w:proofErr w:type="spellEnd"/>
      <w:r w:rsidR="00BD0609" w:rsidRPr="00BD0609">
        <w:t xml:space="preserve"> dne 26. března </w:t>
      </w:r>
      <w:proofErr w:type="gramStart"/>
      <w:r w:rsidR="00BD0609" w:rsidRPr="00BD0609">
        <w:t>2026,</w:t>
      </w:r>
      <w:r w:rsidRPr="00275D1A">
        <w:t>,</w:t>
      </w:r>
      <w:proofErr w:type="gramEnd"/>
      <w:r w:rsidRPr="00275D1A">
        <w:t xml:space="preserve"> </w:t>
      </w:r>
    </w:p>
    <w:p w14:paraId="60EF6C6F" w14:textId="212F3743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</w:r>
      <w:r w:rsidR="00BD0609" w:rsidRPr="00BD0609">
        <w:t>s ohledem na 9. dialog EU a Japonska o digitální politice, který se uskutečnil v Tokiu dne 25. března 2026,</w:t>
      </w:r>
    </w:p>
    <w:p w14:paraId="5C1FBFE1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  <w:t>s ohledem na prohlášení o záměru podepsané EU a Japonskem dne 13. března 2025 o posílení spolupráce v oblasti kvantové vědy a technologie s cílem zintenzivnit společný výzkum, výměny a rozvoj ekosystému;</w:t>
      </w:r>
    </w:p>
    <w:p w14:paraId="4911079C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  <w:t>s ohledem na závazek posílit spolupráci v oblasti kritických surovin, který EU, Japonsko a Spojené státy přijaly dne 4. února 2026 na zasedání ministrů věnovaném kriticky významným nerostným surovinám,</w:t>
      </w:r>
    </w:p>
    <w:p w14:paraId="2D5DC297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  <w:t>s ohledem na zelenou alianci EU a Japonska uzavřenou dne 27. května 2021,</w:t>
      </w:r>
    </w:p>
    <w:p w14:paraId="00FEE94F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společné prohlášení přijaté na 11. summitu EU a Korejské republiky, který se konal v Bruselu dne 10. června 2026,</w:t>
      </w:r>
    </w:p>
    <w:p w14:paraId="4E4935FE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 xml:space="preserve">s ohledem na 23. meziparlamentní setkání EU a Korejské republiky, které se konalo </w:t>
      </w:r>
      <w:r w:rsidRPr="00275D1A">
        <w:lastRenderedPageBreak/>
        <w:t>v Bruselu dne 18. listopadu 2025,</w:t>
      </w:r>
    </w:p>
    <w:p w14:paraId="69A93740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  <w:t>s ohledem na druhý strategický dialog EU a Korejské republiky, který se uskutečnil v Bruselu dne 22. ledna 2026,</w:t>
      </w:r>
    </w:p>
    <w:p w14:paraId="1BB97FB9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  <w:t>s ohledem na zelené partnerství EU a Korejské republiky ze dne 22. května 2023,</w:t>
      </w:r>
    </w:p>
    <w:p w14:paraId="36659E25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4. ministerské fórum EU</w:t>
      </w:r>
      <w:r w:rsidRPr="00275D1A">
        <w:noBreakHyphen/>
        <w:t xml:space="preserve"> a indicko</w:t>
      </w:r>
      <w:r w:rsidRPr="00275D1A">
        <w:noBreakHyphen/>
        <w:t>-tichomořského regionu, které se konalo v Bruselu ve dnech 20. a 21. listopadu 2025,</w:t>
      </w:r>
    </w:p>
    <w:p w14:paraId="7370C549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  <w:t>s ohledem na prohlášení delegace Výboru pro zahraniční věci po nedávné návštěvě v Korejské republice a Japonsku uskutečněné ve dnech 31. března až 2. dubna 2026,</w:t>
      </w:r>
    </w:p>
    <w:p w14:paraId="484D652D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své usnesení ze dne 7. června 2022 o EU a bezpečnostních výzvách v indicko-tichomořském regionu</w:t>
      </w:r>
      <w:r w:rsidRPr="00275D1A">
        <w:rPr>
          <w:rStyle w:val="FootnoteReference"/>
        </w:rPr>
        <w:footnoteReference w:id="5"/>
      </w:r>
      <w:r w:rsidRPr="00275D1A">
        <w:t>,</w:t>
      </w:r>
    </w:p>
    <w:p w14:paraId="5C2F394D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své usnesení ze dne 13. prosince 2023 o vztazích mezi EU a Japonskem</w:t>
      </w:r>
      <w:r w:rsidRPr="00275D1A">
        <w:rPr>
          <w:rStyle w:val="FootnoteReference"/>
        </w:rPr>
        <w:footnoteReference w:id="6"/>
      </w:r>
      <w:r w:rsidRPr="00275D1A">
        <w:t>,</w:t>
      </w:r>
    </w:p>
    <w:p w14:paraId="1AB62387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své usnesení ze dne 21. ledna 2026 o provádění společné zahraniční a bezpečnostní politiky – výroční zpráva za rok 2025</w:t>
      </w:r>
      <w:r w:rsidRPr="00275D1A">
        <w:rPr>
          <w:rStyle w:val="FootnoteReference"/>
        </w:rPr>
        <w:footnoteReference w:id="7"/>
      </w:r>
      <w:r w:rsidRPr="00275D1A">
        <w:t>,</w:t>
      </w:r>
    </w:p>
    <w:p w14:paraId="587DC2BD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  <w:t>s ohledem na své usnesení ze dne 28. listopadu 2024 o posílení neochvějné podpory EU Ukrajině proti válečné agresi Ruska a rostoucí vojenské spolupráci mezi Ruskem a Severní Koreou</w:t>
      </w:r>
      <w:r w:rsidRPr="00275D1A">
        <w:rPr>
          <w:rStyle w:val="FootnoteReference"/>
          <w:bCs/>
          <w:iCs/>
        </w:rPr>
        <w:footnoteReference w:id="8"/>
      </w:r>
      <w:r w:rsidRPr="00275D1A">
        <w:t>,</w:t>
      </w:r>
    </w:p>
    <w:p w14:paraId="6BA4BE8C" w14:textId="77777777" w:rsidR="00B42956" w:rsidRPr="00275D1A" w:rsidRDefault="00B42956" w:rsidP="00B42956">
      <w:pPr>
        <w:pStyle w:val="NormalHanging12a"/>
        <w:rPr>
          <w:b/>
          <w:i/>
        </w:rPr>
      </w:pPr>
      <w:r w:rsidRPr="00275D1A">
        <w:t>–</w:t>
      </w:r>
      <w:r w:rsidRPr="00275D1A">
        <w:tab/>
        <w:t>s ohledem na své usnesení ze dne 24. října 2024 o nesprávné interpretaci rezoluce OSN 2758 ze strany Čínské lidové republiky a pokračujících vojenských provokacích Číny v okolí Tchaj-wanu</w:t>
      </w:r>
      <w:r w:rsidRPr="00275D1A">
        <w:rPr>
          <w:rStyle w:val="FootnoteReference"/>
          <w:bCs/>
          <w:iCs/>
        </w:rPr>
        <w:footnoteReference w:id="9"/>
      </w:r>
      <w:r w:rsidRPr="00275D1A">
        <w:t>,</w:t>
      </w:r>
    </w:p>
    <w:p w14:paraId="2A2F04A9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–</w:t>
      </w:r>
      <w:r w:rsidRPr="00275D1A">
        <w:tab/>
        <w:t>s ohledem na své usnesení ze dne 13. prosince 2023 o obchodních a investičních vztazích mezi EU a Tchaj-wanem</w:t>
      </w:r>
      <w:r w:rsidRPr="00275D1A">
        <w:rPr>
          <w:rStyle w:val="FootnoteReference"/>
          <w:bCs/>
          <w:iCs/>
        </w:rPr>
        <w:footnoteReference w:id="10"/>
      </w:r>
      <w:r w:rsidRPr="00275D1A">
        <w:t xml:space="preserve">, </w:t>
      </w:r>
    </w:p>
    <w:p w14:paraId="68D28E59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své postoje a doporučení týkající se spolupráce v indicko-tichomořském regionu, včetně výzev ke spolupráci s podobně smýšlejícími partnery na dodržování svobody plavby a stability v Tchajwanském průlivu a ve Východočínském a Jihočínském moři,</w:t>
      </w:r>
    </w:p>
    <w:p w14:paraId="70ABED0E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článek 121 jednacího řádu,</w:t>
      </w:r>
    </w:p>
    <w:p w14:paraId="0EB2348A" w14:textId="77777777" w:rsidR="00B42956" w:rsidRPr="00275D1A" w:rsidRDefault="00B42956" w:rsidP="00B42956">
      <w:pPr>
        <w:pStyle w:val="NormalHanging12a"/>
      </w:pPr>
      <w:r w:rsidRPr="00275D1A">
        <w:t>–</w:t>
      </w:r>
      <w:r w:rsidRPr="00275D1A">
        <w:tab/>
        <w:t>s ohledem na zprávu Výboru pro zahraniční věci (A10-0189/2026),</w:t>
      </w:r>
    </w:p>
    <w:p w14:paraId="65964EBF" w14:textId="77777777" w:rsidR="00B42956" w:rsidRPr="00275D1A" w:rsidRDefault="00B42956" w:rsidP="00B42956">
      <w:pPr>
        <w:pStyle w:val="NormalHanging12a"/>
      </w:pPr>
      <w:r w:rsidRPr="00275D1A">
        <w:t>A.</w:t>
      </w:r>
      <w:r w:rsidRPr="00275D1A">
        <w:tab/>
        <w:t xml:space="preserve">vzhledem k tomu, že probíhající geopolitické změny a rostoucí strategický význam indicko-tichomořského regionu mění světový řád; vzhledem k tomu, že východní Asie a širší indicko-tichomořský region mají klíčový význam pro světovou prosperitu a bezpečnost, energetickou bezpečnost a odolnost demokracie, neboť se zde nacházejí </w:t>
      </w:r>
      <w:r w:rsidRPr="00275D1A">
        <w:lastRenderedPageBreak/>
        <w:t xml:space="preserve">velmi důležité námořní trasy, </w:t>
      </w:r>
      <w:proofErr w:type="spellStart"/>
      <w:r w:rsidRPr="00275D1A">
        <w:t>ystémy</w:t>
      </w:r>
      <w:proofErr w:type="spellEnd"/>
      <w:r w:rsidRPr="00275D1A">
        <w:t xml:space="preserve"> s pokročilými technologiemi, významné obchodní trasy, více než polovina světové populace a kriticky významné dodavatelské řetězce pro hospodářskou konkurenceschopnost EU, dlouhodobou odolnost strategických průmyslových odvětví EU a její geopolitické zájmy;</w:t>
      </w:r>
    </w:p>
    <w:p w14:paraId="5257F391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B.</w:t>
      </w:r>
      <w:r w:rsidRPr="00275D1A">
        <w:tab/>
        <w:t xml:space="preserve">vzhledem k tomu, že nedílnou součástí obchodní, zahraniční a bezpečnostní politiky je hospodářská bezpečnost, včetně odolných a diverzifikovaných dodavatelských řetězců pro kritické suroviny, polovodiče a čisté technologie; vzhledem k tomu, že snižování strategických závislostí a zvyšování odolnosti a diverzifikace dodavatelských řetězců v kritických odvětvích má zásadní význam pro hospodářskou bezpečnost a konkurenceschopnost EU v souladu s unijní strategií pro snižování rizika, přičemž je třeba zabránit zbytečnému oddělování ekonomik (tzv. ekonomickému </w:t>
      </w:r>
      <w:proofErr w:type="spellStart"/>
      <w:r w:rsidRPr="00275D1A">
        <w:t>decouplingu</w:t>
      </w:r>
      <w:proofErr w:type="spellEnd"/>
      <w:r w:rsidRPr="00275D1A">
        <w:t>);</w:t>
      </w:r>
    </w:p>
    <w:p w14:paraId="1327D706" w14:textId="77777777" w:rsidR="00B42956" w:rsidRDefault="00B42956" w:rsidP="00B42956">
      <w:pPr>
        <w:pStyle w:val="NormalHanging12a"/>
      </w:pPr>
      <w:r w:rsidRPr="00275D1A">
        <w:t>C.</w:t>
      </w:r>
      <w:r w:rsidRPr="00275D1A">
        <w:tab/>
        <w:t>vzhledem k tomu, že geopolitická situace ve východní Asii je v posledních letech stále nestabilnější, neboť regionální mocenskou dynamiku stále více formuje systémová rivalita, námořní spory, posilování vojenské přítomnosti a rostoucí vliv autoritářských modelů vlády, které používají hospodářský nátlak, včetně diskriminačního přístupu na trh, hybridní hrozby, mimo jiné zahraniční manipulaci s informacemi a vměšování, a obchodní a politickou špionáž, což ohrožují mír, stabilitu a mezinárodní řád založený na pravidlech a vyžaduje koordinovanou reakci s partnery, kteří sdílejí demokratické hodnoty a vysoké regulační standardy;</w:t>
      </w:r>
    </w:p>
    <w:p w14:paraId="555994EC" w14:textId="42741AD4" w:rsidR="00BD0609" w:rsidRPr="00275D1A" w:rsidRDefault="00BD0609" w:rsidP="00B42956">
      <w:pPr>
        <w:pStyle w:val="NormalHanging12a"/>
        <w:rPr>
          <w:bCs/>
          <w:iCs/>
        </w:rPr>
      </w:pPr>
      <w:r>
        <w:rPr>
          <w:bCs/>
          <w:iCs/>
        </w:rPr>
        <w:t>D</w:t>
      </w:r>
      <w:r w:rsidRPr="00BD0609">
        <w:rPr>
          <w:bCs/>
          <w:iCs/>
        </w:rPr>
        <w:t>.</w:t>
      </w:r>
      <w:r w:rsidRPr="00BD0609">
        <w:rPr>
          <w:bCs/>
          <w:iCs/>
        </w:rPr>
        <w:tab/>
        <w:t>vzhledem k tomu, že bezpečnost Japonska, Jižní Koreje a Tchaj-wanu je i nadále do značné míry závislá na USA; vzhledem k tomu, že tito partneři musí ve stále větší míře čelit nepředvídatelnému jednání a hospodářskému nátlaku USA, které tuto strategii někdy uplatňují i na své nejbližší spojence; vzhledem k tomu, že tito demokratičtí partneři proto musí upevnit a diverzifikovat svá partnerství s dalšími aktéry, zejména s EU, s cílem posílit odolnost a podpořit společné bezpečnostní zájmy;</w:t>
      </w:r>
    </w:p>
    <w:p w14:paraId="7A70B062" w14:textId="2B67B957" w:rsidR="00B42956" w:rsidRPr="00275D1A" w:rsidRDefault="00BD0609" w:rsidP="00B42956">
      <w:pPr>
        <w:pStyle w:val="NormalHanging12a"/>
        <w:rPr>
          <w:bCs/>
          <w:iCs/>
        </w:rPr>
      </w:pPr>
      <w:r>
        <w:t>E</w:t>
      </w:r>
      <w:r w:rsidR="00B42956" w:rsidRPr="00275D1A">
        <w:t>.</w:t>
      </w:r>
      <w:r w:rsidR="00B42956" w:rsidRPr="00275D1A">
        <w:tab/>
        <w:t>vzhledem k tomu, že strategie EU pro spolupráci v indicko-tichomořském regionu vychází z přesvědčení, že bezpečnost a prosperita obou regionů je neoddělitelně spjata; vzhledem k tomu, že strategie zdůrazňuje význam větší angažovanosti EU v regionu prostřednictvím hlubšího politického dialogu, posílené hospodářské spolupráce a rozšířených bezpečnostních partnerství; vzhledem k tomu, že rozpad řádu založeného na pravidlech a tradičních spojenectvích a nástup agresivních aktérů s imperialistickými ambicemi jsou důvodem k posílení vazeb mezi EU a podobně smýšlejícími partnery v tomto regionu v zájmu zvýšení oboustranné bezpečnosti a prosperity;</w:t>
      </w:r>
    </w:p>
    <w:p w14:paraId="502B8A13" w14:textId="453E1AB1" w:rsidR="00B42956" w:rsidRPr="00275D1A" w:rsidRDefault="00BD0609" w:rsidP="00B42956">
      <w:pPr>
        <w:pStyle w:val="NormalHanging12a"/>
        <w:rPr>
          <w:bCs/>
          <w:iCs/>
        </w:rPr>
      </w:pPr>
      <w:r>
        <w:t>F</w:t>
      </w:r>
      <w:r w:rsidR="00B42956" w:rsidRPr="00275D1A">
        <w:t>.</w:t>
      </w:r>
      <w:r w:rsidR="00B42956" w:rsidRPr="00275D1A">
        <w:tab/>
        <w:t>vzhledem k tomu, že svoboda plavby a přeletu jsou základními zásadami mezinárodního práva, které jsou zakotveny zejména v Úmluvě OSN o mořském právu, a mají klíčový význam pro hospodářskou bezpečnost Unie;</w:t>
      </w:r>
    </w:p>
    <w:p w14:paraId="315CD917" w14:textId="7A92DB34" w:rsidR="00B42956" w:rsidRPr="00275D1A" w:rsidRDefault="00BD0609" w:rsidP="00B42956">
      <w:pPr>
        <w:pStyle w:val="NormalHanging12a"/>
      </w:pPr>
      <w:r>
        <w:t>G</w:t>
      </w:r>
      <w:r w:rsidR="00B42956" w:rsidRPr="00275D1A">
        <w:t>.</w:t>
      </w:r>
      <w:r w:rsidR="00B42956" w:rsidRPr="00275D1A">
        <w:tab/>
        <w:t xml:space="preserve">vzhledem k tomu, že stále složitější bezpečnostní výzvy mají vážný dopad na stabilitu a prosperitu Evropy i indicko-tichomořského regionu, přičemž stabilita obou regionů je vzájemně provázána více než kdykoli předtím; vzhledem k tomu, že obě zeměpisné oblasti přímo pociťují dopad nezákonné plošné invaze Ruska na Ukrajinu a podpory, které Rusku poskytují třetí země, jako je Čína a Severní Korea, které tak tuto agresi umožňují; vzhledem k tomu, že je nezbytné, aby EU s Japonskem a Korejskou republikou navázala silnou obrannou a průmyslovou spolupráci; vzhledem k tomu, že Japonsko a Korejská republika Ukrajině poskytují mimořádně velkou finanční a humanitární pomoc; vzhledem k tomu, že od roku 2022 Japonsko Ukrajině poskytlo </w:t>
      </w:r>
      <w:r w:rsidR="00B42956" w:rsidRPr="00275D1A">
        <w:lastRenderedPageBreak/>
        <w:t>a přislíbilo finanční a vojenskou pomoc v hodnotě více než 20 miliard USD; vzhledem k tomu, že nestabilita na Blízkém východě má vážné důsledky pro Evropu a východní Asii kvůli energetické bezpečnosti a narušení dodavatelských řetězců;</w:t>
      </w:r>
    </w:p>
    <w:p w14:paraId="52010732" w14:textId="14642BFD" w:rsidR="00B42956" w:rsidRPr="00275D1A" w:rsidRDefault="00BD0609" w:rsidP="00B42956">
      <w:pPr>
        <w:pStyle w:val="NormalHanging12a"/>
        <w:rPr>
          <w:bCs/>
          <w:iCs/>
        </w:rPr>
      </w:pPr>
      <w:r>
        <w:t>H</w:t>
      </w:r>
      <w:r w:rsidR="00B42956" w:rsidRPr="00275D1A">
        <w:t>.</w:t>
      </w:r>
      <w:r w:rsidR="00B42956" w:rsidRPr="00275D1A">
        <w:tab/>
        <w:t>vzhledem k tomu, že v dokumentu „Strategický kompas pro bezpečnost a obranu“ se uvádí, že někteří aktéři, např. Korejská lidově demokratická republika (KLDR), nadále ohrožují regionální a mezinárodní mír a bezpečnost; vzhledem k tomu, že jaderný a raketový program KLDR vážné ohrožuje mezinárodní řád založený na pravidlech, stejně tak i její možné jaderné technologie nebo technologie balistických raket a transfer bezpilotních vzdušných prostředků (UAV) z Ruska výměnou za zbraně a vojenský personál; vzhledem k tomu, že KLDR opakovaně porušuje rezoluce Rady bezpečnosti OSN tím, že neustále vypouští rakety, včetně testů prováděných nad Japonskem;</w:t>
      </w:r>
    </w:p>
    <w:p w14:paraId="0C7DD9B7" w14:textId="61F83EC8" w:rsidR="00B42956" w:rsidRPr="00275D1A" w:rsidRDefault="00BD0609" w:rsidP="00B42956">
      <w:pPr>
        <w:pStyle w:val="NormalHanging12a"/>
        <w:rPr>
          <w:bCs/>
          <w:iCs/>
        </w:rPr>
      </w:pPr>
      <w:r>
        <w:t>I</w:t>
      </w:r>
      <w:r w:rsidR="00B42956" w:rsidRPr="00275D1A">
        <w:t>.</w:t>
      </w:r>
      <w:r w:rsidR="00B42956" w:rsidRPr="00275D1A">
        <w:tab/>
        <w:t>vzhledem k tomu, že v důsledku rostoucího významu digitálního prostoru pro fungování našich společností a ekonomik se zvýšil počet a rozsah kybernetických útoků; vzhledem k tomu, že ve Strategii kybernetické bezpečnosti EU pro digitální dekádu se uvádí, že boj proti těmto hrozbám a slabinám vyžaduje spolupráci s partnery, kteří se hlásí k právnímu státu, základním svobodám, demokracii a lidským právům;</w:t>
      </w:r>
    </w:p>
    <w:p w14:paraId="5315FF12" w14:textId="0B8D6F80" w:rsidR="00B42956" w:rsidRPr="00275D1A" w:rsidRDefault="00BD0609" w:rsidP="00B42956">
      <w:pPr>
        <w:pStyle w:val="NormalHanging12a"/>
      </w:pPr>
      <w:r>
        <w:t>J</w:t>
      </w:r>
      <w:r w:rsidR="00B42956" w:rsidRPr="00275D1A">
        <w:t>.</w:t>
      </w:r>
      <w:r w:rsidR="00B42956" w:rsidRPr="00275D1A">
        <w:tab/>
        <w:t>vzhledem k tomu, že zájmy a celkovou bezpečnost EU lze nejlépe chránit prohloubením praktické spolupráce s podobně smýšlejícími partnery v regionu, zejména s Japonskem, Korejskou republikou a Tchaj-wanem, a že je současně třeba usilovat o konstruktivní a zásadovou spolupráci s regionálními aktéry, do níž by měl být zapojen jeden z místních ústředních aktérů – Sdružení národů jihovýchodní Asie (ASEAN); vzhledem k tomu, že tato partnerství by měla sloužit k posílení strategické autonomie EU upevněním silné průmyslové a technologické základny pro evropskou obranu, aniž by se EU stala příliš závislou na třetích mocnostech; vzhledem k tomu, že EU by se měla vyvarovat konfrontační politiky dvou bloků a místo toho by měla podporovat mnohostrannou spolupráci a dialog založený na mezinárodním právu;</w:t>
      </w:r>
    </w:p>
    <w:p w14:paraId="0DE73B38" w14:textId="4BFB4A1B" w:rsidR="00B42956" w:rsidRPr="00275D1A" w:rsidRDefault="00BD0609" w:rsidP="00B42956">
      <w:pPr>
        <w:pStyle w:val="NormalHanging12a"/>
      </w:pPr>
      <w:r>
        <w:t>K</w:t>
      </w:r>
      <w:r w:rsidR="00B42956" w:rsidRPr="00275D1A">
        <w:t>.</w:t>
      </w:r>
      <w:r w:rsidR="00B42956" w:rsidRPr="00275D1A">
        <w:tab/>
        <w:t>vzhledem k tomu, že strategické partnerství mezi EU a Japonskem slouží jako model účinné dvoustranné spolupráce, která posiluje utváření politik na mnohostranných fórech; vzhledem k tomu, že dne 1. ledna 2025 vstoupila v platnost Dohoda EU a Japonska o strategickém partnerství, která umožnila hlubší spolupráci mimo jiné v oblastech, jako je bezpečnost a obrana, hybridní hrozby, námořní bezpečnost, kybernetická bezpečnost, vesmír a nešíření zbraní, a to souběžně s reálným společným úsilím, které obě země vyvíjejí v rámci aliance pro konkurenceschopnost, zelené aliance, digitálního partnerství a dialogu o energetice;</w:t>
      </w:r>
    </w:p>
    <w:p w14:paraId="7AD79979" w14:textId="0256C807" w:rsidR="00B42956" w:rsidRPr="00275D1A" w:rsidRDefault="00BD0609" w:rsidP="00B42956">
      <w:pPr>
        <w:pStyle w:val="NormalHanging12a"/>
        <w:rPr>
          <w:bCs/>
          <w:iCs/>
        </w:rPr>
      </w:pPr>
      <w:r>
        <w:t>L</w:t>
      </w:r>
      <w:r w:rsidR="00B42956" w:rsidRPr="00275D1A">
        <w:t>.</w:t>
      </w:r>
      <w:r w:rsidR="00B42956" w:rsidRPr="00275D1A">
        <w:tab/>
        <w:t>vzhledem k tomu, že Japonsko je pro EU nejbližším strategickým partnerem v indicko-tichomořském regionu; vzhledem k tomu, že globální výzvy a zejména rostoucí napětí v indicko-tichomořském regionu vyžadují, aby bylo partnerství EU a Japonska prohlubováno; vzhledem k tomu, že Japonsko i EU usilují hlavně o svobodný a otevřený indicko-tichomořský region, zejména tím, že podporují mezinárodní řád založený na pravidlech, v němž všechny země dodržují mezinárodní právo a zásadu mírového řešení konfliktů; vzhledem k tomu, že Japonsko je důležitým aktérem na několika fórech v indicko-tichomořském regionu, jako je např. Východoasijský summit; vzhledem k tomu, že EU a Japonsko usilují o společnou strategii na dvoustranné úrovni a na mnohostranných fórech, jako jsou G7, G20, OSN, Světová obchodní organizace (WTO), Světová zdravotnická organizace a Organizace pro hospodářskou spolupráci a rozvoj (OECD), i o sladění svých postojů coby podobně smýšlejících dárců;</w:t>
      </w:r>
    </w:p>
    <w:p w14:paraId="3C27B7C2" w14:textId="56445C54" w:rsidR="00B42956" w:rsidRPr="00275D1A" w:rsidRDefault="00BD0609" w:rsidP="00B42956">
      <w:pPr>
        <w:pStyle w:val="NormalHanging12a"/>
        <w:rPr>
          <w:bCs/>
          <w:iCs/>
        </w:rPr>
      </w:pPr>
      <w:r>
        <w:lastRenderedPageBreak/>
        <w:t>M</w:t>
      </w:r>
      <w:r w:rsidR="00B42956" w:rsidRPr="00275D1A">
        <w:t>.</w:t>
      </w:r>
      <w:r w:rsidR="00B42956" w:rsidRPr="00275D1A">
        <w:tab/>
        <w:t>vzhledem k tomu, že v roce 2019 vstoupila v platnost Dohoda mezi EU a Japonskem o hospodářském partnerství, která byla v roce 2024 rozšířena o ustanovení o volném toku údajů; vzhledem k tomu, že Japonsko je sedmým největším obchodním partnerem EU;</w:t>
      </w:r>
    </w:p>
    <w:p w14:paraId="5AC1709B" w14:textId="759410F4" w:rsidR="00B42956" w:rsidRPr="00275D1A" w:rsidRDefault="00BD0609" w:rsidP="00B42956">
      <w:pPr>
        <w:pStyle w:val="NormalHanging12a"/>
        <w:rPr>
          <w:bCs/>
          <w:iCs/>
        </w:rPr>
      </w:pPr>
      <w:r>
        <w:t>N</w:t>
      </w:r>
      <w:r w:rsidR="00B42956" w:rsidRPr="00275D1A">
        <w:t>.</w:t>
      </w:r>
      <w:r w:rsidR="00B42956" w:rsidRPr="00275D1A">
        <w:tab/>
      </w:r>
      <w:bookmarkStart w:id="7" w:name="_Hlk233719618"/>
      <w:r w:rsidRPr="00BD0609">
        <w:t>vzhledem k tomu, že Rada pro digitální partnerství EU a Japonska na svém čtvrtém zasedání konaném v květnu 2026 rozšířila spolupráci na oblast umělé inteligence (AI), 5G/6G, polovodičů, kybernetické bezpečnosti a správy dat a pochvalně se vyjádřila o pokroku společného výzkumného projektu „6G MIRAI-HARMONY“;</w:t>
      </w:r>
      <w:bookmarkEnd w:id="7"/>
    </w:p>
    <w:p w14:paraId="4A09D010" w14:textId="4C5B5827" w:rsidR="00B42956" w:rsidRPr="00275D1A" w:rsidRDefault="00BD0609" w:rsidP="00B42956">
      <w:pPr>
        <w:pStyle w:val="NormalHanging12a"/>
        <w:rPr>
          <w:bCs/>
          <w:iCs/>
        </w:rPr>
      </w:pPr>
      <w:r>
        <w:t>O</w:t>
      </w:r>
      <w:r w:rsidR="00B42956" w:rsidRPr="00275D1A">
        <w:t>.</w:t>
      </w:r>
      <w:r w:rsidR="00B42956" w:rsidRPr="00275D1A">
        <w:tab/>
        <w:t>vzhledem k tomu, že v rámci dialogu EU a Japonska o energetice byl v roce 2025 kladen důraz na společné úsilí o dodavatelské řetězce čisté energie, bezpečnost LNG a spolupráci v oblasti vodíku s cílem podpořit klimatickou neutralitu;</w:t>
      </w:r>
    </w:p>
    <w:p w14:paraId="757FC2E9" w14:textId="67519F37" w:rsidR="00B42956" w:rsidRPr="00275D1A" w:rsidRDefault="00BD0609" w:rsidP="00B42956">
      <w:pPr>
        <w:pStyle w:val="NormalHanging12a"/>
        <w:rPr>
          <w:b/>
          <w:bCs/>
          <w:i/>
          <w:iCs/>
          <w:szCs w:val="24"/>
        </w:rPr>
      </w:pPr>
      <w:r>
        <w:t>P</w:t>
      </w:r>
      <w:r w:rsidR="00B42956" w:rsidRPr="00275D1A">
        <w:t>.</w:t>
      </w:r>
      <w:r w:rsidR="00B42956" w:rsidRPr="00275D1A">
        <w:tab/>
        <w:t xml:space="preserve">vzhledem k tomu, že strategické partnerství mezi EU a Korejskou republikou, klíčovým spojencem v indicko-tichomořském regionu, zahrnují politický dialog a spolupráci v oblasti obchodu a bezpečnosti; vzhledem k tomu, že dohoda o volném obchodu mezi EU a Korejskou republikou přispěla od svého vstupu v platnost k výraznému růstu dvoustranného obchodu; vzhledem k tomu, že </w:t>
      </w:r>
      <w:bookmarkStart w:id="8" w:name="_Hlk233719710"/>
      <w:r w:rsidR="00B42956" w:rsidRPr="00275D1A">
        <w:t xml:space="preserve">rámcová dohoda mezi EU a Korejskou republikou </w:t>
      </w:r>
      <w:bookmarkEnd w:id="8"/>
      <w:r w:rsidR="00B42956" w:rsidRPr="00275D1A">
        <w:t>posiluje politické, hospodářské a institucionální vazby včetně v oblasti bezpečnosti; vzhledem k tomu, že rámcová dohoda o účasti posiluje politické a bezpečnostní vztahy mezi EU a Korejskou republikou a klade důraz na společné hodnoty a zájmy; vzhledem k tomu, že vedoucí představitelé EU a Korejské republiky se na summitu konaném v roce 2023 dohodli na udržování bezpečnostního partnerství a strategického dialogu na úrovni ministrů zahraničních věcí s cílem posílit spolupráci při udržování světového míru a bezpečnosti; vzhledem k tomu, že partnerství EU a Korejské republiky v oblasti bezpečnosti a obrany poskytuje strukturovaný rámec pro činnost ve všech oblastech bezpečnosti; vzhledem k tomu, že dohoda EU a Korejské republiky o digitálním obchodu stanoví vzájemně výhodná pravidla v souvislosti s daty a digitálními technologiemi; vzhledem k tomu, že Korejská republika hraje klíčovou úlohu v zajišťování stability v regionu;</w:t>
      </w:r>
    </w:p>
    <w:p w14:paraId="41656153" w14:textId="4155F306" w:rsidR="00B42956" w:rsidRPr="00275D1A" w:rsidRDefault="00BD0609" w:rsidP="00B42956">
      <w:pPr>
        <w:pStyle w:val="NormalHanging12a"/>
        <w:rPr>
          <w:szCs w:val="24"/>
        </w:rPr>
      </w:pPr>
      <w:r>
        <w:t>Q</w:t>
      </w:r>
      <w:r w:rsidR="00B42956" w:rsidRPr="00275D1A">
        <w:t>.</w:t>
      </w:r>
      <w:r w:rsidR="00B42956" w:rsidRPr="00275D1A">
        <w:tab/>
        <w:t>vzhledem k tomu, že dohoda EU a Korejské republiky o volném obchodu představuje první z nové generace obchodních dohod EU; vzhledem k tomu, že je i nadále důležité, aby byla úplně provedena její kapitola o obchodu a udržitelném rozvoji, včetně dalšího pokroku s posilováním pracovních práv a ratifikací úmluvy Mezinárodní organizace práce (MOP) o zrušení nucené práce z roku 1957 (úmluva č. 105); vzhledem k tomu, že Korejská republika je osmým největším obchodním partnerem EU;</w:t>
      </w:r>
    </w:p>
    <w:p w14:paraId="69539094" w14:textId="1958F231" w:rsidR="00B42956" w:rsidRPr="00275D1A" w:rsidRDefault="00BD0609" w:rsidP="00B42956">
      <w:pPr>
        <w:pStyle w:val="NormalHanging12a"/>
      </w:pPr>
      <w:r>
        <w:t>R</w:t>
      </w:r>
      <w:r w:rsidR="00B42956" w:rsidRPr="00275D1A">
        <w:t>.</w:t>
      </w:r>
      <w:r w:rsidR="00B42956" w:rsidRPr="00275D1A">
        <w:tab/>
        <w:t>vzhledem k tomu, že EU již navázala strategická partnerství s Japonskem a Korejskou republikou jakožto podobně smýšlejícími partnery v tomto regionu; vzhledem k tomu, že Japonsko a Korejská republika vynakládají značné prostředky na urychlení energetické transformace, mimo jiné obě země ratifikovaly Pařížskou dohodu z roku 2015 a značně investují do solární a větrné energie na moři; vzhledem k tomu, že EU má v úmyslu jít ve svých strategických partnerstvích dále a posílit spolupráci s Japonskem a Korejskou republikou v oblasti obnovitelných zdrojů energie, aby do roku 2050 dosáhla uhlíkové neutrality;</w:t>
      </w:r>
    </w:p>
    <w:p w14:paraId="45DE7F64" w14:textId="04500072" w:rsidR="00B42956" w:rsidRPr="00275D1A" w:rsidRDefault="00BD0609" w:rsidP="00B42956">
      <w:pPr>
        <w:pStyle w:val="NormalHanging12a"/>
      </w:pPr>
      <w:r>
        <w:t>S</w:t>
      </w:r>
      <w:r w:rsidR="00B42956" w:rsidRPr="00275D1A">
        <w:t>.</w:t>
      </w:r>
      <w:r w:rsidR="00B42956" w:rsidRPr="00275D1A">
        <w:tab/>
        <w:t>vzhledem k tomu, že Korejská republika a Japonsko jsou předními technologickými aktéry, kteří rozvojem umělé inteligence, včetně pro účely obrany, určují reakce na kybernetické a vojenské hrozby, zejména v souvislosti s neustálými hrozbami KLDR;</w:t>
      </w:r>
    </w:p>
    <w:p w14:paraId="03CA0250" w14:textId="0C2DC333" w:rsidR="00B42956" w:rsidRPr="00275D1A" w:rsidRDefault="00BD0609" w:rsidP="00B42956">
      <w:pPr>
        <w:pStyle w:val="NormalHanging12a"/>
      </w:pPr>
      <w:r>
        <w:lastRenderedPageBreak/>
        <w:t>T</w:t>
      </w:r>
      <w:r w:rsidR="00B42956" w:rsidRPr="00275D1A">
        <w:t>.</w:t>
      </w:r>
      <w:r w:rsidR="00B42956" w:rsidRPr="00275D1A">
        <w:tab/>
        <w:t>vzhledem k tomu, že Austrálie, Japonsko a Korejská republika prohlubují třístrannou spolupráci na posílení bezpečnosti a stability v indicko-tichomořském regionu, mimo jiné pořádají společná vojenská cvičení a utužují spolupráci v oblasti obranných technologií a odolnosti dodavatelského řetězce; vzhledem k tomu, že tato rostoucí třístranná koordinace navazuje na dynamiku, kterou vytvořilo komplexní strategické partnerství Austrálie s Korejskou republikou a její zvláštní strategické partnerství s Japonskem;</w:t>
      </w:r>
    </w:p>
    <w:p w14:paraId="77C76883" w14:textId="214878A5" w:rsidR="00B42956" w:rsidRPr="00275D1A" w:rsidRDefault="00BD0609" w:rsidP="00B42956">
      <w:pPr>
        <w:pStyle w:val="NormalHanging12a"/>
      </w:pPr>
      <w:r>
        <w:t>U</w:t>
      </w:r>
      <w:r w:rsidR="00B42956" w:rsidRPr="00275D1A">
        <w:t>.</w:t>
      </w:r>
      <w:r w:rsidR="00B42956" w:rsidRPr="00275D1A">
        <w:tab/>
        <w:t xml:space="preserve">vzhledem k tomu, že dne 1. ledna 2025 se Korejská republika jako první asijská země připojila k programu Horizont Evropa a dne 22. prosince 2025 </w:t>
      </w:r>
      <w:r w:rsidR="00691458">
        <w:t>dokončila jednání s</w:t>
      </w:r>
      <w:r w:rsidR="00B42956" w:rsidRPr="00275D1A">
        <w:t xml:space="preserve"> Japonsk</w:t>
      </w:r>
      <w:r w:rsidR="00691458">
        <w:t>em</w:t>
      </w:r>
      <w:r w:rsidR="00B42956" w:rsidRPr="00275D1A">
        <w:t>; vzhledem k tomu, že přistoupení obou zemí k programu je důkazem jejich silného odhodlání spolupracovat s EU v oblasti výzkumu a inovací;</w:t>
      </w:r>
    </w:p>
    <w:p w14:paraId="3801654C" w14:textId="74491CCB" w:rsidR="00B42956" w:rsidRPr="00275D1A" w:rsidRDefault="00BD0609" w:rsidP="00B42956">
      <w:pPr>
        <w:pStyle w:val="NormalHanging12a"/>
        <w:rPr>
          <w:bCs/>
          <w:iCs/>
        </w:rPr>
      </w:pPr>
      <w:r>
        <w:t>V</w:t>
      </w:r>
      <w:r w:rsidR="00B42956" w:rsidRPr="00275D1A">
        <w:t>.</w:t>
      </w:r>
      <w:r w:rsidR="00B42956" w:rsidRPr="00275D1A">
        <w:tab/>
        <w:t>vzhledem k tomu, že Tchaj-wan je spolehlivým a klíčovým demokratickým partnerem EU v regionu východní Asie; vzhledem k tomu, že EU a Tchaj-wan sdílejí společné hodnoty, jako je demokracie, právní stát a lidská práva, a obě tyto strany se zavázaly k podpoře multilateralismu a mezinárodního řádu založeného na pravidlech; vzhledem k tomu, že v bílé knize o budoucnosti evropské obrany 2030 (JOIN(2025)0120) je vyjádřeno znepokojení nad nátlakem, který vyvíjí Čína na Tchaj-wan intenzivnější politickou, hospodářskou, vojenskou a kybernetickou činností; vzhledem k tomu, že mír a stabilita v Tchajwanském průlivu a v Jihočínském moři mají zásadní strategický význam pro EU a jsou nezbytné pro celosvětovou bezpečnost a prosperitu, včetně mezinárodních obchodních toků, investiční jistoty a fungování globálních dodavatelských řetězců;</w:t>
      </w:r>
    </w:p>
    <w:p w14:paraId="2897EA41" w14:textId="33E28332" w:rsidR="00B42956" w:rsidRPr="00275D1A" w:rsidRDefault="00BD0609" w:rsidP="00B42956">
      <w:pPr>
        <w:pStyle w:val="NormalHanging12a"/>
        <w:rPr>
          <w:bCs/>
          <w:iCs/>
        </w:rPr>
      </w:pPr>
      <w:r>
        <w:t>W</w:t>
      </w:r>
      <w:r w:rsidR="00B42956" w:rsidRPr="00275D1A">
        <w:t>.</w:t>
      </w:r>
      <w:r w:rsidR="00B42956" w:rsidRPr="00275D1A">
        <w:tab/>
        <w:t>vzhledem k tomu, že Tchaj-wan je třináctým největším obchodním partnerem EU a obecně klíčovým hospodářským partnerem, který se řadí mezi nejdůležitější obchodní a investiční partnery EU v Asii a hraje zásadní úlohu v globálních hodnotových řetězcích, zejména ve výrobě polovodičů, v oblasti veřejného zdraví, odolnosti demokracie a připravenosti na katastrofy;</w:t>
      </w:r>
    </w:p>
    <w:p w14:paraId="67028AB0" w14:textId="13CFDAED" w:rsidR="00B42956" w:rsidRPr="00275D1A" w:rsidRDefault="00BD0609" w:rsidP="00B42956">
      <w:pPr>
        <w:pStyle w:val="NormalHanging12a"/>
        <w:rPr>
          <w:bCs/>
          <w:iCs/>
        </w:rPr>
      </w:pPr>
      <w:r>
        <w:t>X</w:t>
      </w:r>
      <w:r w:rsidR="00B42956" w:rsidRPr="00275D1A">
        <w:t>.</w:t>
      </w:r>
      <w:r w:rsidR="00B42956" w:rsidRPr="00275D1A">
        <w:tab/>
        <w:t>vzhledem k tomu, že Tchaj-wan má z hlediska obchodu strategickou polohu; vzhledem k tomu, že Tchajwanským průlivem vede hlavní námořní trasa pro lodě plující z Číny, Japonska, Korejské republiky a Tchaj-wanu do Evropy; vzhledem k tomu, že Tchaj-wan dominuje trhu s polovodiči, neboť jejich výroba na Tchaj-wanu tvoří přibližně 50 % celosvětové produkce polovodičů; vzhledem k tomu, že strategie EU pro indicko-tichomořský region prosazuje posílení obchodní a investiční spolupráce s Tchaj-wanem a urovnání napětí v Jihočínském moři a v Tchajwanském průlivu;</w:t>
      </w:r>
    </w:p>
    <w:p w14:paraId="678F824A" w14:textId="280E6DB2" w:rsidR="00B42956" w:rsidRPr="00275D1A" w:rsidRDefault="00BD0609" w:rsidP="00B42956">
      <w:pPr>
        <w:pStyle w:val="NormalHanging12a"/>
        <w:rPr>
          <w:bCs/>
          <w:iCs/>
        </w:rPr>
      </w:pPr>
      <w:r>
        <w:t>Y</w:t>
      </w:r>
      <w:r w:rsidR="00B42956" w:rsidRPr="00275D1A">
        <w:t>.</w:t>
      </w:r>
      <w:r w:rsidR="00B42956" w:rsidRPr="00275D1A">
        <w:tab/>
        <w:t>vzhledem k tomu, že spolupráce mezi EU, Japonskem, Korejskou republikou a Tchaj-wanem přispívá k podpoře stability, otevřených trhů a mezinárodního řádu založeného na pravidlech; vzhledem k tomu, že tito partneři mají společné zájmy, pokud jde o řešení globálních problémů, včetně hospodářské bezpečnosti a technologického rozvoje; vzhledem k tomu, že posílená koordinace mezi EU, Japonskem a Korejskou republikou může přispět k větší soudržnosti politik při řešení regionálních a globálních problémů;</w:t>
      </w:r>
    </w:p>
    <w:p w14:paraId="0786307F" w14:textId="4C9316F6" w:rsidR="00B42956" w:rsidRPr="00275D1A" w:rsidRDefault="00BD0609" w:rsidP="00B42956">
      <w:pPr>
        <w:pStyle w:val="NormalHanging12a"/>
        <w:rPr>
          <w:bCs/>
          <w:iCs/>
        </w:rPr>
      </w:pPr>
      <w:r>
        <w:t>Z</w:t>
      </w:r>
      <w:r w:rsidR="00B42956" w:rsidRPr="00275D1A">
        <w:t>.</w:t>
      </w:r>
      <w:r w:rsidR="00B42956" w:rsidRPr="00275D1A">
        <w:tab/>
        <w:t xml:space="preserve">vzhledem k tomu, že třístranná spolupráce mezi EU, Japonskem, Korejskou republikou a Tchaj-wanem může podpořit rozvoj mezinárodních norem a standardů, zejména v oblasti elektronické správy a dodavatelských řetězců; vzhledem k tomu, že EU, Japonsko a Korejská republika jsou obdobně smýšlející partneři, kteří sledují stejné cíle; </w:t>
      </w:r>
      <w:r w:rsidR="00B42956" w:rsidRPr="00275D1A">
        <w:lastRenderedPageBreak/>
        <w:t xml:space="preserve">vzhledem k tomu, že jejich strategické partnerství v oblasti umělé inteligence je mechanismem, který podpoří výměnu na poli digitálního obchodu a přispěje k řešení změn v globálním kontextu; </w:t>
      </w:r>
    </w:p>
    <w:p w14:paraId="41FF22EC" w14:textId="41E4B847" w:rsidR="00B42956" w:rsidRPr="00275D1A" w:rsidRDefault="00BD0609" w:rsidP="00B42956">
      <w:pPr>
        <w:pStyle w:val="NormalHanging12a"/>
        <w:rPr>
          <w:bCs/>
          <w:iCs/>
        </w:rPr>
      </w:pPr>
      <w:r>
        <w:t>AA</w:t>
      </w:r>
      <w:r w:rsidR="00B42956" w:rsidRPr="00275D1A">
        <w:t>.</w:t>
      </w:r>
      <w:r w:rsidR="00B42956" w:rsidRPr="00275D1A">
        <w:tab/>
        <w:t xml:space="preserve">vzhledem k tomu, že </w:t>
      </w:r>
      <w:proofErr w:type="gramStart"/>
      <w:r w:rsidR="00B42956" w:rsidRPr="00275D1A">
        <w:t>Zelená</w:t>
      </w:r>
      <w:proofErr w:type="gramEnd"/>
      <w:r w:rsidR="00B42956" w:rsidRPr="00275D1A">
        <w:t xml:space="preserve"> aliance mezi EU a Japonskem a zelené partnerství mezi EU a Korejskou republikou tvoří konkrétní rámce pro spolupráci v oblasti klimatu, čisté energie, dekarbonizace průmyslu, oběhového hospodářství a dalších prvků ekologické transformace; vzhledem k tomu, že v zájmu EU je také hlubší strukturovaná spolupráce s Tchaj-wanem v oblasti čistých technologií a odolnosti dodavatelského řetězce;</w:t>
      </w:r>
    </w:p>
    <w:p w14:paraId="73EB86B5" w14:textId="7E7E5E9F" w:rsidR="00B42956" w:rsidRPr="00275D1A" w:rsidRDefault="00BD0609" w:rsidP="00B42956">
      <w:pPr>
        <w:pStyle w:val="NormalHanging12a"/>
        <w:rPr>
          <w:bCs/>
          <w:iCs/>
        </w:rPr>
      </w:pPr>
      <w:r w:rsidRPr="00275D1A">
        <w:t>A</w:t>
      </w:r>
      <w:r>
        <w:t>B</w:t>
      </w:r>
      <w:r w:rsidR="00B42956" w:rsidRPr="00275D1A">
        <w:t>.</w:t>
      </w:r>
      <w:r w:rsidR="00B42956" w:rsidRPr="00275D1A">
        <w:tab/>
        <w:t>vzhledem k tomu, že mír a stabilita v Tchajwanském průlivu a v Jihočínském moři mají strategický význam pro regionální a světovou bezpečnost; vzhledem k tomu, že některé členské státy EU mají v indicko-tichomořském regionu své námořní síly a EU jako celek má přímý zájem na zachování stávajícího stavu;</w:t>
      </w:r>
    </w:p>
    <w:p w14:paraId="2D9BB8D4" w14:textId="5100EA01" w:rsidR="00B42956" w:rsidRPr="00275D1A" w:rsidRDefault="00BD0609" w:rsidP="00B42956">
      <w:pPr>
        <w:pStyle w:val="NormalHanging12a"/>
        <w:rPr>
          <w:bCs/>
          <w:iCs/>
        </w:rPr>
      </w:pPr>
      <w:r w:rsidRPr="00275D1A">
        <w:t>A</w:t>
      </w:r>
      <w:r>
        <w:t>C</w:t>
      </w:r>
      <w:r w:rsidR="00B42956" w:rsidRPr="00275D1A">
        <w:t>.</w:t>
      </w:r>
      <w:r w:rsidR="00B42956" w:rsidRPr="00275D1A">
        <w:tab/>
        <w:t>vzhledem k tomu, že v listopadu 2025 zahájila EU dialog o bezpečnosti a obraně s Filipínami, jehož účelem je řešit rostoucí složitost bezpečnostních hrozeb a podpořit výměny a spolupráci mimo jiné v oblasti námořní bezpečnosti, regionální stability a konektivity; vzhledem k tomu, že v lednu 2026 povýšila EU své vztahy s Vietnamem na komplexní strategické partnerství, aby tak prohloubila spolupráci v celé řadě oblastí, včetně námořní bezpečnosti, odolnosti dodavatelských řetězců a posílení propojení mezi Evropou a jihovýchodní Asií.</w:t>
      </w:r>
    </w:p>
    <w:p w14:paraId="4A0E6638" w14:textId="2B1E061A" w:rsidR="00B42956" w:rsidRPr="00275D1A" w:rsidRDefault="00BD0609" w:rsidP="00B42956">
      <w:pPr>
        <w:pStyle w:val="NormalHanging12a"/>
        <w:rPr>
          <w:bCs/>
          <w:iCs/>
        </w:rPr>
      </w:pPr>
      <w:r w:rsidRPr="00275D1A">
        <w:t>A</w:t>
      </w:r>
      <w:r>
        <w:t>D</w:t>
      </w:r>
      <w:r w:rsidR="00B42956" w:rsidRPr="00275D1A">
        <w:t>.</w:t>
      </w:r>
      <w:r w:rsidR="00B42956" w:rsidRPr="00275D1A">
        <w:tab/>
        <w:t>vzhledem k tomu, že situace v oblasti lidských práv v KLDR se nadále vyznačuje systematickým, rozsáhlým a hrubým porušováním práv, včetně omezování svobody projevu, pohybu a přístupu k informacím, existence politických vězeňských táborů, zdokumentovaných případů nucených prací a mučení a nedostatku minimálních právních norem v trestních řízeních; vzhledem k tomu, že tyto případy porušování práva jsou mezinárodními institucemi soustavně hlášeny a vyžadují trvalou pozornost a opatření ze strany mezinárodního společenství;</w:t>
      </w:r>
    </w:p>
    <w:p w14:paraId="25745DF1" w14:textId="39DCCFD7" w:rsidR="00B42956" w:rsidRPr="00275D1A" w:rsidRDefault="00BD0609" w:rsidP="00B42956">
      <w:pPr>
        <w:pStyle w:val="NormalHanging12a"/>
      </w:pPr>
      <w:r w:rsidRPr="00275D1A">
        <w:t>A</w:t>
      </w:r>
      <w:r>
        <w:t>E</w:t>
      </w:r>
      <w:r w:rsidR="00B42956" w:rsidRPr="00275D1A">
        <w:t>.</w:t>
      </w:r>
      <w:r w:rsidR="00B42956" w:rsidRPr="00275D1A">
        <w:tab/>
        <w:t>vzhledem k tomu, že přítomnost a spolupráce EU v regionu východní Asie má zásadní význam pro podporu míru a stability v tomto regionu, zajištění hospodářské bezpečnosti a posílení mezinárodního řádu založeného na pravidlech, neboť bezpečnostní problémy v regionu mají přímé důsledky pro celosvětový mír a zájmy EU; vzhledem k tomu, že partneři ve východní Asii, včetně Japonska, Korejské republiky, Tchaj-wanu a členů sdružení ASEAN, udržují s Čínou složité a mnohostranné vztahy, které se vyznačují značnou vzájemnou hospodářskou závislostí;</w:t>
      </w:r>
    </w:p>
    <w:p w14:paraId="7C44BA18" w14:textId="671E2E04" w:rsidR="00B42956" w:rsidRPr="00275D1A" w:rsidRDefault="00BD0609" w:rsidP="00B42956">
      <w:pPr>
        <w:pStyle w:val="NormalHanging12a"/>
        <w:rPr>
          <w:bCs/>
          <w:iCs/>
        </w:rPr>
      </w:pPr>
      <w:r w:rsidRPr="00275D1A">
        <w:t>A</w:t>
      </w:r>
      <w:r>
        <w:t>F</w:t>
      </w:r>
      <w:r w:rsidR="00B42956" w:rsidRPr="00275D1A">
        <w:t>.</w:t>
      </w:r>
      <w:r w:rsidR="00B42956" w:rsidRPr="00275D1A">
        <w:tab/>
        <w:t>vzhledem k tomu, že zámořské země a území jsou jediným územím členských států v Tichém oceánu a indicko-tichomořské oblasti; vzhledem k tomu, že představují jedinečné kontaktní body strategického zájmu, které EU zajišťují přítomnost, vliv a možnost budovat partnerství v těchto regionech, zejména v oblasti obrany, obchodu, digitálních technologií, vesmíru a kultury;</w:t>
      </w:r>
    </w:p>
    <w:p w14:paraId="73A418DC" w14:textId="0BD8312A" w:rsidR="00B42956" w:rsidRPr="00275D1A" w:rsidRDefault="00BD0609" w:rsidP="00B42956">
      <w:pPr>
        <w:pStyle w:val="NormalHanging12a"/>
        <w:rPr>
          <w:bCs/>
          <w:iCs/>
        </w:rPr>
      </w:pPr>
      <w:r w:rsidRPr="00275D1A">
        <w:t>A</w:t>
      </w:r>
      <w:r>
        <w:t>G</w:t>
      </w:r>
      <w:r w:rsidR="00B42956" w:rsidRPr="00275D1A">
        <w:t>.</w:t>
      </w:r>
      <w:r w:rsidR="00B42956" w:rsidRPr="00275D1A">
        <w:tab/>
        <w:t xml:space="preserve">vzhledem k tomu, že EU je největším zdrojem přímých zahraničních investic v Japonsku, Korejské republice a na Tchaj-wanu; </w:t>
      </w:r>
    </w:p>
    <w:p w14:paraId="795AB0B8" w14:textId="7FE2C656" w:rsidR="00B42956" w:rsidRPr="00275D1A" w:rsidRDefault="00BD0609" w:rsidP="00B42956">
      <w:pPr>
        <w:pStyle w:val="NormalHanging12a"/>
        <w:rPr>
          <w:bCs/>
          <w:iCs/>
        </w:rPr>
      </w:pPr>
      <w:r w:rsidRPr="00275D1A">
        <w:t>A</w:t>
      </w:r>
      <w:r>
        <w:t>H</w:t>
      </w:r>
      <w:r w:rsidR="00B42956" w:rsidRPr="00275D1A">
        <w:t>.</w:t>
      </w:r>
      <w:r w:rsidR="00B42956" w:rsidRPr="00275D1A">
        <w:tab/>
        <w:t>vzhledem k tomu, že komplexní a progresivní dohoda o </w:t>
      </w:r>
      <w:proofErr w:type="spellStart"/>
      <w:r w:rsidR="00B42956" w:rsidRPr="00275D1A">
        <w:t>transpacifickém</w:t>
      </w:r>
      <w:proofErr w:type="spellEnd"/>
      <w:r w:rsidR="00B42956" w:rsidRPr="00275D1A">
        <w:t xml:space="preserve"> partnerství se stala hlavním obchodním rámcem založeným na pravidlech v indicko-tichomořském regionu; vzhledem k tomu, že Japonsko je do tohoto partnerství zapojeno a že Korejská </w:t>
      </w:r>
      <w:r w:rsidR="00B42956" w:rsidRPr="00275D1A">
        <w:lastRenderedPageBreak/>
        <w:t>republika a Tchaj-wan požádaly o účast; vzhledem k tomu, že EU zahájila v listopadu 2025 se zeměmi této dohody o partnerství dialog o obchodu a investicích;</w:t>
      </w:r>
    </w:p>
    <w:p w14:paraId="273A8C57" w14:textId="77777777" w:rsidR="00B42956" w:rsidRPr="00275D1A" w:rsidRDefault="00B42956" w:rsidP="00B42956">
      <w:pPr>
        <w:pStyle w:val="NormalHanging12a"/>
      </w:pPr>
      <w:r w:rsidRPr="00275D1A">
        <w:t>1.</w:t>
      </w:r>
      <w:r w:rsidRPr="00275D1A">
        <w:tab/>
        <w:t>doporučuje Radě, Komisi a místopředsedkyni Komise, vysoké představitelce Unie pro zahraniční věci a bezpečnostní politiku:</w:t>
      </w:r>
    </w:p>
    <w:p w14:paraId="0C26A513" w14:textId="77777777" w:rsidR="00B42956" w:rsidRPr="00275D1A" w:rsidRDefault="00B42956" w:rsidP="00B42956">
      <w:pPr>
        <w:pStyle w:val="NormalHangingLeft12a"/>
        <w:rPr>
          <w:bCs/>
          <w:iCs/>
        </w:rPr>
      </w:pPr>
      <w:r w:rsidRPr="00275D1A">
        <w:t>a)</w:t>
      </w:r>
      <w:r w:rsidRPr="00275D1A">
        <w:tab/>
        <w:t>zintenzivnit strategické zaměření EU na východní Asii a její přítomnost a viditelnost v tomto regionu, jakož i dialog a spolupráci EU s východní Asií, mimo jiné prostřednictvím diplomatických vztahů, bezpečnostní spolupráce, mezilidských kontaktů a ekonomických partnerství, s cílem vyhnout se konfrontační dynamice založené na seskupování do bloků a přispět k míru, regionální stabilitě, bezpečnosti, prosperitě a udržitelnému rozvoji na základě podpory demokracie, multilateralismu, právního státu, lidských práv, obchodního systému fungujícího podle pravidel, územní integrity a mezinárodního práva; spolupracovat v této souvislosti s Japonskem na jeho aktualizované koncepci svobodného a otevřeného indicko-tichomořského regionu; posílit spolupráci, koordinaci a dialog s východoasijskými obdobně smýšlejícími partnery a plně využít jejich regionálních znalostí a zkušeností k uplatňování účinnějšího, soudržnějšího a kontextově citlivějšího přístupu k míru, bezpečnosti a stabilitě ve východní Asii;</w:t>
      </w:r>
    </w:p>
    <w:p w14:paraId="4197779C" w14:textId="77777777" w:rsidR="00B42956" w:rsidRPr="00275D1A" w:rsidRDefault="00B42956" w:rsidP="00B42956">
      <w:pPr>
        <w:pStyle w:val="NormalHangingLeft12a"/>
        <w:rPr>
          <w:bCs/>
          <w:iCs/>
        </w:rPr>
      </w:pPr>
      <w:r w:rsidRPr="00275D1A">
        <w:t>b)</w:t>
      </w:r>
      <w:r w:rsidRPr="00275D1A">
        <w:tab/>
        <w:t xml:space="preserve">posílit strategické prognózy a pohotovostní plánování EU ve spolupráci s jejími východoasijskými partnery, aby mohli společně posuzovat regionální bezpečnostní rizika a koordinovat odstrašující opatření v zájmu ochrany a napomáhání k míru a stabilitě v regionu a aktivního odrazování od jednostranných pokusů o změnu regionálního </w:t>
      </w:r>
      <w:proofErr w:type="spellStart"/>
      <w:r w:rsidRPr="00275D1A">
        <w:t>statu</w:t>
      </w:r>
      <w:proofErr w:type="spellEnd"/>
      <w:r w:rsidRPr="00275D1A">
        <w:t xml:space="preserve"> quo silou nebo nátlakem;</w:t>
      </w:r>
    </w:p>
    <w:p w14:paraId="6AD46DDE" w14:textId="77777777" w:rsidR="00B42956" w:rsidRPr="00275D1A" w:rsidRDefault="00B42956" w:rsidP="00B42956">
      <w:pPr>
        <w:pStyle w:val="NormalHangingLeft12a"/>
        <w:rPr>
          <w:bCs/>
          <w:iCs/>
        </w:rPr>
      </w:pPr>
      <w:r w:rsidRPr="00275D1A">
        <w:t>c)</w:t>
      </w:r>
      <w:r w:rsidRPr="00275D1A">
        <w:tab/>
        <w:t xml:space="preserve">ocenit značný diplomatický pokrok, jehož dosáhly vlády Japonska a Korejské republiky při budování odolného partnerství zaměřeného na budoucnost, neboť taková posílená spolupráce mezi Japonskem a Korejskou republikou má zásadní význam pro zachování mezinárodního řádu založeného na pravidlech a zajištění stability v celém indicko-tichomořském regionu; </w:t>
      </w:r>
    </w:p>
    <w:p w14:paraId="7287C173" w14:textId="77777777" w:rsidR="00B42956" w:rsidRPr="00275D1A" w:rsidRDefault="00B42956" w:rsidP="00B42956">
      <w:pPr>
        <w:pStyle w:val="NormalHangingLeft12a"/>
        <w:rPr>
          <w:bCs/>
          <w:iCs/>
        </w:rPr>
      </w:pPr>
      <w:r w:rsidRPr="00275D1A">
        <w:t>d)</w:t>
      </w:r>
      <w:r w:rsidRPr="00275D1A">
        <w:tab/>
        <w:t>posílit strategickou autonomii a hospodářskou bezpečnost EU prostřednictvím diverzifikace obchodu a investic, bezpečných a předvídatelných dodavatelských řetězců, otevřených trhů a obchodních toků a užší spolupráce s podobně smýšlejícími partnery ve východní Asii s tím, že budou současně zajištěny vzájemné výhody a vytvářeny hodnoty na místní úrovni a EU bude plnit svůj závazek k zajištění spravedlivého a udržitelného obchodu;</w:t>
      </w:r>
    </w:p>
    <w:p w14:paraId="5D1556E1" w14:textId="77777777" w:rsidR="00B42956" w:rsidRPr="00275D1A" w:rsidRDefault="00B42956" w:rsidP="00B42956">
      <w:pPr>
        <w:pStyle w:val="NormalHanging12a"/>
        <w:ind w:left="1134"/>
        <w:rPr>
          <w:bCs/>
          <w:iCs/>
        </w:rPr>
      </w:pPr>
      <w:r w:rsidRPr="00275D1A">
        <w:t>e)</w:t>
      </w:r>
      <w:r w:rsidRPr="00275D1A">
        <w:tab/>
        <w:t>prohloubit spolupráci s podobně smýšlejícími partnery v regionu, zejména s Japonskem, Korejskou republikou, Tchaj-wanem a se sdružením ASEAN s cílem řešit společné problémy v otázkách, k nimž patří ekonomický nátlak, svévolné kontroly vývozu, včetně omezení vývozu zboží dvojího užití zaměřených na Japonsko, netržní politiky a postupy, odolnost demokracie, ekologická transformace, kybernetická bezpečnost, hybridní hrozby včetně zahraniční manipulace s informacemi a vměšování, ochrana kritické infrastruktury, včetně podmořských kabelů, přístavů a logistických center, námořní a kosmická bezpečnost, nešíření zbraní a nové obranné technologie, včetně pokroku v </w:t>
      </w:r>
      <w:proofErr w:type="spellStart"/>
      <w:r w:rsidRPr="00275D1A">
        <w:t>dronových</w:t>
      </w:r>
      <w:proofErr w:type="spellEnd"/>
      <w:r w:rsidRPr="00275D1A">
        <w:t xml:space="preserve"> technologiích, a zároveň posílit součinnost s klíčovými partnery a regionálními organizacemi, přičemž musí být plně </w:t>
      </w:r>
      <w:r w:rsidRPr="00275D1A">
        <w:lastRenderedPageBreak/>
        <w:t xml:space="preserve">dodržována Charta OSN; prozkoumat a realizovat společné iniciativy zaměřené na posílení strategické autonomie příslušných stran a snížit závislost na Číně; zdůraznit význam silných institucí a dynamických demokracií Japonska, Korejské republiky a Tchaj-wanu v širším regionálním kontextu, které zajišťují klíčovou protiváhu oproti jiným aktérům v regionu; </w:t>
      </w:r>
    </w:p>
    <w:p w14:paraId="16B2EA8E" w14:textId="77777777" w:rsidR="00B42956" w:rsidRPr="00275D1A" w:rsidRDefault="00B42956" w:rsidP="00B42956">
      <w:pPr>
        <w:pStyle w:val="NormalHanging12a"/>
        <w:ind w:left="1134"/>
      </w:pPr>
      <w:r w:rsidRPr="00275D1A">
        <w:t>f)</w:t>
      </w:r>
      <w:r w:rsidRPr="00275D1A">
        <w:tab/>
        <w:t>v koordinaci s podobně smýšlejícími partnery udržovat otevřené možnosti dialogu a zásadové spolupráce s dalšími globálními aktéry ve východní Asii s cílem řešit společné globální výzvy;</w:t>
      </w:r>
    </w:p>
    <w:p w14:paraId="68DD03E1" w14:textId="77777777" w:rsidR="00B42956" w:rsidRPr="00275D1A" w:rsidRDefault="00B42956" w:rsidP="00B42956">
      <w:pPr>
        <w:pStyle w:val="NormalHanging12a"/>
        <w:ind w:left="1134"/>
      </w:pPr>
      <w:r w:rsidRPr="00275D1A">
        <w:t>g)</w:t>
      </w:r>
      <w:r w:rsidRPr="00275D1A">
        <w:tab/>
        <w:t xml:space="preserve">znovu potvrdit význam dodržování mezinárodního práva pro podporu míru a prosperity ve svobodném a otevřeném indicko-tichomořském regionu; aktivně podporovat dodržování a všeobecné uplatňování úmluvy UNCLOS jako univerzálního právního rámce, kterým se řídí námořní aktivity, včetně rozhodnutí v rozhodčím řízení z roku 2016 o Jihočínském moři, a vznášet námitky proti jednostranným akcím nebo nárokům, které nejsou v souladu s mezinárodním právem; </w:t>
      </w:r>
    </w:p>
    <w:p w14:paraId="01EAB4B8" w14:textId="77777777" w:rsidR="00B42956" w:rsidRPr="00275D1A" w:rsidRDefault="00B42956" w:rsidP="00B42956">
      <w:pPr>
        <w:pStyle w:val="NormalHanging12a"/>
        <w:ind w:left="1134"/>
      </w:pPr>
      <w:r w:rsidRPr="00275D1A">
        <w:t>h)</w:t>
      </w:r>
      <w:r w:rsidRPr="00275D1A">
        <w:tab/>
        <w:t>usnadnit strukturovanou vojensko-průmyslovou spolupráci s podobně smýšlejícími partnery a budovat příslušná bezpečnostní partnerství, která se budou soustředit na interoperabilitu, společný vývoj a pořizování obranných technologií, bezpečnost dodavatelských řetězců a společný výzkum a vývoj v oblasti letectví a dronů, mj. s ohledem na přínos systémů založených na umělé inteligenci;</w:t>
      </w:r>
    </w:p>
    <w:p w14:paraId="2423B27D" w14:textId="77777777" w:rsidR="00B42956" w:rsidRPr="00275D1A" w:rsidRDefault="00B42956" w:rsidP="00B42956">
      <w:pPr>
        <w:pStyle w:val="NormalHanging12a"/>
        <w:ind w:left="1134"/>
      </w:pPr>
      <w:r w:rsidRPr="00275D1A">
        <w:t>i)</w:t>
      </w:r>
      <w:r w:rsidRPr="00275D1A">
        <w:tab/>
        <w:t>pokračovat v pragmatické spolupráci s Čínou na řešení globálních výzev a zároveň posilovat koordinaci s podobně smýšlejícími partnery v bezpečnostních otázkách v kontextu stále důležitější úlohy Číny, pokud jde o světový mír a stabilitu, zejména v souvislosti s ruskou agresivní válkou proti Ukrajině a pokračující nestabilitou na Blízkém východě;</w:t>
      </w:r>
    </w:p>
    <w:p w14:paraId="08832F5F" w14:textId="77777777" w:rsidR="00B42956" w:rsidRPr="00275D1A" w:rsidRDefault="00B42956" w:rsidP="00B42956">
      <w:pPr>
        <w:pStyle w:val="NormalHanging12a"/>
        <w:ind w:left="1134"/>
        <w:rPr>
          <w:bCs/>
          <w:iCs/>
        </w:rPr>
      </w:pPr>
      <w:r w:rsidRPr="00275D1A">
        <w:t>j)</w:t>
      </w:r>
      <w:r w:rsidRPr="00275D1A">
        <w:tab/>
        <w:t xml:space="preserve">zintenzivnit spolupráci v oblasti bezpečných, udržitelných a diverzifikovaných dodavatelských řetězců polovodičů, baterií a kritických surovin, mimo jiné prostřednictvím sledovatelnosti, recyklace, </w:t>
      </w:r>
      <w:proofErr w:type="spellStart"/>
      <w:r w:rsidRPr="00275D1A">
        <w:t>oběhovosti</w:t>
      </w:r>
      <w:proofErr w:type="spellEnd"/>
      <w:r w:rsidRPr="00275D1A">
        <w:t xml:space="preserve"> a přísných environmentálních a pracovních norem, a to v koordinaci s podobně smýšlejícími partnery v rámci příslušných mnohostranných iniciativ; </w:t>
      </w:r>
    </w:p>
    <w:p w14:paraId="2BBCFE58" w14:textId="77777777" w:rsidR="00B42956" w:rsidRPr="00275D1A" w:rsidRDefault="00B42956" w:rsidP="00B42956">
      <w:pPr>
        <w:pStyle w:val="NormalHanging12a"/>
        <w:ind w:left="1134"/>
      </w:pPr>
      <w:r w:rsidRPr="00275D1A">
        <w:t>k)</w:t>
      </w:r>
      <w:r w:rsidRPr="00275D1A">
        <w:tab/>
        <w:t>podporovat dohodu o strategickém partnerství mezi EU a Japonskem a partnerství těchto stran v oblasti bezpečnosti a obrany; podporovat hlubší spolupráci na poli obranného průmyslu, včetně vzájemného zapojení do obranných iniciativ, pokroku v dohodě o bezpečnosti informací a dalšího rozvoje dialogu mezi EU a Japonskem o obranném průmyslu s cílem posílit odolnost dodavatelského řetězce, interoperabilitu a inovace; zintenzivnit konkrétní společné činnosti v rámci aliance pro konkurenceschopnost, zelené aliance, digitálního partnerství a dialogů o energetice a pokračovat v rozšiřování hospodářského dialogu na vysoké úrovni mezi EU a Japonskem a v posilování strategické hospodářské spolupráce mezi oběma stranami; urychlit zřízení aliance EU a Japonska pro konkurenceschopnost;</w:t>
      </w:r>
    </w:p>
    <w:p w14:paraId="0C763D9B" w14:textId="77777777" w:rsidR="00B42956" w:rsidRPr="00275D1A" w:rsidRDefault="00B42956" w:rsidP="00B42956">
      <w:pPr>
        <w:pStyle w:val="NormalHanging12a"/>
        <w:ind w:left="1134"/>
      </w:pPr>
      <w:r w:rsidRPr="00275D1A">
        <w:t>l)</w:t>
      </w:r>
      <w:r w:rsidRPr="00275D1A">
        <w:tab/>
        <w:t xml:space="preserve">zdůraznit, že partnerství EU a Japonska je partnerstvím výjimečně podobně smýšlejících partnerů, které je založeno na společných hodnotách, demokracii, volném obchodu a vzájemně slučitelných zájmech; zdůraznit význam dalšího </w:t>
      </w:r>
      <w:r w:rsidRPr="00275D1A">
        <w:lastRenderedPageBreak/>
        <w:t>prohlubování a rozšiřování tohoto partnerství na dvoustranné i mnohostranné úrovni; poukázat na to, že hrubý domácí produkt (HDP) EU a Japonska dohromady činí téměř 25 % celosvětového HDP a že toto partnerství může a mělo by hrát klíčovou úlohu při utváření mírového, inkluzivního, spravedlivého, udržitelného a prosperujícího mezinárodního řádu založeného na pravidlech; ocenit finanční, technickou, humanitární a bezpečnostní pomoc, kterou Japonsko poskytuje Ukrajině od začátku plošné ruské invaze v roce 2022;</w:t>
      </w:r>
    </w:p>
    <w:p w14:paraId="2F26094C" w14:textId="77777777" w:rsidR="00B42956" w:rsidRPr="00275D1A" w:rsidRDefault="00B42956" w:rsidP="00B42956">
      <w:pPr>
        <w:pStyle w:val="NormalHanging12a"/>
        <w:ind w:left="1134"/>
      </w:pPr>
      <w:r w:rsidRPr="00275D1A">
        <w:t>m)</w:t>
      </w:r>
      <w:r w:rsidRPr="00275D1A">
        <w:tab/>
        <w:t>pokročit v budování partnerství EU a Korejské republiky v oblasti bezpečnosti a obrany, podpořit praktickou spolupráci v oblasti námořní bezpečnosti, nešíření zbraní, kybernetické bezpečnosti, boje proti terorismu a řešení krizí, navázat na stávající společné operace a prozkoumat možnosti další spolupráce v rámci nástroje EU pro koordinovanou přítomnost na moři; zahájit společný dialog mezi EU a Korejskou republikou o obranném průmyslu a posílit koordinaci na mnohostranných fórech s cílem prosazovat mír, odrazovat od provokací a podporovat denuklearizaci; dále navázat na úspěšnou a vzájemně výhodnou spolupráci týkající se produktů pro obranné účely mezi Korejskou republikou a několika členskými státy; zintenzivnit spolupráci mezi EU a Korejskou republikou s cílem posílit vojenskou a finanční pomoc Ukrajině;</w:t>
      </w:r>
    </w:p>
    <w:p w14:paraId="613F85F8" w14:textId="77777777" w:rsidR="00B42956" w:rsidRPr="00275D1A" w:rsidRDefault="00B42956" w:rsidP="00B42956">
      <w:pPr>
        <w:pStyle w:val="NormalHanging12a"/>
        <w:ind w:left="1134"/>
      </w:pPr>
      <w:r w:rsidRPr="00275D1A">
        <w:t>n)</w:t>
      </w:r>
      <w:r w:rsidRPr="00275D1A">
        <w:tab/>
        <w:t>přivítat spolupráci Korejské republiky s EU v otázkách společné hospodářské bezpečnosti; zdůraznit, že Korejská republika zůstává klíčovým partnerem v jakémkoli úsilí v oblasti odstraňování rizika a tzv. „</w:t>
      </w:r>
      <w:proofErr w:type="spellStart"/>
      <w:r w:rsidRPr="00275D1A">
        <w:t>friendshoringu</w:t>
      </w:r>
      <w:proofErr w:type="spellEnd"/>
      <w:r w:rsidRPr="00275D1A">
        <w:t>“, zejména v oblasti obchodu; naléhavě vyzvat specializovaný výbor pro vznikající obchodní a hospodářské otázky, který byl nově zřízen v rámci dohody o volném obchodu mezi EU a Korejskou republikou, aby urychlil spolupráci, zejména na otázkách s významem pro hospodářskou bezpečnost, jako jsou kritické dodavatelské řetězce a nadbytečná kapacita;</w:t>
      </w:r>
    </w:p>
    <w:p w14:paraId="5D03615F" w14:textId="77777777" w:rsidR="00B42956" w:rsidRPr="00275D1A" w:rsidRDefault="00B42956" w:rsidP="00B42956">
      <w:pPr>
        <w:pStyle w:val="NormalHanging12a"/>
        <w:ind w:left="1134"/>
      </w:pPr>
      <w:r w:rsidRPr="00275D1A">
        <w:t>o)</w:t>
      </w:r>
      <w:r w:rsidRPr="00275D1A">
        <w:tab/>
        <w:t>pokročit ve společném úsilí s podobně smýšlejícími partnery ve východní Asii o řešení rostoucí spolupráce Ruska s KLDR, včetně jeho podpory při posilování jaderných a balistických kapacit KLDR a neochoty Číny tomu bránit, jakož i o řešení vazby mezi jadernými programy KLDR a Íránu, přičemž je třeba zdůraznit, že tato spolupráce zhoršuje napjaté geopolitické prostředí na Korejském poloostrově; jít dále ve spolupráci s Korejskou republikou při řešení dezinformačních kampaní ve volebních procesech a při ochraně volební infrastruktury před kybernetickými útoky;</w:t>
      </w:r>
    </w:p>
    <w:p w14:paraId="65BB5107" w14:textId="77777777" w:rsidR="00B42956" w:rsidRPr="00275D1A" w:rsidRDefault="00B42956" w:rsidP="00B42956">
      <w:pPr>
        <w:pStyle w:val="NormalHanging12a"/>
        <w:ind w:left="1134"/>
      </w:pPr>
      <w:r w:rsidRPr="00275D1A">
        <w:t>p)</w:t>
      </w:r>
      <w:r w:rsidRPr="00275D1A">
        <w:tab/>
        <w:t xml:space="preserve">ocenit úsilí Korejské republiky o obnovení dialogu s KLDR prostřednictvím proaktivních opatření k deeskalaci a budování důvěry; vyzvat KLDR, aby okamžitě zastavila všechny své vojenské akce a provokace a vývoj jaderných a balistických raket; důrazně odsoudit nepřátelské činnosti KLDR v kyberprostoru včetně krádeží kryptoměn a dalších forem </w:t>
      </w:r>
      <w:proofErr w:type="spellStart"/>
      <w:r w:rsidRPr="00275D1A">
        <w:t>kyberkriminality</w:t>
      </w:r>
      <w:proofErr w:type="spellEnd"/>
      <w:r w:rsidRPr="00275D1A">
        <w:t xml:space="preserve">, a účinně je řešit; naléhavě vyzvat KLDR, aby umožnila přístup organizacím poskytujícím humanitární pomoc, dodržovala lidská práva, a zejména aby neprodleně vyřešila otázku únosů; naléhavě vyzvat Rusko a KLDR, aby plně dodržovaly Chartu OSN a rezoluce Rady bezpečnosti OSN, a to i pokud jde o úplnou denuklearizaci KLDR; odsoudit účast KLDR na ruské agresi proti Ukrajině, včetně nasazení vojenského personálu a vybavení; vypracovat politiku EU vůči Severní Koreji s náležitým přihlédnutím k odborným znalostem, bezpečnostním potřebám a oprávněným obavám podobně smýšlejících partnerů v regionu, zejména těch, </w:t>
      </w:r>
      <w:r w:rsidRPr="00275D1A">
        <w:lastRenderedPageBreak/>
        <w:t>kteří se nacházejí v těsné geografické blízkosti KLDR, zejména Korejské republiky a Japonska;</w:t>
      </w:r>
    </w:p>
    <w:p w14:paraId="5E205960" w14:textId="77777777" w:rsidR="00B42956" w:rsidRPr="00275D1A" w:rsidRDefault="00B42956" w:rsidP="00B42956">
      <w:pPr>
        <w:pStyle w:val="NormalHanging12a"/>
        <w:ind w:left="1134"/>
        <w:rPr>
          <w:bCs/>
          <w:iCs/>
        </w:rPr>
      </w:pPr>
      <w:r w:rsidRPr="00275D1A">
        <w:t>q)</w:t>
      </w:r>
      <w:r w:rsidRPr="00275D1A">
        <w:tab/>
        <w:t>vytvořit strukturovaný a komplexní rámec pro spolupráci mezi EU a Tchaj-wanem, který bude vycházet ze stávajících mechanismů, jako je dialog o obchodu a investicích, bude mít silnou hospodářskou a obchodní složku a bude se zaměřovat na kritické technologie, jako jsou polovodiče a umělá inteligence, odolnost dodavatelských řetězců, kybernetickou bezpečnost, boj proti dezinformacím, námořní bezpečnost, veřejné zdraví, civilní ochranu a bezpečnou konektivitu, jakož i demokratickou, sociální a energetickou odolnost; nadále podporovat významnou účast Tchaj-wanu v příslušných mezinárodních orgánech a technických fórech, jako je WHO, Mezinárodní organizace pro civilní letectví a Rámcová úmluva OSN o změně klimatu; zintenzivnit pravidelné výměny informací mezi EU a jejími tchajwanskými protějšky o příslušných bezpečnostních otázkách, hospodářské bezpečnosti, flexibilitě dodavatelských řetězců, integritě demokracie a voleb, ochraně kritické infrastruktury a spolupráci v oblasti čistých technologií;; naléhavě vyzývá čínské orgány, aby při řešení závažných globálních zdravotních problémů úzce spolupracovaly s ostatními regionálními aktéry, včetně Tchaj-wanu; zdůraznit, že jakýkoli pokus autoritářských režimů ovlivnit vztahy mezi EU a Tchaj-wanem je nepřijatelný;</w:t>
      </w:r>
    </w:p>
    <w:p w14:paraId="1A119DEE" w14:textId="77777777" w:rsidR="00B42956" w:rsidRPr="00275D1A" w:rsidRDefault="00B42956" w:rsidP="00B42956">
      <w:pPr>
        <w:pStyle w:val="NormalHanging12a"/>
        <w:ind w:left="1134"/>
        <w:rPr>
          <w:bCs/>
          <w:iCs/>
        </w:rPr>
      </w:pPr>
      <w:r w:rsidRPr="00275D1A">
        <w:t>r)</w:t>
      </w:r>
      <w:r w:rsidRPr="00275D1A">
        <w:tab/>
        <w:t>zdůraznit, že Tchaj-wan je klíčovým demokratickým partnerem EU v indicko-tichomořském regionu; dále prohlubovat dialog o obchodu a investicích mezi EU a Tchaj-wanem s cílem odstranit překážky v přístupu na trh a posílit právní jistotu pro investory z EU; prozkoumat možnosti zahájení jednání o dvoustranné investiční dohodě mezi EU a Tchaj-wanem nebo o jiných rámcích souvisejících s obchodem; uznat, že Tchaj-wan hraje významnou roli v zajišťování globálních dodavatelských řetězců, zejména v odvětví špičkových technologií, a naléhavě vyzvat EU a její členské státy, aby s Tchaj-wanem navázaly užší spolupráci za účelem dalšího posílení hospodářských, obchodních a investičních vazeb; uznat zkušenosti Tchaj-wanu se zvládáním hospodářské expozice vůči Číně a jeho silných stránek v oblasti demokratické správy, transparentních regulačních norem a odolných digitálních a technologických ekosystémů;</w:t>
      </w:r>
    </w:p>
    <w:p w14:paraId="30E47613" w14:textId="77777777" w:rsidR="00B42956" w:rsidRPr="00275D1A" w:rsidRDefault="00B42956" w:rsidP="00B42956">
      <w:pPr>
        <w:pStyle w:val="NormalHanging12a"/>
        <w:ind w:left="1134"/>
        <w:rPr>
          <w:bCs/>
          <w:iCs/>
        </w:rPr>
      </w:pPr>
      <w:r w:rsidRPr="00275D1A">
        <w:t>s)</w:t>
      </w:r>
      <w:r w:rsidRPr="00275D1A">
        <w:tab/>
        <w:t xml:space="preserve">znovu potvrdit důležitost míru a stability v celém Tchajwanském průlivu odmítnutím jakékoli nátlakové jednostranné změny </w:t>
      </w:r>
      <w:proofErr w:type="spellStart"/>
      <w:r w:rsidRPr="00275D1A">
        <w:t>statu</w:t>
      </w:r>
      <w:proofErr w:type="spellEnd"/>
      <w:r w:rsidRPr="00275D1A">
        <w:t xml:space="preserve"> quo; prostřednictvím jasných a koordinovaných sdělení spolu s členskými státy a podobně smýšlejícími partnery zajistit, že takové kroky by znamenaly značné politické a ekonomické náklady; zdůraznit, že veškeré neshody musí být řešeny mírovou cestou prostřednictvím dialogu, v souladu s mezinárodním právem a při respektování vůle tchajwanského lidu; důrazně připomíná, že v indicko-tichomořském regionu, včetně Jihočínského moře a Tchajwanského průlivu, musí být respektována svoboda plavby a přeletu zaručená mezinárodním právem; aktivním zapojením do diplomatického úsilí s cílem zabránit další eskalaci v Tchajwanském průlivu a ve Východočínském a Jihočínském moři; urychleně vypracovat pohotovostní plánování a zmírňující opatření na základě pravděpodobných scénářů eskalace, včetně námořní blokády Tchaj-wanu ze strany Čínské lidové republiky;</w:t>
      </w:r>
    </w:p>
    <w:p w14:paraId="47927CBC" w14:textId="77777777" w:rsidR="00B42956" w:rsidRPr="00275D1A" w:rsidRDefault="00B42956" w:rsidP="00B42956">
      <w:pPr>
        <w:pStyle w:val="NormalHanging12a"/>
        <w:ind w:left="1134"/>
        <w:rPr>
          <w:bCs/>
          <w:iCs/>
        </w:rPr>
      </w:pPr>
      <w:r w:rsidRPr="00275D1A">
        <w:t>t)</w:t>
      </w:r>
      <w:r w:rsidRPr="00275D1A">
        <w:tab/>
        <w:t xml:space="preserve">poukázat na význam nástrojů hospodářské bezpečnosti EU pro řešení nátlakových hospodářských praktik a ochranu spravedlivé hospodářské soutěže, včetně </w:t>
      </w:r>
      <w:proofErr w:type="spellStart"/>
      <w:r w:rsidRPr="00275D1A">
        <w:t>protinátlakového</w:t>
      </w:r>
      <w:proofErr w:type="spellEnd"/>
      <w:r w:rsidRPr="00275D1A">
        <w:t xml:space="preserve"> nástroje, účinných mechanismů prověřování přímých </w:t>
      </w:r>
      <w:r w:rsidRPr="00275D1A">
        <w:lastRenderedPageBreak/>
        <w:t xml:space="preserve">zahraničních investic a režimů kontroly vývozu, je-li to vhodné a v souladu s právem EU; sjednotit </w:t>
      </w:r>
      <w:proofErr w:type="spellStart"/>
      <w:r w:rsidRPr="00275D1A">
        <w:t>geoekonomický</w:t>
      </w:r>
      <w:proofErr w:type="spellEnd"/>
      <w:r w:rsidRPr="00275D1A">
        <w:t xml:space="preserve"> vliv EU, mimo jiné prostřednictvím koordinovaných kontrol vývozu, společných posouzení rizik a kolektivních reakcí na hospodářský nátlak, a tím přeměnit dvoustranné závislosti na účinné odstrašování a posílit hospodářskou bezpečnost EU i jejích partnerů; </w:t>
      </w:r>
    </w:p>
    <w:p w14:paraId="59C81D39" w14:textId="77777777" w:rsidR="00B42956" w:rsidRPr="00275D1A" w:rsidRDefault="00B42956" w:rsidP="00B42956">
      <w:pPr>
        <w:pStyle w:val="NormalHanging12a"/>
        <w:ind w:left="1134"/>
        <w:rPr>
          <w:bCs/>
          <w:iCs/>
        </w:rPr>
      </w:pPr>
      <w:r w:rsidRPr="00275D1A">
        <w:t>u)</w:t>
      </w:r>
      <w:r w:rsidRPr="00275D1A">
        <w:tab/>
        <w:t>urychlit spolupráci sjednáním třístranných nebo čtyřstranných dohod a iniciativ týkajících se otázek společného zájmu, které budou přispívat k prosazování mnohostranného mezinárodního řádu založeného na pravidlech; rozvíjet stávající digitální partnerství mezi EU, Japonskem a EU a Korejskou republikou se společnými závazky v oblasti umělé inteligence, polovodičů, konektivity nové generace, kvantových výpočtů, správy dat, kybernetické bezpečnosti, bateriových technologií, podmořských kabelů, digitální identity a odolnosti dodavatelského řetězce posílit rámce spolupráce pro rozvoj obranných technologií;</w:t>
      </w:r>
    </w:p>
    <w:p w14:paraId="6D16073E" w14:textId="77777777" w:rsidR="00B42956" w:rsidRPr="00275D1A" w:rsidRDefault="00B42956" w:rsidP="00B42956">
      <w:pPr>
        <w:pStyle w:val="NormalHanging12a"/>
        <w:ind w:left="1134"/>
        <w:rPr>
          <w:bCs/>
          <w:iCs/>
        </w:rPr>
      </w:pPr>
      <w:r w:rsidRPr="00275D1A">
        <w:t>v)</w:t>
      </w:r>
      <w:r w:rsidRPr="00275D1A">
        <w:tab/>
        <w:t>plně a účinně provádět obchodní dohody s Japonskem a Korejskou republikou, a to i v oblasti přístupu na trh, necelních překážek, udržitelného rozvoje, spolupráce v oblasti regulace, a pokud jde o Korejskou republiku, zajistit provádění základních úmluv MOP; podporovat užší spolupráci mezi malými a středními podniky v EU a v jejích partnerských zemích ve východní Asii s cílem propagovat vzájemné obchodní příležitosti, zlepšovat přístup na trh a posílit inovační sítě;</w:t>
      </w:r>
    </w:p>
    <w:p w14:paraId="0120D92D" w14:textId="77777777" w:rsidR="00B42956" w:rsidRPr="00275D1A" w:rsidRDefault="00B42956" w:rsidP="00B42956">
      <w:pPr>
        <w:pStyle w:val="NormalHanging12a"/>
        <w:ind w:left="1134"/>
        <w:rPr>
          <w:bCs/>
          <w:iCs/>
        </w:rPr>
      </w:pPr>
      <w:r w:rsidRPr="00275D1A">
        <w:t>w)</w:t>
      </w:r>
      <w:r w:rsidRPr="00275D1A">
        <w:tab/>
        <w:t>zajistit, aby veškeré budoucí hospodářské nebo odvětvové dohody s podobně smýšlejícími partnery v regionu byly vzájemně prospěšnými partnerstvími, která se nebudou omezovat na hospodářské a bezpečnostní cíle, nýbrž budou zahrnovat také pevné závazky v oblasti pracovních práv, ochrany životního prostředí a rozvoje čistých a udržitelných hodnotových řetězců v souladu s rámcem EU pro obchod a udržitelný rozvoj; podpořit ve východní Asii komplexní informační kampaň o politikách Evropské unie týkajících se ocelářství a navrhovaného aktu o akcelerátoru průmyslu</w:t>
      </w:r>
      <w:r w:rsidRPr="00275D1A">
        <w:rPr>
          <w:rStyle w:val="FootnoteReference"/>
          <w:bCs/>
          <w:iCs/>
        </w:rPr>
        <w:footnoteReference w:id="11"/>
      </w:r>
      <w:r w:rsidRPr="00275D1A">
        <w:t xml:space="preserve"> s cílem zvýšit transparentnost a porozumění cílům EU mezi mezinárodními partnery; zdůrazňovat, že je důležité aktivně spolupracovat s východoasijskými partnery, aby se řešily jejich obavy, podporoval dialog a předcházelo se možným nedorozuměním v obchodních a průmyslových vztazích;</w:t>
      </w:r>
    </w:p>
    <w:p w14:paraId="64384C5E" w14:textId="77777777" w:rsidR="00B42956" w:rsidRPr="00275D1A" w:rsidRDefault="00B42956" w:rsidP="00B42956">
      <w:pPr>
        <w:pStyle w:val="NormalHanging12a"/>
        <w:ind w:left="1134"/>
        <w:rPr>
          <w:bCs/>
          <w:iCs/>
        </w:rPr>
      </w:pPr>
      <w:r w:rsidRPr="00275D1A">
        <w:t>x)</w:t>
      </w:r>
      <w:r w:rsidRPr="00275D1A">
        <w:tab/>
        <w:t>dále se zabývat hlášeným obcházením sankcí ze strany Ruska prostřednictvím jurisdikcí ve východní Asii, včetně přesměrování obchodu za účelem získání zboží dvojího užití, na které se vztahují sankce, mikročipů a průmyslových strojů, prostřednictvím prostředníků v regionu;</w:t>
      </w:r>
    </w:p>
    <w:p w14:paraId="5ED694C1" w14:textId="77777777" w:rsidR="00B42956" w:rsidRPr="00275D1A" w:rsidRDefault="00B42956" w:rsidP="00B42956">
      <w:pPr>
        <w:pStyle w:val="NormalHanging12a"/>
        <w:ind w:left="1134"/>
        <w:rPr>
          <w:bCs/>
          <w:iCs/>
        </w:rPr>
      </w:pPr>
      <w:r w:rsidRPr="00275D1A">
        <w:t>y)</w:t>
      </w:r>
      <w:r w:rsidRPr="00275D1A">
        <w:tab/>
        <w:t xml:space="preserve">zvýšit politickou, hospodářskou a bezpečnostní angažovanost EU v indicko-tichomořském regionu jako celku, a to prostřednictvím posílených partnerství se všemi podobně smýšlejícími aktéry a iniciativ, jako je strategie </w:t>
      </w:r>
      <w:proofErr w:type="spellStart"/>
      <w:r w:rsidRPr="00275D1A">
        <w:t>Global</w:t>
      </w:r>
      <w:proofErr w:type="spellEnd"/>
      <w:r w:rsidRPr="00275D1A">
        <w:t xml:space="preserve"> </w:t>
      </w:r>
      <w:proofErr w:type="spellStart"/>
      <w:r w:rsidRPr="00275D1A">
        <w:t>Gateway</w:t>
      </w:r>
      <w:proofErr w:type="spellEnd"/>
      <w:r w:rsidRPr="00275D1A">
        <w:t xml:space="preserve">, která podporuje dialog o lidských právech, udržitelný rozvoj a propojení, rovnost a vysoké pracovní standardy; uznat rostoucí sbližování strategických zájmů mezi euroatlantickým a indicko-tichomořským regionem, v němž Japonsko a Korejská republika slouží jako partneři NATO v rámci IP4, což dokládá i nedávné zřízení japonské mise při NATO; potvrdit, že tato spolupráce zvyšuje vzájemnou </w:t>
      </w:r>
      <w:r w:rsidRPr="00275D1A">
        <w:lastRenderedPageBreak/>
        <w:t>informovanost o vývoji bezpečnostní situace v obou regionech; podporovat rámec NATO IP4 jako zásadní příspěvek k posílení evropské bezpečnosti a prohloubení meziregionální spolupráce doplňujícím a vzájemně se posilujícím způsobem; posílit zapojení a koordinaci EU s klíčovými regionálními bezpečnostními iniciativami v indicko-tichomořském regionu, včetně čtyřstranného bezpečnostního dialogu mezi Spojenými státy, Austrálií, Indií a Japonskem; vypracovat komplexní, soudržnou a flexibilní novou strategii pro indicko-tichomořský region, která bude pevně zakotvena v evropských hodnotách a zájmech, jakož i v realitě, potřebách a prioritách regionu;</w:t>
      </w:r>
    </w:p>
    <w:p w14:paraId="691596EA" w14:textId="77777777" w:rsidR="00B42956" w:rsidRPr="00275D1A" w:rsidRDefault="00B42956" w:rsidP="00B42956">
      <w:pPr>
        <w:pStyle w:val="NormalHanging12a"/>
        <w:ind w:left="1134"/>
        <w:rPr>
          <w:bCs/>
          <w:iCs/>
        </w:rPr>
      </w:pPr>
      <w:r w:rsidRPr="00275D1A">
        <w:t>z)</w:t>
      </w:r>
      <w:r w:rsidRPr="00275D1A">
        <w:tab/>
        <w:t>využívat geostrategické polohy zámořských zemí a území v indicko-tichomořském regionu tak, aby mohly sloužit jako vyspělé platformy pro spolupráci s regionálními partnery, zejména v oblasti obchodu, digitální konektivity, kritické infrastruktury a kosmických aktivit;</w:t>
      </w:r>
    </w:p>
    <w:p w14:paraId="7C4B70F0" w14:textId="77777777" w:rsidR="00B42956" w:rsidRPr="00275D1A" w:rsidRDefault="00B42956" w:rsidP="00B42956">
      <w:pPr>
        <w:pStyle w:val="NormalHanging12a"/>
        <w:ind w:left="1134"/>
        <w:rPr>
          <w:bCs/>
          <w:iCs/>
        </w:rPr>
      </w:pPr>
      <w:proofErr w:type="spellStart"/>
      <w:r w:rsidRPr="00275D1A">
        <w:t>aa</w:t>
      </w:r>
      <w:proofErr w:type="spellEnd"/>
      <w:r w:rsidRPr="00275D1A">
        <w:t>)</w:t>
      </w:r>
      <w:r w:rsidRPr="00275D1A">
        <w:tab/>
        <w:t>zdůraznit významnou úlohu sdružení ASEAN při zajišťování stability a podpoře společenské a hospodářské integrace; přivítat rostoucí angažovanost Japonska a Korejské republiky ve sdružení ASEAN, včetně pravidelných dvoustranných a mnohostranných summitů; zdůraznit zásadní význam sdružení ASEAN pro zajištění mírového a prosperujícího indicko-tichomořského regionu; zintenzivnit strukturovanou spolupráci se sdružením ASEAN s cílem vybudovat inkluzivní regionální bezpečnostní architekturu, koordinovat mnohostranné politické reakce a dále upevnit přítomnost EU v regionu prohloubením spolupráce se sdružením ASEAN a jeho členskými státy, mimo jiné prostřednictvím posílených bezpečnostních a obranných dialogů s Vietnamem a Filipínami; podporovat posilování úlohy a viditelnosti Unie v regionálních formátech, zejména v rámcích spolupráce se sdružením ASEAN, a zároveň stanovit námořní bezpečnost a ochranu, kybernetickou bezpečnost a krizové řízení jako prioritní oblasti pro rozšíření spolupráce, přičemž je potřeba vycházet z iniciativ, jako jsou ESIWA+, CRIMARIO II a projekty celosvětové bezpečnosti přístavů;</w:t>
      </w:r>
    </w:p>
    <w:p w14:paraId="75389089" w14:textId="77777777" w:rsidR="00B42956" w:rsidRPr="00275D1A" w:rsidRDefault="00B42956" w:rsidP="00B42956">
      <w:pPr>
        <w:pStyle w:val="NormalHanging12a"/>
        <w:ind w:left="1134"/>
      </w:pPr>
      <w:r w:rsidRPr="00275D1A">
        <w:t>ab)</w:t>
      </w:r>
      <w:r w:rsidRPr="00275D1A">
        <w:tab/>
        <w:t>rozšířit společnou činnost v oblasti netradiční bezpečnosti, jako je pátrání a záchrana, reakce na katastrofy a ekologické havárie; zahájit strukturovanou iniciativu na posílení ochrany a odolnosti kritické námořní infrastruktury, včetně podmořských kabelů, potrubí a přístavů; zvýšit povědomí o námořní oblasti prostřednictvím cíleného budování kapacit, školení, senzorů a sdílení dat ve spolupráci s pobřežní stráží sdružení ASEAN a regionálními centry pro fúzi;</w:t>
      </w:r>
    </w:p>
    <w:p w14:paraId="160DC099" w14:textId="77777777" w:rsidR="00B42956" w:rsidRPr="00275D1A" w:rsidRDefault="00B42956" w:rsidP="00B42956">
      <w:pPr>
        <w:pStyle w:val="NormalHanging12a"/>
        <w:ind w:left="1134"/>
        <w:rPr>
          <w:bCs/>
          <w:iCs/>
        </w:rPr>
      </w:pPr>
      <w:proofErr w:type="spellStart"/>
      <w:r w:rsidRPr="00275D1A">
        <w:t>ac</w:t>
      </w:r>
      <w:proofErr w:type="spellEnd"/>
      <w:r w:rsidRPr="00275D1A">
        <w:t>)</w:t>
      </w:r>
      <w:r w:rsidRPr="00275D1A">
        <w:tab/>
        <w:t>podporovat posilování mezilidských kontaktů prostřednictvím cílených programů mobility pro výzkumné pracovníky, inženýry a odborníky v oblasti kybernetické bezpečnosti, jakož i prostřednictvím strukturovaných iniciativ partnerství mezi evropskými a východoasijskými inovačními centry; zlepšit vzájemné porozumění sdílených hodnot mezi studenty z obou regionů prohloubením, rozšířením a posílením vzdělávacích programů, jako je Erasmus+, s podobně smýšlejícími partnery v regionu; posilovat výměny mezi parlamenty, státními úředníky, místními orgány a občanskou společností; navýšit podporu jazykového vzdělávání, kulturních výměn a iniciativ vedených mladými lidmi s cílem vybudovat dlouhodobou společenskou odolnost a důvěru mezi oběma regiony;</w:t>
      </w:r>
    </w:p>
    <w:p w14:paraId="28A2658E" w14:textId="77777777" w:rsidR="00B42956" w:rsidRPr="00275D1A" w:rsidRDefault="00B42956" w:rsidP="00B42956">
      <w:pPr>
        <w:pStyle w:val="NormalHanging12a"/>
        <w:ind w:left="1134"/>
        <w:rPr>
          <w:bCs/>
          <w:iCs/>
        </w:rPr>
      </w:pPr>
      <w:r w:rsidRPr="00275D1A">
        <w:t>ad)</w:t>
      </w:r>
      <w:r w:rsidRPr="00275D1A">
        <w:tab/>
        <w:t xml:space="preserve">rozšířit spolupráci v rámci programu Horizont Evropa s cílem posílit vzájemně prospěšnou spolupráci v oblasti vědy a techniky, a to s pozitivním ohledem na </w:t>
      </w:r>
      <w:r w:rsidRPr="00275D1A">
        <w:lastRenderedPageBreak/>
        <w:t>skutečnost, že Korejská republika se stala první asijskou zemí, která se v červenci 2025 přidružila k pilíři II programu Horizont Evropa, a že EU v prosinci 2025 úspěšně dokončila jednání s Japonskem o jeho přidružení k programu Horizont Evropa; zvážit zahájení jednání s Tchaj-wanem v rámci programu Horizont Evropa; podporovat zviditelnění EU v celém regionu prostřednictvím smysluplného úsilí v oblasti kulturní a veřejné diplomacie;</w:t>
      </w:r>
    </w:p>
    <w:p w14:paraId="791EC65C" w14:textId="77777777" w:rsidR="00B42956" w:rsidRPr="00275D1A" w:rsidRDefault="00B42956" w:rsidP="00B42956">
      <w:pPr>
        <w:pStyle w:val="NormalHanging12a"/>
        <w:rPr>
          <w:bCs/>
          <w:iCs/>
        </w:rPr>
      </w:pPr>
      <w:r w:rsidRPr="00275D1A">
        <w:t>2.</w:t>
      </w:r>
      <w:r w:rsidRPr="00275D1A">
        <w:tab/>
        <w:t>se zájmem vyhlíží prohloubení parlamentní diplomacie a meziparlamentní výměny v otázkách společného zájmu s japonským parlamentem, Národním shromážděním Korejské republiky a tchajwanským Legislativním dvorem je pevně přesvědčen, že posílení strategických partnerství s Japonskem i Korejskou republikou v posledních letech by mělo být podpořeno posílením vazeb na meziparlamentní úrovni; domnívá se, že pro komplexní program spolupráce s oběma zeměmi by byly přínosné pravidelné a strukturované výměny mezi poslanci; dále se domnívá, že by mělo být prozkoumáno zřízení společného parlamentního výboru EU-Japonsko a společného parlamentního výboru EU-Korejská republika;</w:t>
      </w:r>
    </w:p>
    <w:p w14:paraId="2CACA618" w14:textId="77777777" w:rsidR="00B42956" w:rsidRPr="00275D1A" w:rsidRDefault="00B42956" w:rsidP="00B42956">
      <w:pPr>
        <w:pStyle w:val="NormalHanging12a"/>
      </w:pPr>
      <w:r w:rsidRPr="00275D1A">
        <w:t>3.</w:t>
      </w:r>
      <w:r w:rsidRPr="00275D1A">
        <w:tab/>
        <w:t>pověřuje svou předsedkyni, aby předala toto usnesení Radě, Komisi, místopředsedkyni Komise, vysoké představitelce Unie pro zahraniční věci a bezpečnostní politiku, vládám a parlamentům členských států, vládě a parlamentu Japonska, Korejské republiky a Tchaj-wanu a sekretariátu a členským státům Sdružení národů jihovýchodní Asie.</w:t>
      </w:r>
    </w:p>
    <w:sectPr w:rsidR="00B42956" w:rsidRPr="00275D1A" w:rsidSect="00275D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E0215" w14:textId="77777777" w:rsidR="00461BE6" w:rsidRPr="00275D1A" w:rsidRDefault="00461BE6">
      <w:r w:rsidRPr="00275D1A">
        <w:separator/>
      </w:r>
    </w:p>
  </w:endnote>
  <w:endnote w:type="continuationSeparator" w:id="0">
    <w:p w14:paraId="1230E427" w14:textId="77777777" w:rsidR="00461BE6" w:rsidRPr="00275D1A" w:rsidRDefault="00461BE6">
      <w:r w:rsidRPr="00275D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8D28C" w14:textId="77777777" w:rsidR="00064002" w:rsidRPr="00275D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C05EF" w14:textId="77777777" w:rsidR="00064002" w:rsidRPr="00275D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42192" w14:textId="77777777" w:rsidR="00064002" w:rsidRPr="00275D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C580D" w14:textId="77777777" w:rsidR="00461BE6" w:rsidRPr="00275D1A" w:rsidRDefault="00461BE6">
      <w:r w:rsidRPr="00275D1A">
        <w:separator/>
      </w:r>
    </w:p>
  </w:footnote>
  <w:footnote w:type="continuationSeparator" w:id="0">
    <w:p w14:paraId="04DB21A3" w14:textId="77777777" w:rsidR="00461BE6" w:rsidRPr="00275D1A" w:rsidRDefault="00461BE6">
      <w:r w:rsidRPr="00275D1A">
        <w:continuationSeparator/>
      </w:r>
    </w:p>
  </w:footnote>
  <w:footnote w:id="1">
    <w:p w14:paraId="4F7F0C2E" w14:textId="0760A65E" w:rsidR="00B42956" w:rsidRPr="00275D1A" w:rsidRDefault="00B42956" w:rsidP="00275D1A">
      <w:pPr>
        <w:pStyle w:val="FootnoteText"/>
        <w:ind w:left="567" w:hanging="567"/>
        <w:rPr>
          <w:sz w:val="24"/>
          <w:lang w:val="cs-CZ"/>
        </w:rPr>
      </w:pPr>
      <w:r w:rsidRPr="00275D1A">
        <w:rPr>
          <w:rStyle w:val="FootnoteReference"/>
          <w:sz w:val="24"/>
          <w:lang w:val="cs-CZ"/>
        </w:rPr>
        <w:footnoteRef/>
      </w:r>
      <w:r w:rsidR="00275D1A" w:rsidRPr="00275D1A">
        <w:rPr>
          <w:sz w:val="24"/>
          <w:lang w:val="cs-CZ"/>
        </w:rPr>
        <w:t xml:space="preserve"> </w:t>
      </w:r>
      <w:r w:rsidR="00275D1A" w:rsidRPr="00275D1A">
        <w:rPr>
          <w:sz w:val="24"/>
          <w:lang w:val="cs-CZ"/>
        </w:rPr>
        <w:tab/>
      </w:r>
      <w:proofErr w:type="spellStart"/>
      <w:r w:rsidRPr="00275D1A">
        <w:rPr>
          <w:sz w:val="24"/>
          <w:lang w:val="cs-CZ"/>
        </w:rPr>
        <w:t>Úř</w:t>
      </w:r>
      <w:proofErr w:type="spellEnd"/>
      <w:r w:rsidRPr="00275D1A">
        <w:rPr>
          <w:sz w:val="24"/>
          <w:lang w:val="cs-CZ"/>
        </w:rPr>
        <w:t xml:space="preserve">. </w:t>
      </w:r>
      <w:proofErr w:type="spellStart"/>
      <w:r w:rsidRPr="00275D1A">
        <w:rPr>
          <w:sz w:val="24"/>
          <w:lang w:val="cs-CZ"/>
        </w:rPr>
        <w:t>věst</w:t>
      </w:r>
      <w:proofErr w:type="spellEnd"/>
      <w:r w:rsidRPr="00275D1A">
        <w:rPr>
          <w:sz w:val="24"/>
          <w:lang w:val="cs-CZ"/>
        </w:rPr>
        <w:t>. L 216, 24.8.2018, s. 4, ELI: </w:t>
      </w:r>
      <w:hyperlink r:id="rId1" w:tooltip="Umožňuje přístup k tomuto dokumentu prostřednictvím jeho identifikátoru URI v systému ELI." w:history="1">
        <w:r w:rsidRPr="00275D1A">
          <w:rPr>
            <w:rStyle w:val="Hyperlink"/>
            <w:sz w:val="24"/>
            <w:lang w:val="cs-CZ"/>
          </w:rPr>
          <w:t>http://data.europa.eu/</w:t>
        </w:r>
        <w:proofErr w:type="spellStart"/>
        <w:r w:rsidRPr="00275D1A">
          <w:rPr>
            <w:rStyle w:val="Hyperlink"/>
            <w:sz w:val="24"/>
            <w:lang w:val="cs-CZ"/>
          </w:rPr>
          <w:t>eli</w:t>
        </w:r>
        <w:proofErr w:type="spellEnd"/>
        <w:r w:rsidRPr="00275D1A">
          <w:rPr>
            <w:rStyle w:val="Hyperlink"/>
            <w:sz w:val="24"/>
            <w:lang w:val="cs-CZ"/>
          </w:rPr>
          <w:t>/</w:t>
        </w:r>
        <w:proofErr w:type="spellStart"/>
        <w:r w:rsidRPr="00275D1A">
          <w:rPr>
            <w:rStyle w:val="Hyperlink"/>
            <w:sz w:val="24"/>
            <w:lang w:val="cs-CZ"/>
          </w:rPr>
          <w:t>agree_internation</w:t>
        </w:r>
        <w:proofErr w:type="spellEnd"/>
        <w:r w:rsidRPr="00275D1A">
          <w:rPr>
            <w:rStyle w:val="Hyperlink"/>
            <w:sz w:val="24"/>
            <w:lang w:val="cs-CZ"/>
          </w:rPr>
          <w:t>/2018/1197/oj</w:t>
        </w:r>
      </w:hyperlink>
      <w:r w:rsidRPr="00275D1A">
        <w:rPr>
          <w:sz w:val="24"/>
          <w:lang w:val="cs-CZ"/>
        </w:rPr>
        <w:t>.</w:t>
      </w:r>
    </w:p>
  </w:footnote>
  <w:footnote w:id="2">
    <w:p w14:paraId="58032364" w14:textId="6B06DF3D" w:rsidR="00B42956" w:rsidRPr="00275D1A" w:rsidRDefault="00B42956" w:rsidP="00275D1A">
      <w:pPr>
        <w:pStyle w:val="FootnoteText"/>
        <w:ind w:left="567" w:hanging="567"/>
        <w:rPr>
          <w:sz w:val="24"/>
          <w:lang w:val="cs-CZ"/>
        </w:rPr>
      </w:pPr>
      <w:r w:rsidRPr="00275D1A">
        <w:rPr>
          <w:rStyle w:val="FootnoteReference"/>
          <w:sz w:val="24"/>
          <w:lang w:val="cs-CZ"/>
        </w:rPr>
        <w:footnoteRef/>
      </w:r>
      <w:r w:rsidR="00275D1A" w:rsidRPr="00275D1A">
        <w:rPr>
          <w:sz w:val="24"/>
          <w:lang w:val="cs-CZ"/>
        </w:rPr>
        <w:t xml:space="preserve"> </w:t>
      </w:r>
      <w:r w:rsidR="00275D1A" w:rsidRPr="00275D1A">
        <w:rPr>
          <w:sz w:val="24"/>
          <w:lang w:val="cs-CZ"/>
        </w:rPr>
        <w:tab/>
      </w:r>
      <w:proofErr w:type="spellStart"/>
      <w:r w:rsidRPr="00275D1A">
        <w:rPr>
          <w:sz w:val="24"/>
          <w:lang w:val="cs-CZ"/>
        </w:rPr>
        <w:t>Úř</w:t>
      </w:r>
      <w:proofErr w:type="spellEnd"/>
      <w:r w:rsidRPr="00275D1A">
        <w:rPr>
          <w:sz w:val="24"/>
          <w:lang w:val="cs-CZ"/>
        </w:rPr>
        <w:t xml:space="preserve">. </w:t>
      </w:r>
      <w:proofErr w:type="spellStart"/>
      <w:r w:rsidRPr="00275D1A">
        <w:rPr>
          <w:sz w:val="24"/>
          <w:lang w:val="cs-CZ"/>
        </w:rPr>
        <w:t>věst</w:t>
      </w:r>
      <w:proofErr w:type="spellEnd"/>
      <w:r w:rsidRPr="00275D1A">
        <w:rPr>
          <w:sz w:val="24"/>
          <w:lang w:val="cs-CZ"/>
        </w:rPr>
        <w:t>. L 20, 23.1.2013, s. 2.</w:t>
      </w:r>
    </w:p>
  </w:footnote>
  <w:footnote w:id="3">
    <w:p w14:paraId="0B7195A3" w14:textId="33727B67" w:rsidR="00B42956" w:rsidRPr="00275D1A" w:rsidRDefault="00B42956" w:rsidP="00275D1A">
      <w:pPr>
        <w:pStyle w:val="FootnoteText"/>
        <w:ind w:left="567" w:hanging="567"/>
        <w:rPr>
          <w:sz w:val="24"/>
          <w:lang w:val="cs-CZ"/>
        </w:rPr>
      </w:pPr>
      <w:r w:rsidRPr="00275D1A">
        <w:rPr>
          <w:rStyle w:val="FootnoteReference"/>
          <w:sz w:val="24"/>
          <w:lang w:val="cs-CZ"/>
        </w:rPr>
        <w:footnoteRef/>
      </w:r>
      <w:r w:rsidR="00275D1A" w:rsidRPr="00275D1A">
        <w:rPr>
          <w:sz w:val="24"/>
          <w:lang w:val="cs-CZ"/>
        </w:rPr>
        <w:t xml:space="preserve"> </w:t>
      </w:r>
      <w:r w:rsidR="00275D1A" w:rsidRPr="00275D1A">
        <w:rPr>
          <w:sz w:val="24"/>
          <w:lang w:val="cs-CZ"/>
        </w:rPr>
        <w:tab/>
      </w:r>
      <w:proofErr w:type="spellStart"/>
      <w:r w:rsidRPr="00275D1A">
        <w:rPr>
          <w:sz w:val="24"/>
          <w:lang w:val="cs-CZ"/>
        </w:rPr>
        <w:t>Úř</w:t>
      </w:r>
      <w:proofErr w:type="spellEnd"/>
      <w:r w:rsidRPr="00275D1A">
        <w:rPr>
          <w:sz w:val="24"/>
          <w:lang w:val="cs-CZ"/>
        </w:rPr>
        <w:t xml:space="preserve">. </w:t>
      </w:r>
      <w:proofErr w:type="spellStart"/>
      <w:r w:rsidRPr="00275D1A">
        <w:rPr>
          <w:sz w:val="24"/>
          <w:lang w:val="cs-CZ"/>
        </w:rPr>
        <w:t>věst</w:t>
      </w:r>
      <w:proofErr w:type="spellEnd"/>
      <w:r w:rsidRPr="00275D1A">
        <w:rPr>
          <w:sz w:val="24"/>
          <w:lang w:val="cs-CZ"/>
        </w:rPr>
        <w:t xml:space="preserve">. L 330, 27.12.2018, s 3, ELI: </w:t>
      </w:r>
      <w:hyperlink r:id="rId2" w:history="1">
        <w:r w:rsidRPr="00275D1A">
          <w:rPr>
            <w:rStyle w:val="Hyperlink"/>
            <w:sz w:val="24"/>
            <w:lang w:val="cs-CZ"/>
          </w:rPr>
          <w:t>http://data.europa.eu/eli/agree_internation/2018/1907/oj</w:t>
        </w:r>
      </w:hyperlink>
      <w:r w:rsidRPr="00275D1A">
        <w:rPr>
          <w:sz w:val="24"/>
          <w:lang w:val="cs-CZ"/>
        </w:rPr>
        <w:t>.</w:t>
      </w:r>
    </w:p>
  </w:footnote>
  <w:footnote w:id="4">
    <w:p w14:paraId="1F864DAE" w14:textId="55CB05D0" w:rsidR="00B42956" w:rsidRPr="00275D1A" w:rsidRDefault="00B42956" w:rsidP="00275D1A">
      <w:pPr>
        <w:pStyle w:val="FootnoteText"/>
        <w:ind w:left="567" w:hanging="567"/>
        <w:rPr>
          <w:sz w:val="24"/>
          <w:lang w:val="cs-CZ"/>
        </w:rPr>
      </w:pPr>
      <w:r w:rsidRPr="00275D1A">
        <w:rPr>
          <w:rStyle w:val="FootnoteReference"/>
          <w:sz w:val="24"/>
          <w:lang w:val="cs-CZ"/>
        </w:rPr>
        <w:footnoteRef/>
      </w:r>
      <w:r w:rsidR="00275D1A" w:rsidRPr="00275D1A">
        <w:rPr>
          <w:sz w:val="24"/>
          <w:lang w:val="cs-CZ"/>
        </w:rPr>
        <w:t xml:space="preserve"> </w:t>
      </w:r>
      <w:r w:rsidR="00275D1A" w:rsidRPr="00275D1A">
        <w:rPr>
          <w:sz w:val="24"/>
          <w:lang w:val="cs-CZ"/>
        </w:rPr>
        <w:tab/>
      </w:r>
      <w:proofErr w:type="spellStart"/>
      <w:r w:rsidRPr="00275D1A">
        <w:rPr>
          <w:sz w:val="24"/>
          <w:lang w:val="cs-CZ"/>
        </w:rPr>
        <w:t>Úř</w:t>
      </w:r>
      <w:proofErr w:type="spellEnd"/>
      <w:r w:rsidRPr="00275D1A">
        <w:rPr>
          <w:sz w:val="24"/>
          <w:lang w:val="cs-CZ"/>
        </w:rPr>
        <w:t xml:space="preserve">. </w:t>
      </w:r>
      <w:proofErr w:type="spellStart"/>
      <w:r w:rsidRPr="00275D1A">
        <w:rPr>
          <w:sz w:val="24"/>
          <w:lang w:val="cs-CZ"/>
        </w:rPr>
        <w:t>věst</w:t>
      </w:r>
      <w:proofErr w:type="spellEnd"/>
      <w:r w:rsidRPr="00275D1A">
        <w:rPr>
          <w:sz w:val="24"/>
          <w:lang w:val="cs-CZ"/>
        </w:rPr>
        <w:t>. L 127, 14.5.2011, s. 6, ELI: </w:t>
      </w:r>
      <w:hyperlink r:id="rId3" w:tooltip="Umožňuje přístup k tomuto dokumentu prostřednictvím jeho identifikátoru URI v systému ELI." w:history="1">
        <w:r w:rsidRPr="00275D1A">
          <w:rPr>
            <w:rStyle w:val="Hyperlink"/>
            <w:sz w:val="24"/>
            <w:lang w:val="cs-CZ"/>
          </w:rPr>
          <w:t>http://data.europa.eu/eli/agree_internation/2011/265/oj</w:t>
        </w:r>
      </w:hyperlink>
      <w:r w:rsidRPr="00275D1A">
        <w:rPr>
          <w:sz w:val="24"/>
          <w:lang w:val="cs-CZ"/>
        </w:rPr>
        <w:t>.</w:t>
      </w:r>
    </w:p>
  </w:footnote>
  <w:footnote w:id="5">
    <w:p w14:paraId="7E5EE047" w14:textId="0111CF81" w:rsidR="00B42956" w:rsidRPr="00275D1A" w:rsidRDefault="00B42956" w:rsidP="00275D1A">
      <w:pPr>
        <w:pStyle w:val="FootnoteText"/>
        <w:ind w:left="567" w:hanging="567"/>
        <w:rPr>
          <w:sz w:val="24"/>
          <w:lang w:val="cs-CZ"/>
        </w:rPr>
      </w:pPr>
      <w:r w:rsidRPr="00275D1A">
        <w:rPr>
          <w:rStyle w:val="FootnoteReference"/>
          <w:sz w:val="24"/>
          <w:lang w:val="cs-CZ"/>
        </w:rPr>
        <w:footnoteRef/>
      </w:r>
      <w:r w:rsidR="00275D1A" w:rsidRPr="00275D1A">
        <w:rPr>
          <w:sz w:val="24"/>
          <w:lang w:val="cs-CZ"/>
        </w:rPr>
        <w:t xml:space="preserve"> </w:t>
      </w:r>
      <w:r w:rsidR="00275D1A" w:rsidRPr="00275D1A">
        <w:rPr>
          <w:sz w:val="24"/>
          <w:lang w:val="cs-CZ"/>
        </w:rPr>
        <w:tab/>
      </w:r>
      <w:proofErr w:type="spellStart"/>
      <w:r w:rsidRPr="00275D1A">
        <w:rPr>
          <w:sz w:val="24"/>
          <w:lang w:val="cs-CZ"/>
        </w:rPr>
        <w:t>Úř</w:t>
      </w:r>
      <w:proofErr w:type="spellEnd"/>
      <w:r w:rsidRPr="00275D1A">
        <w:rPr>
          <w:sz w:val="24"/>
          <w:lang w:val="cs-CZ"/>
        </w:rPr>
        <w:t xml:space="preserve">. </w:t>
      </w:r>
      <w:proofErr w:type="spellStart"/>
      <w:r w:rsidRPr="00275D1A">
        <w:rPr>
          <w:sz w:val="24"/>
          <w:lang w:val="cs-CZ"/>
        </w:rPr>
        <w:t>věst</w:t>
      </w:r>
      <w:proofErr w:type="spellEnd"/>
      <w:r w:rsidRPr="00275D1A">
        <w:rPr>
          <w:sz w:val="24"/>
          <w:lang w:val="cs-CZ"/>
        </w:rPr>
        <w:t>. C 493, 27.12.2022, s. 32.</w:t>
      </w:r>
    </w:p>
  </w:footnote>
  <w:footnote w:id="6">
    <w:p w14:paraId="18CEFC5B" w14:textId="219C2E3C" w:rsidR="00B42956" w:rsidRPr="00275D1A" w:rsidRDefault="00B42956" w:rsidP="00275D1A">
      <w:pPr>
        <w:pStyle w:val="FootnoteText"/>
        <w:ind w:left="567" w:hanging="567"/>
        <w:rPr>
          <w:sz w:val="24"/>
          <w:lang w:val="cs-CZ"/>
        </w:rPr>
      </w:pPr>
      <w:r w:rsidRPr="00275D1A">
        <w:rPr>
          <w:rStyle w:val="FootnoteReference"/>
          <w:sz w:val="24"/>
          <w:lang w:val="cs-CZ"/>
        </w:rPr>
        <w:footnoteRef/>
      </w:r>
      <w:r w:rsidR="00275D1A" w:rsidRPr="00275D1A">
        <w:rPr>
          <w:sz w:val="24"/>
          <w:lang w:val="cs-CZ"/>
        </w:rPr>
        <w:t xml:space="preserve"> </w:t>
      </w:r>
      <w:r w:rsidR="00275D1A" w:rsidRPr="00275D1A">
        <w:rPr>
          <w:sz w:val="24"/>
          <w:lang w:val="cs-CZ"/>
        </w:rPr>
        <w:tab/>
      </w:r>
      <w:proofErr w:type="spellStart"/>
      <w:r w:rsidRPr="00275D1A">
        <w:rPr>
          <w:sz w:val="24"/>
          <w:lang w:val="cs-CZ"/>
        </w:rPr>
        <w:t>Úř</w:t>
      </w:r>
      <w:proofErr w:type="spellEnd"/>
      <w:r w:rsidRPr="00275D1A">
        <w:rPr>
          <w:sz w:val="24"/>
          <w:lang w:val="cs-CZ"/>
        </w:rPr>
        <w:t xml:space="preserve">. </w:t>
      </w:r>
      <w:proofErr w:type="spellStart"/>
      <w:r w:rsidRPr="00275D1A">
        <w:rPr>
          <w:sz w:val="24"/>
          <w:lang w:val="cs-CZ"/>
        </w:rPr>
        <w:t>věst</w:t>
      </w:r>
      <w:proofErr w:type="spellEnd"/>
      <w:r w:rsidRPr="00275D1A">
        <w:rPr>
          <w:sz w:val="24"/>
          <w:lang w:val="cs-CZ"/>
        </w:rPr>
        <w:t xml:space="preserve">. C, C/2024/4167, 2.8.2024, ELI: </w:t>
      </w:r>
      <w:hyperlink r:id="rId4" w:history="1">
        <w:r w:rsidRPr="00275D1A">
          <w:rPr>
            <w:rStyle w:val="Hyperlink"/>
            <w:sz w:val="24"/>
            <w:lang w:val="cs-CZ"/>
          </w:rPr>
          <w:t>http://data.europa.eu/eli/C/2024/4167/oj</w:t>
        </w:r>
      </w:hyperlink>
      <w:r w:rsidRPr="00275D1A">
        <w:rPr>
          <w:sz w:val="24"/>
          <w:lang w:val="cs-CZ"/>
        </w:rPr>
        <w:t>.</w:t>
      </w:r>
    </w:p>
  </w:footnote>
  <w:footnote w:id="7">
    <w:p w14:paraId="57B3EC93" w14:textId="2EB38015" w:rsidR="00B42956" w:rsidRPr="00275D1A" w:rsidRDefault="00B42956" w:rsidP="00275D1A">
      <w:pPr>
        <w:pStyle w:val="FootnoteText"/>
        <w:ind w:left="567" w:hanging="567"/>
        <w:rPr>
          <w:sz w:val="24"/>
          <w:lang w:val="cs-CZ"/>
        </w:rPr>
      </w:pPr>
      <w:r w:rsidRPr="00275D1A">
        <w:rPr>
          <w:rStyle w:val="FootnoteReference"/>
          <w:sz w:val="24"/>
          <w:lang w:val="cs-CZ"/>
        </w:rPr>
        <w:footnoteRef/>
      </w:r>
      <w:r w:rsidR="00275D1A" w:rsidRPr="00275D1A">
        <w:rPr>
          <w:sz w:val="24"/>
          <w:lang w:val="cs-CZ"/>
        </w:rPr>
        <w:t xml:space="preserve"> </w:t>
      </w:r>
      <w:r w:rsidR="00275D1A" w:rsidRPr="00275D1A">
        <w:rPr>
          <w:sz w:val="24"/>
          <w:lang w:val="cs-CZ"/>
        </w:rPr>
        <w:tab/>
      </w:r>
      <w:r w:rsidRPr="00275D1A">
        <w:rPr>
          <w:sz w:val="24"/>
          <w:lang w:val="cs-CZ"/>
        </w:rPr>
        <w:t>Přijaté texty, P10_</w:t>
      </w:r>
      <w:proofErr w:type="gramStart"/>
      <w:r w:rsidRPr="00275D1A">
        <w:rPr>
          <w:sz w:val="24"/>
          <w:lang w:val="cs-CZ"/>
        </w:rPr>
        <w:t>TA(</w:t>
      </w:r>
      <w:proofErr w:type="gramEnd"/>
      <w:r w:rsidRPr="00275D1A">
        <w:rPr>
          <w:sz w:val="24"/>
          <w:lang w:val="cs-CZ"/>
        </w:rPr>
        <w:t>2026)0012.</w:t>
      </w:r>
    </w:p>
  </w:footnote>
  <w:footnote w:id="8">
    <w:p w14:paraId="2C87A21D" w14:textId="7B69A79D" w:rsidR="00B42956" w:rsidRPr="00275D1A" w:rsidRDefault="00B42956" w:rsidP="00275D1A">
      <w:pPr>
        <w:pStyle w:val="FootnoteText"/>
        <w:ind w:left="567" w:hanging="567"/>
        <w:rPr>
          <w:sz w:val="24"/>
          <w:lang w:val="cs-CZ"/>
        </w:rPr>
      </w:pPr>
      <w:r w:rsidRPr="00275D1A">
        <w:rPr>
          <w:rStyle w:val="FootnoteReference"/>
          <w:sz w:val="24"/>
          <w:lang w:val="cs-CZ"/>
        </w:rPr>
        <w:footnoteRef/>
      </w:r>
      <w:r w:rsidR="00275D1A" w:rsidRPr="00275D1A">
        <w:rPr>
          <w:sz w:val="24"/>
          <w:lang w:val="cs-CZ"/>
        </w:rPr>
        <w:t xml:space="preserve"> </w:t>
      </w:r>
      <w:r w:rsidR="00275D1A" w:rsidRPr="00275D1A">
        <w:rPr>
          <w:sz w:val="24"/>
          <w:lang w:val="cs-CZ"/>
        </w:rPr>
        <w:tab/>
      </w:r>
      <w:proofErr w:type="spellStart"/>
      <w:r w:rsidRPr="00275D1A">
        <w:rPr>
          <w:sz w:val="24"/>
          <w:lang w:val="cs-CZ"/>
        </w:rPr>
        <w:t>Úř</w:t>
      </w:r>
      <w:proofErr w:type="spellEnd"/>
      <w:r w:rsidRPr="00275D1A">
        <w:rPr>
          <w:sz w:val="24"/>
          <w:lang w:val="cs-CZ"/>
        </w:rPr>
        <w:t xml:space="preserve">. </w:t>
      </w:r>
      <w:proofErr w:type="spellStart"/>
      <w:r w:rsidRPr="00275D1A">
        <w:rPr>
          <w:sz w:val="24"/>
          <w:lang w:val="cs-CZ"/>
        </w:rPr>
        <w:t>věst</w:t>
      </w:r>
      <w:proofErr w:type="spellEnd"/>
      <w:r w:rsidRPr="00275D1A">
        <w:rPr>
          <w:sz w:val="24"/>
          <w:lang w:val="cs-CZ"/>
        </w:rPr>
        <w:t xml:space="preserve">. C, C/2025/1809, 4.4.2025, ELI: </w:t>
      </w:r>
      <w:hyperlink r:id="rId5" w:history="1">
        <w:r w:rsidRPr="00275D1A">
          <w:rPr>
            <w:rStyle w:val="Hyperlink"/>
            <w:sz w:val="24"/>
            <w:lang w:val="cs-CZ"/>
          </w:rPr>
          <w:t>http://data.europa.eu/eli/C/2025/1809/oj</w:t>
        </w:r>
      </w:hyperlink>
      <w:r w:rsidRPr="00275D1A">
        <w:rPr>
          <w:sz w:val="24"/>
          <w:lang w:val="cs-CZ"/>
        </w:rPr>
        <w:t>.</w:t>
      </w:r>
    </w:p>
  </w:footnote>
  <w:footnote w:id="9">
    <w:p w14:paraId="6A62FCC9" w14:textId="6270623C" w:rsidR="00B42956" w:rsidRPr="00275D1A" w:rsidRDefault="00B42956" w:rsidP="00275D1A">
      <w:pPr>
        <w:pStyle w:val="FootnoteText"/>
        <w:ind w:left="567" w:hanging="567"/>
        <w:rPr>
          <w:sz w:val="24"/>
          <w:lang w:val="cs-CZ"/>
        </w:rPr>
      </w:pPr>
      <w:r w:rsidRPr="00275D1A">
        <w:rPr>
          <w:rStyle w:val="FootnoteReference"/>
          <w:sz w:val="24"/>
          <w:lang w:val="cs-CZ"/>
        </w:rPr>
        <w:footnoteRef/>
      </w:r>
      <w:r w:rsidR="00275D1A" w:rsidRPr="00275D1A">
        <w:rPr>
          <w:sz w:val="24"/>
          <w:lang w:val="cs-CZ"/>
        </w:rPr>
        <w:t xml:space="preserve"> </w:t>
      </w:r>
      <w:r w:rsidR="00275D1A" w:rsidRPr="00275D1A">
        <w:rPr>
          <w:sz w:val="24"/>
          <w:lang w:val="cs-CZ"/>
        </w:rPr>
        <w:tab/>
      </w:r>
      <w:proofErr w:type="spellStart"/>
      <w:r w:rsidRPr="00275D1A">
        <w:rPr>
          <w:sz w:val="24"/>
          <w:lang w:val="cs-CZ"/>
        </w:rPr>
        <w:t>Úř</w:t>
      </w:r>
      <w:proofErr w:type="spellEnd"/>
      <w:r w:rsidRPr="00275D1A">
        <w:rPr>
          <w:sz w:val="24"/>
          <w:lang w:val="cs-CZ"/>
        </w:rPr>
        <w:t xml:space="preserve">. </w:t>
      </w:r>
      <w:proofErr w:type="spellStart"/>
      <w:r w:rsidRPr="00275D1A">
        <w:rPr>
          <w:sz w:val="24"/>
          <w:lang w:val="cs-CZ"/>
        </w:rPr>
        <w:t>věst</w:t>
      </w:r>
      <w:proofErr w:type="spellEnd"/>
      <w:r w:rsidRPr="00275D1A">
        <w:rPr>
          <w:sz w:val="24"/>
          <w:lang w:val="cs-CZ"/>
        </w:rPr>
        <w:t xml:space="preserve">. C, C/2025/487, 29.1.2025, ELI: </w:t>
      </w:r>
      <w:hyperlink r:id="rId6" w:history="1">
        <w:r w:rsidRPr="00275D1A">
          <w:rPr>
            <w:rStyle w:val="Hyperlink"/>
            <w:sz w:val="24"/>
            <w:lang w:val="cs-CZ"/>
          </w:rPr>
          <w:t>http://data.europa.eu/eli/C/2025/487/oj</w:t>
        </w:r>
      </w:hyperlink>
      <w:r w:rsidRPr="00275D1A">
        <w:rPr>
          <w:sz w:val="24"/>
          <w:lang w:val="cs-CZ"/>
        </w:rPr>
        <w:t>.</w:t>
      </w:r>
    </w:p>
  </w:footnote>
  <w:footnote w:id="10">
    <w:p w14:paraId="7288AB72" w14:textId="112DA509" w:rsidR="00B42956" w:rsidRPr="00275D1A" w:rsidRDefault="00B42956" w:rsidP="00275D1A">
      <w:pPr>
        <w:pStyle w:val="FootnoteText"/>
        <w:ind w:left="567" w:hanging="567"/>
        <w:rPr>
          <w:sz w:val="24"/>
          <w:lang w:val="cs-CZ"/>
        </w:rPr>
      </w:pPr>
      <w:r w:rsidRPr="00275D1A">
        <w:rPr>
          <w:rStyle w:val="FootnoteReference"/>
          <w:sz w:val="24"/>
          <w:lang w:val="cs-CZ"/>
        </w:rPr>
        <w:footnoteRef/>
      </w:r>
      <w:r w:rsidR="00275D1A" w:rsidRPr="00275D1A">
        <w:rPr>
          <w:sz w:val="24"/>
          <w:lang w:val="cs-CZ"/>
        </w:rPr>
        <w:t xml:space="preserve"> </w:t>
      </w:r>
      <w:r w:rsidR="00275D1A" w:rsidRPr="00275D1A">
        <w:rPr>
          <w:sz w:val="24"/>
          <w:lang w:val="cs-CZ"/>
        </w:rPr>
        <w:tab/>
      </w:r>
      <w:proofErr w:type="spellStart"/>
      <w:r w:rsidRPr="00275D1A">
        <w:rPr>
          <w:sz w:val="24"/>
          <w:lang w:val="cs-CZ"/>
        </w:rPr>
        <w:t>Úř</w:t>
      </w:r>
      <w:proofErr w:type="spellEnd"/>
      <w:r w:rsidRPr="00275D1A">
        <w:rPr>
          <w:sz w:val="24"/>
          <w:lang w:val="cs-CZ"/>
        </w:rPr>
        <w:t xml:space="preserve">. </w:t>
      </w:r>
      <w:proofErr w:type="spellStart"/>
      <w:r w:rsidRPr="00275D1A">
        <w:rPr>
          <w:sz w:val="24"/>
          <w:lang w:val="cs-CZ"/>
        </w:rPr>
        <w:t>věst</w:t>
      </w:r>
      <w:proofErr w:type="spellEnd"/>
      <w:r w:rsidRPr="00275D1A">
        <w:rPr>
          <w:sz w:val="24"/>
          <w:lang w:val="cs-CZ"/>
        </w:rPr>
        <w:t xml:space="preserve">. C, C/2024/4174, 2.8.2024, ELI: </w:t>
      </w:r>
      <w:hyperlink r:id="rId7" w:history="1">
        <w:r w:rsidRPr="00275D1A">
          <w:rPr>
            <w:rStyle w:val="Hyperlink"/>
            <w:sz w:val="24"/>
            <w:lang w:val="cs-CZ"/>
          </w:rPr>
          <w:t>http://data.europa.eu/eli/C/2024/4174/oj</w:t>
        </w:r>
      </w:hyperlink>
      <w:r w:rsidRPr="00275D1A">
        <w:rPr>
          <w:sz w:val="24"/>
          <w:lang w:val="cs-CZ"/>
        </w:rPr>
        <w:t>.</w:t>
      </w:r>
    </w:p>
  </w:footnote>
  <w:footnote w:id="11">
    <w:p w14:paraId="00261AFF" w14:textId="51656688" w:rsidR="00B42956" w:rsidRPr="00275D1A" w:rsidRDefault="00B42956" w:rsidP="00275D1A">
      <w:pPr>
        <w:pStyle w:val="FootnoteText"/>
        <w:ind w:left="567" w:hanging="567"/>
        <w:rPr>
          <w:sz w:val="24"/>
          <w:lang w:val="cs-CZ"/>
        </w:rPr>
      </w:pPr>
      <w:r w:rsidRPr="00275D1A">
        <w:rPr>
          <w:rStyle w:val="FootnoteReference"/>
          <w:sz w:val="24"/>
          <w:lang w:val="cs-CZ"/>
        </w:rPr>
        <w:footnoteRef/>
      </w:r>
      <w:r w:rsidR="00275D1A" w:rsidRPr="00275D1A">
        <w:rPr>
          <w:sz w:val="24"/>
          <w:lang w:val="cs-CZ"/>
        </w:rPr>
        <w:t xml:space="preserve"> </w:t>
      </w:r>
      <w:r w:rsidR="00275D1A" w:rsidRPr="00275D1A">
        <w:rPr>
          <w:sz w:val="24"/>
          <w:lang w:val="cs-CZ"/>
        </w:rPr>
        <w:tab/>
      </w:r>
      <w:proofErr w:type="gramStart"/>
      <w:r w:rsidRPr="00275D1A">
        <w:rPr>
          <w:sz w:val="24"/>
          <w:lang w:val="cs-CZ"/>
        </w:rPr>
        <w:t>COM(</w:t>
      </w:r>
      <w:proofErr w:type="gramEnd"/>
      <w:r w:rsidRPr="00275D1A">
        <w:rPr>
          <w:sz w:val="24"/>
          <w:lang w:val="cs-CZ"/>
        </w:rPr>
        <w:t>2026)0100.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85D2" w14:textId="77777777" w:rsidR="00064002" w:rsidRPr="00275D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0F5B" w14:textId="77777777" w:rsidR="00064002" w:rsidRPr="00275D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5303B" w14:textId="77777777" w:rsidR="00064002" w:rsidRPr="00275D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437371">
    <w:abstractNumId w:val="9"/>
  </w:num>
  <w:num w:numId="2" w16cid:durableId="1483234446">
    <w:abstractNumId w:val="9"/>
  </w:num>
  <w:num w:numId="3" w16cid:durableId="216473258">
    <w:abstractNumId w:val="7"/>
  </w:num>
  <w:num w:numId="4" w16cid:durableId="1422145235">
    <w:abstractNumId w:val="7"/>
  </w:num>
  <w:num w:numId="5" w16cid:durableId="2053530259">
    <w:abstractNumId w:val="6"/>
  </w:num>
  <w:num w:numId="6" w16cid:durableId="683827372">
    <w:abstractNumId w:val="6"/>
  </w:num>
  <w:num w:numId="7" w16cid:durableId="1775520079">
    <w:abstractNumId w:val="5"/>
  </w:num>
  <w:num w:numId="8" w16cid:durableId="1279409721">
    <w:abstractNumId w:val="5"/>
  </w:num>
  <w:num w:numId="9" w16cid:durableId="652028298">
    <w:abstractNumId w:val="4"/>
  </w:num>
  <w:num w:numId="10" w16cid:durableId="252012239">
    <w:abstractNumId w:val="4"/>
  </w:num>
  <w:num w:numId="11" w16cid:durableId="2000689485">
    <w:abstractNumId w:val="8"/>
  </w:num>
  <w:num w:numId="12" w16cid:durableId="741566177">
    <w:abstractNumId w:val="8"/>
  </w:num>
  <w:num w:numId="13" w16cid:durableId="364721919">
    <w:abstractNumId w:val="3"/>
  </w:num>
  <w:num w:numId="14" w16cid:durableId="291257379">
    <w:abstractNumId w:val="3"/>
  </w:num>
  <w:num w:numId="15" w16cid:durableId="1443768542">
    <w:abstractNumId w:val="2"/>
  </w:num>
  <w:num w:numId="16" w16cid:durableId="1460342305">
    <w:abstractNumId w:val="2"/>
  </w:num>
  <w:num w:numId="17" w16cid:durableId="923807701">
    <w:abstractNumId w:val="1"/>
  </w:num>
  <w:num w:numId="18" w16cid:durableId="1573543733">
    <w:abstractNumId w:val="1"/>
  </w:num>
  <w:num w:numId="19" w16cid:durableId="1904370786">
    <w:abstractNumId w:val="0"/>
  </w:num>
  <w:num w:numId="20" w16cid:durableId="329599346">
    <w:abstractNumId w:val="0"/>
  </w:num>
  <w:num w:numId="21" w16cid:durableId="1803647972">
    <w:abstractNumId w:val="9"/>
  </w:num>
  <w:num w:numId="22" w16cid:durableId="1865440585">
    <w:abstractNumId w:val="7"/>
  </w:num>
  <w:num w:numId="23" w16cid:durableId="2032685646">
    <w:abstractNumId w:val="6"/>
  </w:num>
  <w:num w:numId="24" w16cid:durableId="915478363">
    <w:abstractNumId w:val="5"/>
  </w:num>
  <w:num w:numId="25" w16cid:durableId="2111388472">
    <w:abstractNumId w:val="4"/>
  </w:num>
  <w:num w:numId="26" w16cid:durableId="1822235498">
    <w:abstractNumId w:val="8"/>
  </w:num>
  <w:num w:numId="27" w16cid:durableId="1820414161">
    <w:abstractNumId w:val="3"/>
  </w:num>
  <w:num w:numId="28" w16cid:durableId="143131037">
    <w:abstractNumId w:val="2"/>
  </w:num>
  <w:num w:numId="29" w16cid:durableId="1082406695">
    <w:abstractNumId w:val="1"/>
  </w:num>
  <w:num w:numId="30" w16cid:durableId="1013918352">
    <w:abstractNumId w:val="0"/>
  </w:num>
  <w:num w:numId="31" w16cid:durableId="774595825">
    <w:abstractNumId w:val="9"/>
  </w:num>
  <w:num w:numId="32" w16cid:durableId="1671518085">
    <w:abstractNumId w:val="7"/>
  </w:num>
  <w:num w:numId="33" w16cid:durableId="1980648311">
    <w:abstractNumId w:val="6"/>
  </w:num>
  <w:num w:numId="34" w16cid:durableId="1096556275">
    <w:abstractNumId w:val="5"/>
  </w:num>
  <w:num w:numId="35" w16cid:durableId="1845511905">
    <w:abstractNumId w:val="4"/>
  </w:num>
  <w:num w:numId="36" w16cid:durableId="1007753994">
    <w:abstractNumId w:val="8"/>
  </w:num>
  <w:num w:numId="37" w16cid:durableId="605964182">
    <w:abstractNumId w:val="3"/>
  </w:num>
  <w:num w:numId="38" w16cid:durableId="1275941510">
    <w:abstractNumId w:val="2"/>
  </w:num>
  <w:num w:numId="39" w16cid:durableId="1331713078">
    <w:abstractNumId w:val="1"/>
  </w:num>
  <w:num w:numId="40" w16cid:durableId="1999264712">
    <w:abstractNumId w:val="0"/>
  </w:num>
  <w:num w:numId="41" w16cid:durableId="335769105">
    <w:abstractNumId w:val="10"/>
  </w:num>
  <w:num w:numId="42" w16cid:durableId="988435033">
    <w:abstractNumId w:val="10"/>
  </w:num>
  <w:num w:numId="43" w16cid:durableId="470363694">
    <w:abstractNumId w:val="10"/>
  </w:num>
  <w:num w:numId="44" w16cid:durableId="4917967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9/2026"/>
    <w:docVar w:name="dvlangue" w:val="CS"/>
    <w:docVar w:name="dvnumam" w:val="39"/>
    <w:docVar w:name="dvpe" w:val="776.904"/>
    <w:docVar w:name="dvrapporteur" w:val="Zpravodaj: "/>
    <w:docVar w:name="dvtitre" w:val="Usnesení Evropského parlamentu ze dne.... 2026 o doporučení Evropského parlamentu Radě, Komisi a místopředsedkyni Komise, vysoké představitelce Unie pro zahraniční věci a bezpečnostní politiku týkající se měnící se geopolitické situace ve východní Asii a potřeby užší spolupráce s podobně smýšlejícími partnery v regionu(2025/2169(INI))"/>
  </w:docVars>
  <w:rsids>
    <w:rsidRoot w:val="00461BE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5D1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1BE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0087"/>
    <w:rsid w:val="006631B6"/>
    <w:rsid w:val="00680577"/>
    <w:rsid w:val="00691458"/>
    <w:rsid w:val="006F388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956"/>
    <w:rsid w:val="00B558F0"/>
    <w:rsid w:val="00BD060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58C5"/>
    <w:rsid w:val="00E365E1"/>
    <w:rsid w:val="00E820A4"/>
    <w:rsid w:val="00EB006A"/>
    <w:rsid w:val="00EB4772"/>
    <w:rsid w:val="00EC4598"/>
    <w:rsid w:val="00ED169E"/>
    <w:rsid w:val="00ED4235"/>
    <w:rsid w:val="00F04346"/>
    <w:rsid w:val="00F075DC"/>
    <w:rsid w:val="00F149E9"/>
    <w:rsid w:val="00F5134D"/>
    <w:rsid w:val="00F74202"/>
    <w:rsid w:val="00F87713"/>
    <w:rsid w:val="00F9162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908E71"/>
  <w15:chartTrackingRefBased/>
  <w15:docId w15:val="{92B61E2F-C067-4AE3-A951-988CEFA8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4295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42956"/>
    <w:pPr>
      <w:spacing w:before="480" w:after="240"/>
    </w:pPr>
  </w:style>
  <w:style w:type="paragraph" w:customStyle="1" w:styleId="PageHeading">
    <w:name w:val="PageHeading"/>
    <w:basedOn w:val="Normal"/>
    <w:rsid w:val="00B4295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B4295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429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42956"/>
    <w:rPr>
      <w:sz w:val="24"/>
      <w:lang w:val="cs-CZ"/>
    </w:rPr>
  </w:style>
  <w:style w:type="paragraph" w:customStyle="1" w:styleId="EPFooter">
    <w:name w:val="EPFooter"/>
    <w:basedOn w:val="Normal"/>
    <w:rsid w:val="00B4295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HangingLeft12a">
    <w:name w:val="NormalHangingLeft12a"/>
    <w:basedOn w:val="Normal"/>
    <w:rsid w:val="00B42956"/>
    <w:pPr>
      <w:spacing w:after="240"/>
      <w:ind w:left="1134" w:hanging="567"/>
    </w:pPr>
  </w:style>
  <w:style w:type="character" w:styleId="Hyperlink">
    <w:name w:val="Hyperlink"/>
    <w:basedOn w:val="DefaultParagraphFont"/>
    <w:rsid w:val="00B42956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6F38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F3889"/>
    <w:rPr>
      <w:sz w:val="24"/>
      <w:lang w:val="cs-CZ"/>
    </w:rPr>
  </w:style>
  <w:style w:type="paragraph" w:styleId="Revision">
    <w:name w:val="Revision"/>
    <w:hidden/>
    <w:uiPriority w:val="99"/>
    <w:semiHidden/>
    <w:rsid w:val="00691458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nation/2011/265/oj" TargetMode="External"/><Relationship Id="rId7" Type="http://schemas.openxmlformats.org/officeDocument/2006/relationships/hyperlink" Target="http://data.europa.eu/eli/C/2024/4174/oj" TargetMode="External"/><Relationship Id="rId2" Type="http://schemas.openxmlformats.org/officeDocument/2006/relationships/hyperlink" Target="http://data.europa.eu/eli/agree_internation/2018/1907/oj" TargetMode="External"/><Relationship Id="rId1" Type="http://schemas.openxmlformats.org/officeDocument/2006/relationships/hyperlink" Target="http://data.europa.eu/eli/agree_internation/2018/1197/oj" TargetMode="External"/><Relationship Id="rId6" Type="http://schemas.openxmlformats.org/officeDocument/2006/relationships/hyperlink" Target="http://data.europa.eu/eli/C/2025/487/oj" TargetMode="External"/><Relationship Id="rId5" Type="http://schemas.openxmlformats.org/officeDocument/2006/relationships/hyperlink" Target="http://data.europa.eu/eli/C/2025/1809/oj" TargetMode="External"/><Relationship Id="rId4" Type="http://schemas.openxmlformats.org/officeDocument/2006/relationships/hyperlink" Target="http://data.europa.eu/eli/C/2024/41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6215</Words>
  <Characters>38551</Characters>
  <Application>Microsoft Office Word</Application>
  <DocSecurity>0</DocSecurity>
  <Lines>321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2026-07-07T13:08:00Z</dcterms:created>
  <dcterms:modified xsi:type="dcterms:W3CDTF">2026-07-07T13:08:00Z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A10-0189/2026</vt:lpwstr>
  </property>
  <property fmtid="{D5CDD505-2E9C-101B-9397-08002B2CF9AE}" pid="4" name="&lt;Type&gt;">
    <vt:lpwstr>RR</vt:lpwstr>
  </property>
</Properties>
</file>