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2E74" w14:paraId="41FF8A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95411E" w14:textId="77777777" w:rsidR="00751A4A" w:rsidRPr="00E82E74" w:rsidRDefault="00903E45" w:rsidP="0010095E">
            <w:pPr>
              <w:pStyle w:val="EPName"/>
            </w:pPr>
            <w:r w:rsidRPr="00E82E74">
              <w:t>Európai Parlament</w:t>
            </w:r>
          </w:p>
          <w:p w14:paraId="66EFF775" w14:textId="77777777" w:rsidR="00751A4A" w:rsidRPr="00E82E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2E74">
              <w:t>2024</w:t>
            </w:r>
            <w:r w:rsidR="00817416" w:rsidRPr="00E82E74">
              <w:t>-202</w:t>
            </w:r>
            <w:r w:rsidRPr="00E82E74">
              <w:t>9</w:t>
            </w:r>
          </w:p>
        </w:tc>
        <w:tc>
          <w:tcPr>
            <w:tcW w:w="2268" w:type="dxa"/>
            <w:shd w:val="clear" w:color="auto" w:fill="auto"/>
          </w:tcPr>
          <w:p w14:paraId="1EF5425C" w14:textId="77777777" w:rsidR="00751A4A" w:rsidRPr="00E82E74" w:rsidRDefault="00187494" w:rsidP="0010095E">
            <w:pPr>
              <w:pStyle w:val="EPLogo"/>
            </w:pPr>
            <w:r w:rsidRPr="00E82E74">
              <w:rPr>
                <w:noProof/>
                <w:lang w:eastAsia="ja-JP"/>
              </w:rPr>
              <w:drawing>
                <wp:inline distT="0" distB="0" distL="0" distR="0" wp14:anchorId="1226E92E" wp14:editId="79CC3B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AE4F6" w14:textId="77777777" w:rsidR="00D058B8" w:rsidRPr="00E82E74" w:rsidRDefault="00D058B8" w:rsidP="004C5D52">
      <w:pPr>
        <w:pStyle w:val="LineTop"/>
      </w:pPr>
    </w:p>
    <w:p w14:paraId="1CAE527D" w14:textId="77777777" w:rsidR="00680577" w:rsidRPr="00E82E74" w:rsidRDefault="00903E45" w:rsidP="00680577">
      <w:pPr>
        <w:pStyle w:val="EPBodyTA1"/>
      </w:pPr>
      <w:r w:rsidRPr="00E82E74">
        <w:t>ELFOGADOTT SZÖVEGEK</w:t>
      </w:r>
    </w:p>
    <w:p w14:paraId="669F43D3" w14:textId="77777777" w:rsidR="00D058B8" w:rsidRPr="00E82E74" w:rsidRDefault="00D058B8" w:rsidP="00D058B8">
      <w:pPr>
        <w:pStyle w:val="LineBottom"/>
      </w:pPr>
    </w:p>
    <w:p w14:paraId="06F9DB42" w14:textId="25027B63" w:rsidR="00903E45" w:rsidRPr="00E82E74" w:rsidRDefault="00903E45" w:rsidP="00903E45">
      <w:pPr>
        <w:pStyle w:val="ATHeading1"/>
      </w:pPr>
      <w:bookmarkStart w:id="0" w:name="TANumber"/>
      <w:r w:rsidRPr="00E82E74">
        <w:t>P10_</w:t>
      </w:r>
      <w:proofErr w:type="gramStart"/>
      <w:r w:rsidRPr="00E82E74">
        <w:t>TA(</w:t>
      </w:r>
      <w:proofErr w:type="gramEnd"/>
      <w:r w:rsidRPr="00E82E74">
        <w:t>2026)0</w:t>
      </w:r>
      <w:r w:rsidR="00E82E74">
        <w:t>246</w:t>
      </w:r>
      <w:bookmarkEnd w:id="0"/>
    </w:p>
    <w:p w14:paraId="3A5D3224" w14:textId="77777777" w:rsidR="00903E45" w:rsidRPr="00E82E74" w:rsidRDefault="00903E45" w:rsidP="00903E45">
      <w:pPr>
        <w:pStyle w:val="ATHeading2"/>
      </w:pPr>
      <w:bookmarkStart w:id="1" w:name="title"/>
      <w:r w:rsidRPr="00E82E74">
        <w:t>Ajánlás a kelet-ázsiai geopolitikai helyzet változásáról és a régióban a hasonló gondolkodású partnerekkel való szorosabb együttműködés szükségességéről</w:t>
      </w:r>
      <w:bookmarkEnd w:id="1"/>
    </w:p>
    <w:p w14:paraId="24596DA4" w14:textId="77777777" w:rsidR="00903E45" w:rsidRPr="00E82E74" w:rsidRDefault="00903E45" w:rsidP="00903E45">
      <w:pPr>
        <w:rPr>
          <w:i/>
          <w:vanish/>
        </w:rPr>
      </w:pPr>
      <w:r w:rsidRPr="00E82E74">
        <w:rPr>
          <w:i/>
        </w:rPr>
        <w:fldChar w:fldCharType="begin"/>
      </w:r>
      <w:r w:rsidRPr="00E82E74">
        <w:rPr>
          <w:i/>
        </w:rPr>
        <w:instrText xml:space="preserve"> TC"(</w:instrText>
      </w:r>
      <w:bookmarkStart w:id="2" w:name="DocNumber"/>
      <w:r w:rsidRPr="00E82E74">
        <w:rPr>
          <w:i/>
        </w:rPr>
        <w:instrText>A10-0189/2026</w:instrText>
      </w:r>
      <w:bookmarkEnd w:id="2"/>
      <w:r w:rsidRPr="00E82E74">
        <w:rPr>
          <w:i/>
        </w:rPr>
        <w:instrText xml:space="preserve"> - Előadó: Adam </w:instrText>
      </w:r>
      <w:proofErr w:type="spellStart"/>
      <w:r w:rsidRPr="00E82E74">
        <w:rPr>
          <w:i/>
        </w:rPr>
        <w:instrText>Bielan</w:instrText>
      </w:r>
      <w:proofErr w:type="spellEnd"/>
      <w:r w:rsidRPr="00E82E74">
        <w:rPr>
          <w:i/>
        </w:rPr>
        <w:instrText xml:space="preserve">)"\l3 \n&gt; \* MERGEFORMAT </w:instrText>
      </w:r>
      <w:r w:rsidRPr="00E82E74">
        <w:rPr>
          <w:i/>
        </w:rPr>
        <w:fldChar w:fldCharType="end"/>
      </w:r>
    </w:p>
    <w:p w14:paraId="15CFE8E6" w14:textId="77777777" w:rsidR="00903E45" w:rsidRPr="00E82E74" w:rsidRDefault="00903E45" w:rsidP="00903E45">
      <w:pPr>
        <w:rPr>
          <w:vanish/>
        </w:rPr>
      </w:pPr>
      <w:bookmarkStart w:id="3" w:name="Commission"/>
      <w:r w:rsidRPr="00E82E74">
        <w:rPr>
          <w:vanish/>
        </w:rPr>
        <w:t>Külügyi Bizottság</w:t>
      </w:r>
      <w:bookmarkEnd w:id="3"/>
    </w:p>
    <w:p w14:paraId="64267B7F" w14:textId="77777777" w:rsidR="00903E45" w:rsidRPr="00E82E74" w:rsidRDefault="00903E45" w:rsidP="00903E45">
      <w:pPr>
        <w:rPr>
          <w:vanish/>
        </w:rPr>
      </w:pPr>
      <w:bookmarkStart w:id="4" w:name="PE"/>
      <w:r w:rsidRPr="00E82E74">
        <w:rPr>
          <w:vanish/>
        </w:rPr>
        <w:t>PE776.904</w:t>
      </w:r>
      <w:bookmarkEnd w:id="4"/>
    </w:p>
    <w:p w14:paraId="335C9CF7" w14:textId="1CC451CE" w:rsidR="00903E45" w:rsidRPr="00E82E74" w:rsidRDefault="00903E45" w:rsidP="00903E45">
      <w:pPr>
        <w:pStyle w:val="ATHeading3"/>
      </w:pPr>
      <w:bookmarkStart w:id="5" w:name="Sujet"/>
      <w:r w:rsidRPr="00E82E74">
        <w:t xml:space="preserve">Az Európai Parlament 2026. július 7-i </w:t>
      </w:r>
      <w:r w:rsidR="00914AD5" w:rsidRPr="00E82E74">
        <w:t>ajánlása</w:t>
      </w:r>
      <w:r w:rsidRPr="00E82E74">
        <w:t xml:space="preserve"> a Tanácshoz, a Bizottsághoz és a Bizottság alelnökéhez/az Unió </w:t>
      </w:r>
      <w:proofErr w:type="spellStart"/>
      <w:r w:rsidRPr="00E82E74">
        <w:t>kül</w:t>
      </w:r>
      <w:proofErr w:type="spellEnd"/>
      <w:r w:rsidRPr="00E82E74">
        <w:t xml:space="preserve">- és biztonságpolitikai főképviselőjéhez intézett, a kelet-ázsiai geopolitikai helyzet változásáról és a régióban a hasonló gondolkodású partnerekkel való szorosabb együttműködés szükségességéről </w:t>
      </w:r>
      <w:bookmarkStart w:id="6" w:name="References"/>
      <w:bookmarkEnd w:id="5"/>
      <w:r w:rsidRPr="00E82E74">
        <w:t>(2025/2169(INI))</w:t>
      </w:r>
      <w:bookmarkEnd w:id="6"/>
    </w:p>
    <w:p w14:paraId="0C0A3E85" w14:textId="77777777" w:rsidR="00043B6E" w:rsidRPr="00E82E74" w:rsidRDefault="00043B6E" w:rsidP="00043B6E">
      <w:pPr>
        <w:pStyle w:val="EPComma"/>
      </w:pPr>
      <w:r w:rsidRPr="00E82E74">
        <w:rPr>
          <w:i/>
        </w:rPr>
        <w:t>Az Európai Parlament,</w:t>
      </w:r>
    </w:p>
    <w:p w14:paraId="000D3090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Európai Unióról szóló szerződés V. címére,</w:t>
      </w:r>
    </w:p>
    <w:p w14:paraId="150CC4CB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Bizottságnak és az Unió külügyi és biztonságpolitikai főképviselőjének az indiai–csendes-óceáni térséggel folytatott együttműködésre vonatkozó uniós stratégiáról szóló, 2021. szeptember 16-i közös közleményére (</w:t>
      </w:r>
      <w:proofErr w:type="gramStart"/>
      <w:r w:rsidRPr="00E82E74">
        <w:t>JOIN(</w:t>
      </w:r>
      <w:proofErr w:type="gramEnd"/>
      <w:r w:rsidRPr="00E82E74">
        <w:t>2021)0024),</w:t>
      </w:r>
    </w:p>
    <w:p w14:paraId="25E64B9F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 xml:space="preserve">tekintettel a Tanács által 2022. március 21-én jóváhagyott, a biztonság és a védelem területére vonatkozó stratégiai iránytűre, amely hangsúlyozza a partnerségek szerepét az Unió biztonsága és </w:t>
      </w:r>
      <w:proofErr w:type="spellStart"/>
      <w:r w:rsidRPr="00E82E74">
        <w:t>rezilienciája</w:t>
      </w:r>
      <w:proofErr w:type="spellEnd"/>
      <w:r w:rsidRPr="00E82E74">
        <w:t xml:space="preserve"> szempontjából, többek között az indiai–csendes-óceáni térségben,</w:t>
      </w:r>
    </w:p>
    <w:p w14:paraId="0EEFCE2A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 xml:space="preserve">tekintettel a Bizottságnak és az Unió külügyi és biztonságpolitikai főképviselőjének „A »Global </w:t>
      </w:r>
      <w:proofErr w:type="spellStart"/>
      <w:r w:rsidRPr="00E82E74">
        <w:t>Gateway</w:t>
      </w:r>
      <w:proofErr w:type="spellEnd"/>
      <w:r w:rsidRPr="00E82E74">
        <w:t>«” című, 2021. december 1-jei közös közleményére (</w:t>
      </w:r>
      <w:proofErr w:type="gramStart"/>
      <w:r w:rsidRPr="00E82E74">
        <w:t>JOIN(</w:t>
      </w:r>
      <w:proofErr w:type="gramEnd"/>
      <w:r w:rsidRPr="00E82E74">
        <w:t>2021)0030),</w:t>
      </w:r>
    </w:p>
    <w:p w14:paraId="20C4DE2D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 xml:space="preserve">tekintettel a Bizottságnak és az Unió külügyi és biztonságpolitikai főképviselőjének az európai gazdasági biztonsági stratégiáról szóló, 2023. június 20-i közös közleményére, </w:t>
      </w:r>
    </w:p>
    <w:p w14:paraId="3B8C31AD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 xml:space="preserve">tekintettel a Bizottságnak és az Unió külügyi és biztonságpolitikai főképviselőjének az „Európai demokráciapajzs: az erős és </w:t>
      </w:r>
      <w:proofErr w:type="spellStart"/>
      <w:r w:rsidRPr="00E82E74">
        <w:t>reziliens</w:t>
      </w:r>
      <w:proofErr w:type="spellEnd"/>
      <w:r w:rsidRPr="00E82E74">
        <w:t xml:space="preserve"> demokráciák támogatása” című, 2025. november 12-i közös közleményére (</w:t>
      </w:r>
      <w:proofErr w:type="gramStart"/>
      <w:r w:rsidRPr="00E82E74">
        <w:t>JOIN(</w:t>
      </w:r>
      <w:proofErr w:type="gramEnd"/>
      <w:r w:rsidRPr="00E82E74">
        <w:t>2025)0791),</w:t>
      </w:r>
    </w:p>
    <w:p w14:paraId="0C5A7EB6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 xml:space="preserve">tekintettel a Bizottságnak és az Unió külügyi és biztonságpolitikai főképviselőjének „Az EU </w:t>
      </w:r>
      <w:proofErr w:type="spellStart"/>
      <w:r w:rsidRPr="00E82E74">
        <w:t>kiberbiztonsági</w:t>
      </w:r>
      <w:proofErr w:type="spellEnd"/>
      <w:r w:rsidRPr="00E82E74">
        <w:t xml:space="preserve"> stratégiája a digitális évtizedre” című, 2020. december 16-i közös közleményére (</w:t>
      </w:r>
      <w:proofErr w:type="gramStart"/>
      <w:r w:rsidRPr="00E82E74">
        <w:t>JOIN(</w:t>
      </w:r>
      <w:proofErr w:type="gramEnd"/>
      <w:r w:rsidRPr="00E82E74">
        <w:t>2020)0018),</w:t>
      </w:r>
    </w:p>
    <w:p w14:paraId="06BBBCD3" w14:textId="77777777" w:rsidR="00043B6E" w:rsidRPr="00E82E74" w:rsidRDefault="00043B6E" w:rsidP="00914AD5">
      <w:pPr>
        <w:pStyle w:val="NormalHanging12a"/>
        <w:widowControl/>
      </w:pPr>
      <w:r w:rsidRPr="00E82E74">
        <w:lastRenderedPageBreak/>
        <w:t>–</w:t>
      </w:r>
      <w:r w:rsidRPr="00E82E74">
        <w:tab/>
        <w:t>tekintettel az Európai Unió és Japán közötti, 2024. november 1-jei biztonsági és védelmi partnerségre,</w:t>
      </w:r>
    </w:p>
    <w:p w14:paraId="6B47A0AC" w14:textId="2FB27421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Európai Unió és a Koreai Köztársaság közötti, 2024. november 4-i biztonsági és védelmi partnerségre,</w:t>
      </w:r>
    </w:p>
    <w:p w14:paraId="35EBE544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egyrészről az Európai Unió és tagállamai, másrészről Japán közötti stratégiai partnerségi megállapodásra</w:t>
      </w:r>
      <w:r w:rsidRPr="00E82E74">
        <w:rPr>
          <w:rStyle w:val="FootnoteReference"/>
        </w:rPr>
        <w:footnoteReference w:id="1"/>
      </w:r>
      <w:r w:rsidRPr="00E82E74">
        <w:t>,</w:t>
      </w:r>
    </w:p>
    <w:p w14:paraId="35C72211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egyrészről az Európai Unió és tagállamai, másrészről a Koreai Köztársaság közötti keretmegállapodásra</w:t>
      </w:r>
      <w:r w:rsidRPr="00E82E74">
        <w:rPr>
          <w:rStyle w:val="FootnoteReference"/>
        </w:rPr>
        <w:footnoteReference w:id="2"/>
      </w:r>
      <w:r w:rsidRPr="00E82E74">
        <w:t>,</w:t>
      </w:r>
    </w:p>
    <w:p w14:paraId="3372C124" w14:textId="77777777" w:rsidR="00043B6E" w:rsidRPr="00E82E74" w:rsidRDefault="00043B6E" w:rsidP="00914AD5">
      <w:pPr>
        <w:pStyle w:val="NormalHanging12a"/>
        <w:widowControl/>
        <w:rPr>
          <w:b/>
          <w:i/>
        </w:rPr>
      </w:pPr>
      <w:r w:rsidRPr="00E82E74">
        <w:t>–</w:t>
      </w:r>
      <w:r w:rsidRPr="00E82E74">
        <w:tab/>
        <w:t>tekintettel az EU és Japán közötti gazdasági partnerségi megállapodásra</w:t>
      </w:r>
      <w:r w:rsidRPr="00E82E74">
        <w:rPr>
          <w:rStyle w:val="FootnoteReference"/>
          <w:bCs/>
          <w:iCs/>
        </w:rPr>
        <w:footnoteReference w:id="3"/>
      </w:r>
      <w:r w:rsidRPr="00E82E74">
        <w:t>,</w:t>
      </w:r>
    </w:p>
    <w:p w14:paraId="5468492F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egyrészről az Európai Unió és tagállamai, másrészről a Koreai Köztársaság közötti szabadkereskedelmi megállapodásra</w:t>
      </w:r>
      <w:r w:rsidRPr="00E82E74">
        <w:rPr>
          <w:rStyle w:val="FootnoteReference"/>
          <w:bCs/>
          <w:iCs/>
        </w:rPr>
        <w:footnoteReference w:id="4"/>
      </w:r>
      <w:r w:rsidRPr="00E82E74">
        <w:t>,</w:t>
      </w:r>
    </w:p>
    <w:p w14:paraId="3FCC7860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ENSZ tengerjogi egyezményére (UNCLOS),</w:t>
      </w:r>
    </w:p>
    <w:p w14:paraId="2232CEB9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2025. július 23-án Tokióban tartott 30. EU–Japán csúcstalálkozón elfogadott együttes nyilatkozatra,</w:t>
      </w:r>
    </w:p>
    <w:p w14:paraId="12314C80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2025. május 28–29-én Tokióban tartott 42. EU–Japán parlamentközi ülésre,</w:t>
      </w:r>
    </w:p>
    <w:p w14:paraId="0850944F" w14:textId="5D2D44C2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</w:r>
      <w:r w:rsidR="00E82E74" w:rsidRPr="00E82E74">
        <w:t xml:space="preserve">tekintettel a 2026. március 26-án </w:t>
      </w:r>
      <w:proofErr w:type="spellStart"/>
      <w:r w:rsidR="00E82E74" w:rsidRPr="00E82E74">
        <w:t>Vaux</w:t>
      </w:r>
      <w:proofErr w:type="spellEnd"/>
      <w:r w:rsidR="00E82E74" w:rsidRPr="00E82E74">
        <w:t>-de-</w:t>
      </w:r>
      <w:proofErr w:type="spellStart"/>
      <w:r w:rsidR="00E82E74" w:rsidRPr="00E82E74">
        <w:t>Cernay</w:t>
      </w:r>
      <w:proofErr w:type="spellEnd"/>
      <w:r w:rsidR="00E82E74" w:rsidRPr="00E82E74">
        <w:t>-ben tartott harmadik EU–Japán stratégiai párbeszédre</w:t>
      </w:r>
      <w:r w:rsidRPr="00E82E74">
        <w:t>,</w:t>
      </w:r>
    </w:p>
    <w:p w14:paraId="16564AF5" w14:textId="2CB3A0B1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</w:r>
      <w:r w:rsidR="00E82E74" w:rsidRPr="00E82E74">
        <w:t>tekintettel a 2026. március 25-én Tokióban tartott 9. EU–Japán digitális politikai párbeszédre</w:t>
      </w:r>
      <w:r w:rsidRPr="00E82E74">
        <w:t>,</w:t>
      </w:r>
    </w:p>
    <w:p w14:paraId="07864B96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EU és Japán által aláírt, a kvantumtudomány és -technológia terén a közös kutatás, a cserék és az ökoszisztéma-fejlesztés elmélyítése érdekében folytatott együttműködés megerősítéséről szóló szándéknyilatkozatra,</w:t>
      </w:r>
    </w:p>
    <w:p w14:paraId="460E5DE8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EU, Japán és az Egyesült Államok által a kritikus fontosságú ásványokkal foglalkozó, 2026. február 4-i miniszteri találkozón tett, a kritikus fontosságú nyersanyagokkal kapcsolatos együttműködés fokozására irányuló kötelezettségvállalásra,</w:t>
      </w:r>
    </w:p>
    <w:p w14:paraId="303571C3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 2021. május 27-i EU–Japán zöld szövetségre,</w:t>
      </w:r>
    </w:p>
    <w:p w14:paraId="0D5A0F93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2026. június 10-én Brüsszelben tartott 11. EU–Koreai Köztársaság csúcstalálkozón elfogadott együttes nyilatkozatra,</w:t>
      </w:r>
    </w:p>
    <w:p w14:paraId="531423B0" w14:textId="77777777" w:rsidR="00043B6E" w:rsidRPr="00E82E74" w:rsidRDefault="00043B6E" w:rsidP="00914AD5">
      <w:pPr>
        <w:pStyle w:val="NormalHanging12a"/>
        <w:widowControl/>
      </w:pPr>
      <w:r w:rsidRPr="00E82E74">
        <w:lastRenderedPageBreak/>
        <w:t>–</w:t>
      </w:r>
      <w:r w:rsidRPr="00E82E74">
        <w:tab/>
        <w:t>tekintettel a 2025. november 18-án Brüsszelben tartott 23. EU–Koreai Köztársaság parlamentközi ülésre,</w:t>
      </w:r>
    </w:p>
    <w:p w14:paraId="46A9F400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 2026. január 22-én Brüsszelben tartott második EU–Koreai Köztársaság stratégiai párbeszédre,</w:t>
      </w:r>
    </w:p>
    <w:p w14:paraId="01026E68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 2023. május 22-i EU–Koreai Köztársaság zöld partnerségre,</w:t>
      </w:r>
    </w:p>
    <w:p w14:paraId="55524D6B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2025. november 20–21-én Brüsszelben tartott, az EU és az indiai</w:t>
      </w:r>
      <w:r w:rsidRPr="00E82E74">
        <w:noBreakHyphen/>
        <w:t>csendes</w:t>
      </w:r>
      <w:r w:rsidRPr="00E82E74">
        <w:noBreakHyphen/>
        <w:t>óceáni térség közötti 4. miniszteri fórumra,</w:t>
      </w:r>
    </w:p>
    <w:p w14:paraId="5170E035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 Külügyi Bizottság küldöttségének 2026. március 31. és április 2. között a Koreai Köztársaságban és Japánban tett közelmúltbeli látogatását követő nyilatkozatra,</w:t>
      </w:r>
    </w:p>
    <w:p w14:paraId="72562A7E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EU és az indiai–csendes-óceáni térség biztonsági kihívásairól szóló, 2022. június 7-i állásfoglalására</w:t>
      </w:r>
      <w:r w:rsidRPr="00E82E74">
        <w:rPr>
          <w:rStyle w:val="FootnoteReference"/>
        </w:rPr>
        <w:footnoteReference w:id="5"/>
      </w:r>
      <w:r w:rsidRPr="00E82E74">
        <w:t>,</w:t>
      </w:r>
    </w:p>
    <w:p w14:paraId="6EA90A6C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EU és Japán közötti kapcsolatokról szóló, 2023. december 13-i állásfoglalására</w:t>
      </w:r>
      <w:r w:rsidRPr="00E82E74">
        <w:rPr>
          <w:rStyle w:val="FootnoteReference"/>
        </w:rPr>
        <w:footnoteReference w:id="6"/>
      </w:r>
      <w:r w:rsidRPr="00E82E74">
        <w:t>,</w:t>
      </w:r>
    </w:p>
    <w:p w14:paraId="6601CBBD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 xml:space="preserve">tekintettel „A közös </w:t>
      </w:r>
      <w:proofErr w:type="spellStart"/>
      <w:r w:rsidRPr="00E82E74">
        <w:t>kül</w:t>
      </w:r>
      <w:proofErr w:type="spellEnd"/>
      <w:r w:rsidRPr="00E82E74">
        <w:t>- és biztonságpolitika végrehajtása – 2025. évi éves jelentés” című, 2026. január 21-i állásfoglalására</w:t>
      </w:r>
      <w:r w:rsidRPr="00E82E74">
        <w:rPr>
          <w:rStyle w:val="FootnoteReference"/>
        </w:rPr>
        <w:footnoteReference w:id="7"/>
      </w:r>
      <w:r w:rsidRPr="00E82E74">
        <w:t>,</w:t>
      </w:r>
    </w:p>
    <w:p w14:paraId="6DF21143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Oroszország agressziós háborújával, valamint az Észak-Korea és Oroszország közötti erősödő katonai együttműködéssel szemben Ukrajnának nyújtott megingathatatlan uniós támogatás megerősítéséről szóló, 2024. november 28-i állásfoglalására</w:t>
      </w:r>
      <w:r w:rsidRPr="00E82E74">
        <w:rPr>
          <w:rStyle w:val="FootnoteReference"/>
          <w:bCs/>
          <w:iCs/>
        </w:rPr>
        <w:footnoteReference w:id="8"/>
      </w:r>
      <w:r w:rsidRPr="00E82E74">
        <w:t>,</w:t>
      </w:r>
    </w:p>
    <w:p w14:paraId="7A8D1DFD" w14:textId="77777777" w:rsidR="00043B6E" w:rsidRPr="00E82E74" w:rsidRDefault="00043B6E" w:rsidP="00914AD5">
      <w:pPr>
        <w:pStyle w:val="NormalHanging12a"/>
        <w:widowControl/>
        <w:rPr>
          <w:b/>
          <w:i/>
        </w:rPr>
      </w:pPr>
      <w:r w:rsidRPr="00E82E74">
        <w:t>–</w:t>
      </w:r>
      <w:r w:rsidRPr="00E82E74">
        <w:tab/>
        <w:t>tekintettel a 2758. sz. ENSZ-határozatnak a Kínai Népköztársaság általi félreértelmezéséről és Tajvan körüli folyamatos katonai provokációiról szóló, 2024. október 24-i állásfoglalására</w:t>
      </w:r>
      <w:r w:rsidRPr="00E82E74">
        <w:rPr>
          <w:rStyle w:val="FootnoteReference"/>
          <w:bCs/>
          <w:iCs/>
        </w:rPr>
        <w:footnoteReference w:id="9"/>
      </w:r>
      <w:r w:rsidRPr="00E82E74">
        <w:t>,</w:t>
      </w:r>
    </w:p>
    <w:p w14:paraId="12C46D6C" w14:textId="310E326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–</w:t>
      </w:r>
      <w:r w:rsidRPr="00E82E74">
        <w:tab/>
        <w:t>tekintettel az EU és Tajvan közötti kereskedelmi és beruházási kapcsolatokról szóló, 2023. december 13-i állásfoglalására</w:t>
      </w:r>
      <w:r w:rsidRPr="00E82E74">
        <w:rPr>
          <w:rStyle w:val="FootnoteReference"/>
          <w:bCs/>
          <w:iCs/>
        </w:rPr>
        <w:footnoteReference w:id="10"/>
      </w:r>
      <w:r w:rsidRPr="00E82E74">
        <w:t>,</w:t>
      </w:r>
    </w:p>
    <w:p w14:paraId="14A67B1D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az indiai–csendes-óceáni együttműködéssel kapcsolatos álláspontjaira és ajánlásaira, beleértve a hasonlóan gondolkodó partnerekkel való együttműködésre irányuló felhívásokat a hajózás szabadságának és a stabilitásnak a Tajvani-szorosban, valamint a Kelet- és Dél-kínai-tengeren történő fenntartása érdekében,</w:t>
      </w:r>
    </w:p>
    <w:p w14:paraId="51CDC7D3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eljárási szabályzata 121. cikkére,</w:t>
      </w:r>
    </w:p>
    <w:p w14:paraId="5E77BDA5" w14:textId="77777777" w:rsidR="00043B6E" w:rsidRPr="00E82E74" w:rsidRDefault="00043B6E" w:rsidP="00914AD5">
      <w:pPr>
        <w:pStyle w:val="NormalHanging12a"/>
        <w:widowControl/>
      </w:pPr>
      <w:r w:rsidRPr="00E82E74">
        <w:t>–</w:t>
      </w:r>
      <w:r w:rsidRPr="00E82E74">
        <w:tab/>
        <w:t>tekintettel a Külügyi Bizottság jelentésére (A10-0189/2026),</w:t>
      </w:r>
    </w:p>
    <w:p w14:paraId="32B35489" w14:textId="77777777" w:rsidR="00043B6E" w:rsidRPr="00E82E74" w:rsidRDefault="00043B6E" w:rsidP="00914AD5">
      <w:pPr>
        <w:pStyle w:val="NormalHanging12a"/>
        <w:widowControl/>
      </w:pPr>
      <w:r w:rsidRPr="00E82E74">
        <w:lastRenderedPageBreak/>
        <w:t>A.</w:t>
      </w:r>
      <w:r w:rsidRPr="00E82E74">
        <w:tab/>
        <w:t xml:space="preserve">mivel a folyamatban lévő geopolitikai változások és az indiai–csendes-óceáni térség növekvő stratégiai jelentősége átalakítják a világrendet; mivel Kelet-Ázsia és a tágabb indiai–csendes-óceáni térség kulcsfontosságú a globális jólét és biztonság, az energiabiztonság és a demokratikus </w:t>
      </w:r>
      <w:proofErr w:type="spellStart"/>
      <w:r w:rsidRPr="00E82E74">
        <w:t>reziliencia</w:t>
      </w:r>
      <w:proofErr w:type="spellEnd"/>
      <w:r w:rsidRPr="00E82E74">
        <w:t xml:space="preserve"> szempontjából, mivel létfontosságú tengeri útvonalaknak, fejlett technológiai ökoszisztémáknak, fő kereskedelmi útvonalaknak, a világ népességének több mint felének, valamint az EU gazdasági versenyképességéhez és a stratégiai ágazatok hosszú távú ipari </w:t>
      </w:r>
      <w:proofErr w:type="spellStart"/>
      <w:r w:rsidRPr="00E82E74">
        <w:t>rezilienciájához</w:t>
      </w:r>
      <w:proofErr w:type="spellEnd"/>
      <w:r w:rsidRPr="00E82E74">
        <w:t>, valamint geopolitikai befolyásához elengedhetetlen kritikus ellátási láncoknak adnak otthont;</w:t>
      </w:r>
    </w:p>
    <w:p w14:paraId="24BECD55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B.</w:t>
      </w:r>
      <w:r w:rsidRPr="00E82E74">
        <w:tab/>
        <w:t xml:space="preserve">mivel a gazdasági biztonság, beleértve a kritikus fontosságú nyersanyagok, a félvezetők és a tiszta technológiák </w:t>
      </w:r>
      <w:proofErr w:type="spellStart"/>
      <w:r w:rsidRPr="00E82E74">
        <w:t>reziliens</w:t>
      </w:r>
      <w:proofErr w:type="spellEnd"/>
      <w:r w:rsidRPr="00E82E74">
        <w:t xml:space="preserve"> és diverzifikált ellátási láncait, a kereskedelem-, </w:t>
      </w:r>
      <w:proofErr w:type="spellStart"/>
      <w:r w:rsidRPr="00E82E74">
        <w:t>kül</w:t>
      </w:r>
      <w:proofErr w:type="spellEnd"/>
      <w:r w:rsidRPr="00E82E74">
        <w:t xml:space="preserve">- és biztonságpolitika szerves részét képezi; mivel a stratégiai függőségek csökkentése, valamint az ellátási láncok </w:t>
      </w:r>
      <w:proofErr w:type="spellStart"/>
      <w:r w:rsidRPr="00E82E74">
        <w:t>reziliensebbé</w:t>
      </w:r>
      <w:proofErr w:type="spellEnd"/>
      <w:r w:rsidRPr="00E82E74">
        <w:t xml:space="preserve"> és </w:t>
      </w:r>
      <w:proofErr w:type="spellStart"/>
      <w:r w:rsidRPr="00E82E74">
        <w:t>diverzifikáltabbá</w:t>
      </w:r>
      <w:proofErr w:type="spellEnd"/>
      <w:r w:rsidRPr="00E82E74">
        <w:t xml:space="preserve"> tétele a kritikus ágazatokban elengedhetetlen az EU gazdasági biztonsága és versenyképessége szempontjából, összhangban az EU kockázatmentesítési stratégiájával, elkerülve ugyanakkor a szükségtelen gazdasági függetlenítést;</w:t>
      </w:r>
    </w:p>
    <w:p w14:paraId="46D80D3F" w14:textId="77777777" w:rsidR="00043B6E" w:rsidRDefault="00043B6E" w:rsidP="00914AD5">
      <w:pPr>
        <w:pStyle w:val="NormalHanging12a"/>
        <w:widowControl/>
      </w:pPr>
      <w:r w:rsidRPr="00E82E74">
        <w:t>C.</w:t>
      </w:r>
      <w:r w:rsidRPr="00E82E74">
        <w:tab/>
        <w:t>mivel Kelet-Ázsia geopolitikai környezete az elmúlt években egyre változékonyabbá vált, és a regionális hatalmi dinamikát egyre inkább a rendszerszintű rivalizálás, a tengeri viták, a katonai kapacitásépítés, valamint a gazdasági kényszerítést alkalmazó önkényuralmi kormányzási modellek növekvő befolyása alakítja, beleértve a diszkriminatív piacra jutást, a hibrid fenyegetéseket, többek között a külföldi információmanipulációt és beavatkozást, valamint a kereskedelmi és politikai kémkedést, amelyek megkérdőjelezik a békét, a stabilitást és a szabályokon alapuló nemzetközi rendet, és összehangolt válaszokat igényelnek a demokratikus értékeket és magas szintű szabályozási normákat valló partnerekkel;</w:t>
      </w:r>
    </w:p>
    <w:p w14:paraId="41F891F3" w14:textId="02287475" w:rsidR="00E82E74" w:rsidRPr="00E82E74" w:rsidRDefault="00E82E74" w:rsidP="00914AD5">
      <w:pPr>
        <w:pStyle w:val="NormalHanging12a"/>
        <w:widowControl/>
        <w:rPr>
          <w:bCs/>
          <w:iCs/>
        </w:rPr>
      </w:pPr>
      <w:r>
        <w:rPr>
          <w:bCs/>
          <w:iCs/>
        </w:rPr>
        <w:t>D</w:t>
      </w:r>
      <w:r w:rsidRPr="00E82E74">
        <w:rPr>
          <w:bCs/>
          <w:iCs/>
        </w:rPr>
        <w:t>.</w:t>
      </w:r>
      <w:r w:rsidRPr="00E82E74">
        <w:rPr>
          <w:bCs/>
          <w:iCs/>
        </w:rPr>
        <w:tab/>
        <w:t xml:space="preserve">mivel Japán, Dél-Korea és Tajvan biztonsága továbbra is nagymértékben függ az Egyesült Államoktól; mivel e partnereket egyre mélyebben érinti az Egyesült Államok kiszámíthatatlansága és az általa alkalmazott gazdasági kényszerítés, amelyek időnként a legközelebbi szövetségeseit is érintik; mivel ezért e demokratikus partnereknek meg kell erősíteniük és diverzifikálniuk kell a más szereplőkkel, különösen az EU-val fennálló partnerségeiket a </w:t>
      </w:r>
      <w:proofErr w:type="spellStart"/>
      <w:r w:rsidRPr="00E82E74">
        <w:rPr>
          <w:bCs/>
          <w:iCs/>
        </w:rPr>
        <w:t>reziliencia</w:t>
      </w:r>
      <w:proofErr w:type="spellEnd"/>
      <w:r w:rsidRPr="00E82E74">
        <w:rPr>
          <w:bCs/>
          <w:iCs/>
        </w:rPr>
        <w:t xml:space="preserve"> és a közös biztonsági érdekek megerősítése érdekében</w:t>
      </w:r>
    </w:p>
    <w:p w14:paraId="6980FBC8" w14:textId="65084AEC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E</w:t>
      </w:r>
      <w:r w:rsidR="00043B6E" w:rsidRPr="00E82E74">
        <w:t>.</w:t>
      </w:r>
      <w:r w:rsidR="00043B6E" w:rsidRPr="00E82E74">
        <w:tab/>
        <w:t>mivel az indiai–csendes-óceáni térséggel folytatott együttműködésre vonatkozó uniós stratégia azon a meggyőződésen alapul, hogy az EU és az indiai–csendes-óceáni térség biztonsága és jóléte elválaszthatatlanul összekapcsolódik; mivel a stratégia hangsúlyozza annak fontosságát, hogy mélyebb politikai párbeszéd, megerősített gazdasági együttműködés és kibővített biztonsági partnerségek révén megerősítsék az EU szerepvállalását a régióban; mivel a szabályokon alapuló rend és a hagyományos szövetségek szétesése, valamint az imperialista törekvések által vezérelt agresszív szereplők megjelenése szorosabb kapcsolatokat tesz szükségessé az EU és a régió hasonlóan gondolkodó partnerei között a kölcsönös biztonság és jólét növelése érdekében;</w:t>
      </w:r>
    </w:p>
    <w:p w14:paraId="144815F4" w14:textId="0A2F3634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F</w:t>
      </w:r>
      <w:r w:rsidR="00043B6E" w:rsidRPr="00E82E74">
        <w:t>.</w:t>
      </w:r>
      <w:r w:rsidR="00043B6E" w:rsidRPr="00E82E74">
        <w:tab/>
        <w:t>mivel a hajózás és az átrepülés szabadsága a nemzetközi jog alapelvei, amelyeket különösen az ENSZ Tengerjogi Egyezménye rögzít, és amelyek kulcsfontosságúak az Unió gazdasági biztonsága szempontjából;</w:t>
      </w:r>
    </w:p>
    <w:p w14:paraId="2C7EF381" w14:textId="503F13AD" w:rsidR="00043B6E" w:rsidRPr="00E82E74" w:rsidRDefault="00E82E74" w:rsidP="00914AD5">
      <w:pPr>
        <w:pStyle w:val="NormalHanging12a"/>
        <w:widowControl/>
      </w:pPr>
      <w:r>
        <w:lastRenderedPageBreak/>
        <w:t>G</w:t>
      </w:r>
      <w:r w:rsidR="00043B6E" w:rsidRPr="00E82E74">
        <w:t>.</w:t>
      </w:r>
      <w:r w:rsidR="00043B6E" w:rsidRPr="00E82E74">
        <w:tab/>
        <w:t>mivel az egyre összetettebb biztonsági kihívások jelentős hatást gyakorolnak mind Európa, mind az indiai–csendes-óceáni térség stabilitására és jólétére, és a két régió stabilitása minden eddiginél szorosabban kapcsolódik egymáshoz; mivel Oroszország Ukrajna elleni teljes körű illegális inváziója és az orosz agressziót lehetővé tevő harmadik országok, így például Kína és Észak-Korea támogatása mindkettőt közvetlenül érinti; mivel elengedhetetlen az EU és Japán, valamint az EU és a Koreai Köztársaság közötti szilárd védelmi-ipari együttműködés; mivel Japán és a Koreai Köztársaság egyaránt kiemelkedik az általa Ukrajnának nyújtott jelentős pénzügyi és humanitárius segítséggel; mivel Japán 2022 óta több mint 20 milliárd USD pénzügyi és katonai támogatást nyújtott és ajánlott fel Ukrajnának; mivel a közel-keleti instabilitás jelentős következményekkel jár Európára és Kelet-Ázsiára nézve az energiabiztonság és az ellátási lánc zavarai tekintetében;</w:t>
      </w:r>
    </w:p>
    <w:p w14:paraId="1D5068BE" w14:textId="1EE2A2D3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H</w:t>
      </w:r>
      <w:r w:rsidR="00043B6E" w:rsidRPr="00E82E74">
        <w:t>.</w:t>
      </w:r>
      <w:r w:rsidR="00043B6E" w:rsidRPr="00E82E74">
        <w:tab/>
        <w:t>mivel a biztonság és a védelem területére vonatkozó stratégiai iránytű kimondja, hogy egyes szereplők, például a Koreai Népi Demokratikus Köztársaság (KNDK) továbbra is veszélyeztetik a regionális és nemzetközi békét és biztonságot; mivel a KNDK nukleáris és rakétaprogramjai súlyos fenyegetést jelentenek a szabályokon alapuló nemzetközi rendre, továbbá az ország fegyverekért és katonai személyzetért cserébe nukleáris vagy ballisztikus rakétákkal és pilóta nélküli légi járművekkel (UAV-</w:t>
      </w:r>
      <w:proofErr w:type="spellStart"/>
      <w:r w:rsidR="00043B6E" w:rsidRPr="00E82E74">
        <w:t>kkal</w:t>
      </w:r>
      <w:proofErr w:type="spellEnd"/>
      <w:r w:rsidR="00043B6E" w:rsidRPr="00E82E74">
        <w:t>) kapcsolatos technológiát kaphat Oroszországtól; mivel a KNDK többször megsértette az ENSZ Biztonsági Tanácsának határozatait a folytatódó rakétaindításokkal, többek között a Japán felett végzett kísérletekkel;</w:t>
      </w:r>
    </w:p>
    <w:p w14:paraId="30CF0270" w14:textId="778D3D5C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I</w:t>
      </w:r>
      <w:r w:rsidR="00043B6E" w:rsidRPr="00E82E74">
        <w:t>.</w:t>
      </w:r>
      <w:r w:rsidR="00043B6E" w:rsidRPr="00E82E74">
        <w:tab/>
        <w:t xml:space="preserve">mivel a digitális tér társadalmaink és gazdaságaink működése szempontjából betöltött növekvő jelentősége növelte a </w:t>
      </w:r>
      <w:proofErr w:type="spellStart"/>
      <w:r w:rsidR="00043B6E" w:rsidRPr="00E82E74">
        <w:t>kibertámadások</w:t>
      </w:r>
      <w:proofErr w:type="spellEnd"/>
      <w:r w:rsidR="00043B6E" w:rsidRPr="00E82E74">
        <w:t xml:space="preserve"> számát és nagyságrendjét; mivel a digitális évtizedre vonatkozó uniós </w:t>
      </w:r>
      <w:proofErr w:type="spellStart"/>
      <w:r w:rsidR="00043B6E" w:rsidRPr="00E82E74">
        <w:t>kiberbiztonsági</w:t>
      </w:r>
      <w:proofErr w:type="spellEnd"/>
      <w:r w:rsidR="00043B6E" w:rsidRPr="00E82E74">
        <w:t xml:space="preserve"> stratégiáról szóló közös közlemény kimondja, hogy az e fenyegetések és sebezhetőségek elleni küzdelemhez olyan partnerekkel kell együttműködnünk, amelyek tartják magukat a jogállamisághoz, az alapvető szabadságokhoz, a demokráciához és az emberi jogokhoz;</w:t>
      </w:r>
    </w:p>
    <w:p w14:paraId="109D4C1F" w14:textId="0077E1EB" w:rsidR="00043B6E" w:rsidRPr="00E82E74" w:rsidRDefault="00E82E74" w:rsidP="00914AD5">
      <w:pPr>
        <w:pStyle w:val="NormalHanging12a"/>
        <w:widowControl/>
      </w:pPr>
      <w:r>
        <w:t>J</w:t>
      </w:r>
      <w:r w:rsidR="00043B6E" w:rsidRPr="00E82E74">
        <w:t>.</w:t>
      </w:r>
      <w:r w:rsidR="00043B6E" w:rsidRPr="00E82E74">
        <w:tab/>
        <w:t xml:space="preserve">mivel az EU azzal védheti a legjobban az érdekeit és a globális biztonságot, ha elmélyíti a gyakorlati együttműködést a régió hasonlóan gondolkodó partnereivel – nevezetesen Japánnal, a Koreai Köztársasággal és Tajvannal –, ugyanakkor pedig elveken alapuló és konstruktív együttműködésre törekszik valamennyi regionális szereplővel, valamint központi mozgósító szereplőként bevonja a Délkelet-ázsiai Nemzetek Szövetségét (ASEAN); mivel ezeknek a partnerségeknek hozzá kell járulniuk az EU stratégiai autonómiájának megerősítéséhez, elkerülve a harmadik országbeli hatalmaktól való túlzott függőséget és megerősítve a szilárd európai védelmi ipari és technológiai bázist; mivel az EU-nak el kell kerülnie a blokkokon alapuló konfrontáció dinamikáját, és ehelyett elő kell mozdítania a nemzetközi jogon alapuló együttműködő </w:t>
      </w:r>
      <w:proofErr w:type="spellStart"/>
      <w:r w:rsidR="00043B6E" w:rsidRPr="00E82E74">
        <w:t>multilateralizmust</w:t>
      </w:r>
      <w:proofErr w:type="spellEnd"/>
      <w:r w:rsidR="00043B6E" w:rsidRPr="00E82E74">
        <w:t xml:space="preserve"> és párbeszédet;</w:t>
      </w:r>
    </w:p>
    <w:p w14:paraId="7D7DF509" w14:textId="1222B2A4" w:rsidR="00043B6E" w:rsidRPr="00E82E74" w:rsidRDefault="00E82E74" w:rsidP="00914AD5">
      <w:pPr>
        <w:pStyle w:val="NormalHanging12a"/>
        <w:widowControl/>
      </w:pPr>
      <w:r>
        <w:t>K</w:t>
      </w:r>
      <w:r w:rsidR="00043B6E" w:rsidRPr="00E82E74">
        <w:t>.</w:t>
      </w:r>
      <w:r w:rsidR="00043B6E" w:rsidRPr="00E82E74">
        <w:tab/>
        <w:t xml:space="preserve">mivel az EU és Japán közötti stratégiai partnerség modellként szolgál az olyan, hatékony kétoldalú együttműködéshez, amely megerősíti a politikaformálást a többoldalú fórumokon; mivel az EU–Japán stratégiai partnerségi megállapodás 2025. január 1-jei hatálybalépése szorosabb együttműködést tesz lehetővé, többek között olyan területeken, mint a biztonság és a védelem, a hibrid fenyegetések, a tengeri védelem, a </w:t>
      </w:r>
      <w:proofErr w:type="spellStart"/>
      <w:r w:rsidR="00043B6E" w:rsidRPr="00E82E74">
        <w:t>kiberbiztonság</w:t>
      </w:r>
      <w:proofErr w:type="spellEnd"/>
      <w:r w:rsidR="00043B6E" w:rsidRPr="00E82E74">
        <w:t xml:space="preserve">, az űrkutatás és a </w:t>
      </w:r>
      <w:proofErr w:type="spellStart"/>
      <w:r w:rsidR="00043B6E" w:rsidRPr="00E82E74">
        <w:t>nonproliferáció</w:t>
      </w:r>
      <w:proofErr w:type="spellEnd"/>
      <w:r w:rsidR="00043B6E" w:rsidRPr="00E82E74">
        <w:t>, valamint a versenyképességi szövetség, a zöld szövetség és a digitális partnerség és az energiaügyi párbeszéd keretében tett kézzelfogható közös erőfeszítések;</w:t>
      </w:r>
    </w:p>
    <w:p w14:paraId="642E47D0" w14:textId="582BEEE2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lastRenderedPageBreak/>
        <w:t>L</w:t>
      </w:r>
      <w:r w:rsidR="00043B6E" w:rsidRPr="00E82E74">
        <w:t>.</w:t>
      </w:r>
      <w:r w:rsidR="00043B6E" w:rsidRPr="00E82E74">
        <w:tab/>
        <w:t>mivel Japán az EU legközelebbi stratégiai partnere az indiai–csendes-óceáni térségben; mivel a globális kihívások és különösen az indiai–csendes-óceáni térségben tapasztalható növekvő feszültségek szükségessé teszik az EU és Japán közötti egyre szorosabb partnerséget; mivel mind az EU, min Japán alapvető érdeke egy szabad és nyílt indiai–csendes-óceáni térség megteremtése, különösen azáltal, hogy előmozdítanak egy szabályokon alapuló nemzetközi rendet, amelyben valamennyi ország betartja a nemzetközi jogot és a konfliktusok békés rendezésének elvét; mivel Japán fontos szereplő az indiai–csendes-óceáni térség számos fórumán, például a kelet-ázsiai csúcstalálkozón; mivel az EU és Japán kétoldalú szinten és többoldalú fórumokon – például a G7-ek, a G20-ak, az ENSZ, a Kereskedelmi Világszervezet, az Egészségügyi Világszervezet (WHO) és a Gazdasági Együttműködési és Fejlesztési Szervezet (OECD) keretében – közös megközelítésre törekszenek, valamint hasonlóan gondolkodó donorként igazodnak egymáshoz;</w:t>
      </w:r>
    </w:p>
    <w:p w14:paraId="5E85E5FB" w14:textId="28782703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M</w:t>
      </w:r>
      <w:r w:rsidR="00043B6E" w:rsidRPr="00E82E74">
        <w:t>.</w:t>
      </w:r>
      <w:r w:rsidR="00043B6E" w:rsidRPr="00E82E74">
        <w:tab/>
        <w:t>mivel az EU–Japán gazdasági partnerségi megállapodás 2019-ben lépett hatályba, és 2024-ben módosították annak érdekében, hogy az adatok szabad áramlására vonatkozó rendelkezéseket is tartalmazzon; mivel Japán az EU hetedik legnagyobb kereskedelmi partnere;</w:t>
      </w:r>
    </w:p>
    <w:p w14:paraId="51D4ABD8" w14:textId="797AB924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N</w:t>
      </w:r>
      <w:r w:rsidR="00043B6E" w:rsidRPr="00E82E74">
        <w:t>.</w:t>
      </w:r>
      <w:r w:rsidR="00043B6E" w:rsidRPr="00E82E74">
        <w:tab/>
      </w:r>
      <w:bookmarkStart w:id="7" w:name="_Hlk233719618"/>
      <w:r w:rsidRPr="00E82E74">
        <w:t xml:space="preserve">mivel 2026 májusában az EU–Japán Digitális Partnerségi Tanács negyedik ülése kiterjesztette az együttműködést a mesterséges intelligencia (MI), az 5G/6G, a félvezetők, a </w:t>
      </w:r>
      <w:proofErr w:type="spellStart"/>
      <w:r w:rsidRPr="00E82E74">
        <w:t>kiberbiztonság</w:t>
      </w:r>
      <w:proofErr w:type="spellEnd"/>
      <w:r w:rsidRPr="00E82E74">
        <w:t xml:space="preserve"> és az adatkormányzás terén, és üdvözölte a „6G MIRAI-HARMONY” közös kutatási projekt előrehaladását is</w:t>
      </w:r>
      <w:r w:rsidR="00043B6E" w:rsidRPr="00E82E74">
        <w:t>;</w:t>
      </w:r>
      <w:bookmarkEnd w:id="7"/>
    </w:p>
    <w:p w14:paraId="66D15941" w14:textId="4B798A05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O</w:t>
      </w:r>
      <w:r w:rsidR="00043B6E" w:rsidRPr="00E82E74">
        <w:t>.</w:t>
      </w:r>
      <w:r w:rsidR="00043B6E" w:rsidRPr="00E82E74">
        <w:tab/>
        <w:t>mivel a EU–Japán energiaügyi párbeszéd 2025-ben hangsúlyozta a tiszta energia ellátási láncaival, az LNG biztonságával és a hidrogén területén folytatott együttműködéssel kapcsolatos közös munkát a klímasemlegesség támogatása érdekében;</w:t>
      </w:r>
    </w:p>
    <w:p w14:paraId="085A0003" w14:textId="10B0BCB5" w:rsidR="00043B6E" w:rsidRPr="00E82E74" w:rsidRDefault="00E82E74" w:rsidP="00914AD5">
      <w:pPr>
        <w:pStyle w:val="NormalHanging12a"/>
        <w:widowControl/>
        <w:rPr>
          <w:b/>
          <w:bCs/>
          <w:i/>
          <w:iCs/>
          <w:szCs w:val="24"/>
        </w:rPr>
      </w:pPr>
      <w:r>
        <w:t>P</w:t>
      </w:r>
      <w:r w:rsidR="00043B6E" w:rsidRPr="00E82E74">
        <w:t>.</w:t>
      </w:r>
      <w:r w:rsidR="00043B6E" w:rsidRPr="00E82E74">
        <w:tab/>
        <w:t xml:space="preserve">mivel az EU és a Koreai Köztársaság – az indiai–csendes-óceáni térségben az egyik kulcsfontosságú szövetséges – közötti stratégiai partnerség kiterjed a politikai párbeszédre, a kereskedelemre és a biztonsági együttműködésre; mivel az EU és a Koreai Köztársaság közötti szabadkereskedelmi megállapodás a hatálybalépése óta hozzájárult a kétoldalú kereskedelem jelentős növekedéséhez; mivel az </w:t>
      </w:r>
      <w:bookmarkStart w:id="8" w:name="_Hlk233719710"/>
      <w:r w:rsidR="00043B6E" w:rsidRPr="00E82E74">
        <w:t>EU–Koreai Köztársaság keretmegállapodás</w:t>
      </w:r>
      <w:bookmarkEnd w:id="8"/>
      <w:r w:rsidR="00043B6E" w:rsidRPr="00E82E74">
        <w:t xml:space="preserve"> megerősíti a politikai, gazdasági és intézményi kapcsolatokat, beleértve a biztonságot is; mivel a részvételi keretmegállapodás megerősíti az EU és a Koreai Köztársaság közötti politikai és biztonsági kapcsolatot, és hangsúlyozza a közös értékeket és érdekeket; mivel a 2023. évi EU–Koreai Köztársaság csúcstalálkozón a vezetők megállapodtak abban, hogy a globális békével és biztonsággal kapcsolatos együttműködés fokozása érdekében külügyminiszteri szinten biztonsági partnerséget és stratégiai párbeszédet hoznak létre; mivel az EU és a Koreai Köztársaság közötti biztonsági és védelmi partnerség strukturált keretet biztosít a szerepvállaláshoz valamennyi biztonsági területen; mivel az EU és a Koreai Köztársaság közötti digitális kereskedelmi megállapodás kölcsönösen előnyös szabályokat állapít meg az adatok és a digitális technológiák tekintetében; mivel a Koreai Köztársaság kulcsszerepet játszik a regionális stabilitásban;</w:t>
      </w:r>
    </w:p>
    <w:p w14:paraId="7FBF2E0E" w14:textId="67442BE4" w:rsidR="00043B6E" w:rsidRPr="00E82E74" w:rsidRDefault="00E82E74" w:rsidP="00914AD5">
      <w:pPr>
        <w:pStyle w:val="NormalHanging12a"/>
        <w:widowControl/>
        <w:rPr>
          <w:szCs w:val="24"/>
        </w:rPr>
      </w:pPr>
      <w:r>
        <w:t>Q</w:t>
      </w:r>
      <w:r w:rsidR="00043B6E" w:rsidRPr="00E82E74">
        <w:t>.</w:t>
      </w:r>
      <w:r w:rsidR="00043B6E" w:rsidRPr="00E82E74">
        <w:tab/>
        <w:t xml:space="preserve">mivel az EU és a Koreai Köztársaság közötti szabadkereskedelmi megállapodás az uniós kereskedelmi megállapodások új generációjának első lépését jelentette; mivel továbbra is fontos az EU és a Koreai Köztársaság közötti szabadkereskedelmi megállapodás kereskedelemről és fenntartható fejlődésről szóló fejezetének teljes körű </w:t>
      </w:r>
      <w:r w:rsidR="00043B6E" w:rsidRPr="00E82E74">
        <w:lastRenderedPageBreak/>
        <w:t>végrehajtása, beleértve a munkavállalói jogok terén tett folyamatos előrelépést és a kényszermunka felszámolásáról szóló, 1957. évi 105. számú ILO-egyezmény ratifikálását; mivel a Koreai Köztársaság az EU nyolcadik legnagyobb kereskedelmi partnere;</w:t>
      </w:r>
    </w:p>
    <w:p w14:paraId="6456CD6A" w14:textId="3D54B640" w:rsidR="00043B6E" w:rsidRPr="00E82E74" w:rsidRDefault="00E82E74" w:rsidP="00914AD5">
      <w:pPr>
        <w:pStyle w:val="NormalHanging12a"/>
        <w:widowControl/>
      </w:pPr>
      <w:r>
        <w:t>R</w:t>
      </w:r>
      <w:r w:rsidR="00043B6E" w:rsidRPr="00E82E74">
        <w:t>.</w:t>
      </w:r>
      <w:r w:rsidR="00043B6E" w:rsidRPr="00E82E74">
        <w:tab/>
        <w:t xml:space="preserve">mivel az EU már stratégiai partnerségeket hozott létre Japánnal és a Koreai Köztársasággal mint a régió hasonló gondolkodású partnereivel; mivel Japán és a Koreai Köztársaság jelentős forrásokat fordít energetikai átállásának felgyorsítására, többek között tekintve a 2015. évi Párizsi Megállapodás ratifikálását, valamint a napenergiába és a tengeri szélenergiába történő jelentős beruházásait; mivel az EU arra törekszik, hogy </w:t>
      </w:r>
      <w:proofErr w:type="spellStart"/>
      <w:r w:rsidR="00043B6E" w:rsidRPr="00E82E74">
        <w:t>továbblépjen</w:t>
      </w:r>
      <w:proofErr w:type="spellEnd"/>
      <w:r w:rsidR="00043B6E" w:rsidRPr="00E82E74">
        <w:t xml:space="preserve"> stratégiai partnerségeiben, és megerősítse együttműködését Japánnal és a Koreai Köztársasággal a megújuló energia területén a karbonsemlegesség 2050-ig történő elérése érdekében;</w:t>
      </w:r>
    </w:p>
    <w:p w14:paraId="71133EEF" w14:textId="75E088B8" w:rsidR="00043B6E" w:rsidRPr="00E82E74" w:rsidRDefault="00E82E74" w:rsidP="00914AD5">
      <w:pPr>
        <w:pStyle w:val="NormalHanging12a"/>
        <w:widowControl/>
      </w:pPr>
      <w:r>
        <w:t>S</w:t>
      </w:r>
      <w:r w:rsidR="00043B6E" w:rsidRPr="00E82E74">
        <w:t>.</w:t>
      </w:r>
      <w:r w:rsidR="00043B6E" w:rsidRPr="00E82E74">
        <w:tab/>
        <w:t xml:space="preserve">mivel a Koreai Köztársaság és Japán vezető technológiai szereplők, amelyeknek a többek között a védelem területére tartozó MI-fejlesztései formálják a </w:t>
      </w:r>
      <w:proofErr w:type="spellStart"/>
      <w:r w:rsidR="00043B6E" w:rsidRPr="00E82E74">
        <w:t>kiber</w:t>
      </w:r>
      <w:proofErr w:type="spellEnd"/>
      <w:r w:rsidR="00043B6E" w:rsidRPr="00E82E74">
        <w:t>- és katonai fenyegetésekre adott válaszokat, különösen a KNDK felől érkező állandó fenyegetések fényében;</w:t>
      </w:r>
    </w:p>
    <w:p w14:paraId="0A625874" w14:textId="41E9E205" w:rsidR="00043B6E" w:rsidRPr="00E82E74" w:rsidRDefault="00E82E74" w:rsidP="00914AD5">
      <w:pPr>
        <w:pStyle w:val="NormalHanging12a"/>
        <w:widowControl/>
      </w:pPr>
      <w:r>
        <w:t>T</w:t>
      </w:r>
      <w:r w:rsidR="00043B6E" w:rsidRPr="00E82E74">
        <w:t>.</w:t>
      </w:r>
      <w:r w:rsidR="00043B6E" w:rsidRPr="00E82E74">
        <w:tab/>
        <w:t xml:space="preserve">mivel Ausztrália, Japán és a Koreai Köztársaság elmélyíti a háromoldalú együttműködést az indiai–csendes-óceáni térség biztonságának és stabilitásának fokozása érdekében, többek között közös katonai gyakorlatok, valamint a védelmi technológiával és az ellátási lánc </w:t>
      </w:r>
      <w:proofErr w:type="spellStart"/>
      <w:r w:rsidR="00043B6E" w:rsidRPr="00E82E74">
        <w:t>rezilienciájával</w:t>
      </w:r>
      <w:proofErr w:type="spellEnd"/>
      <w:r w:rsidR="00043B6E" w:rsidRPr="00E82E74">
        <w:t xml:space="preserve"> kapcsolatos szorosabb együttműködés révén; mivel ez a növekvő háromoldalú koordináció az Ausztrália és a Koreai Köztársaság közötti átfogó stratégiai partnerség és a Japánnal fennálló különleges stratégiai partnerség által teremtett lendületre épül;</w:t>
      </w:r>
    </w:p>
    <w:p w14:paraId="79E816E7" w14:textId="4490B84D" w:rsidR="00043B6E" w:rsidRPr="00E82E74" w:rsidRDefault="00E82E74" w:rsidP="00914AD5">
      <w:pPr>
        <w:pStyle w:val="NormalHanging12a"/>
        <w:widowControl/>
      </w:pPr>
      <w:r>
        <w:t>U</w:t>
      </w:r>
      <w:r w:rsidR="00043B6E" w:rsidRPr="00E82E74">
        <w:t>.</w:t>
      </w:r>
      <w:r w:rsidR="00043B6E" w:rsidRPr="00E82E74">
        <w:tab/>
        <w:t xml:space="preserve">mivel 2025. január 1-jén a Koreai Köztársaság lett az első ázsiai ország, amely csatlakozott a Horizont Európa programhoz, amelyet 2025. december 22-én </w:t>
      </w:r>
      <w:r w:rsidR="00914AD5" w:rsidRPr="00E82E74">
        <w:t xml:space="preserve">a </w:t>
      </w:r>
      <w:r w:rsidR="00043B6E" w:rsidRPr="00E82E74">
        <w:t>Japán</w:t>
      </w:r>
      <w:r w:rsidR="00914AD5" w:rsidRPr="00E82E74">
        <w:t>nal folytatott tárgyalások lezárása</w:t>
      </w:r>
      <w:r w:rsidR="00043B6E" w:rsidRPr="00E82E74">
        <w:t xml:space="preserve"> követett; mivel a két ország programhoz való csatlakozása bizonyítja az EU-val folytatott kutatási és innovációs együttműködés iránti szilárd elkötelezettségüket;</w:t>
      </w:r>
    </w:p>
    <w:p w14:paraId="57C3A808" w14:textId="7EFB3DAE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V</w:t>
      </w:r>
      <w:r w:rsidR="00043B6E" w:rsidRPr="00E82E74">
        <w:t>.</w:t>
      </w:r>
      <w:r w:rsidR="00043B6E" w:rsidRPr="00E82E74">
        <w:tab/>
        <w:t xml:space="preserve">mivel Tajvan az EU kulcsfontosságú, megbízható demokratikus partnere a kelet-ázsiai régióban; mivel az EU és Tajvan közös értékeket vall, ideértve például a demokráciát, a jogállamiságot és az emberi jogokat, és mindketten elkötelezettek a </w:t>
      </w:r>
      <w:proofErr w:type="spellStart"/>
      <w:r w:rsidR="00043B6E" w:rsidRPr="00E82E74">
        <w:t>multilateralizmus</w:t>
      </w:r>
      <w:proofErr w:type="spellEnd"/>
      <w:r w:rsidR="00043B6E" w:rsidRPr="00E82E74">
        <w:t xml:space="preserve"> és a szabályokon alapuló nemzetközi rend fenntartása mellett; mivel „Az európai védelemről – Készenlét 2030” című fehér könyv (JOIN(2025)0120) aggodalmat fogalmaz meg arra vonatkozóan, hogy Kína a politikai, gazdasági, katonai és </w:t>
      </w:r>
      <w:proofErr w:type="spellStart"/>
      <w:r w:rsidR="00043B6E" w:rsidRPr="00E82E74">
        <w:t>kiberintézkedések</w:t>
      </w:r>
      <w:proofErr w:type="spellEnd"/>
      <w:r w:rsidR="00043B6E" w:rsidRPr="00E82E74">
        <w:t xml:space="preserve"> fokozása révén nyomást gyakorol Tajvanra; mivel a Tajvani-szoros és a Dél-kínai-tenger békéje és stabilitása létfontosságú stratégiai érdek az EU számára, és alapvető fontosságú a globális biztonság és jólét szempontjából, többek között a nemzetközi kereskedelmi forgalom, a beruházási biztonság és a globális ellátási láncok működése tekintetében;</w:t>
      </w:r>
    </w:p>
    <w:p w14:paraId="08122E86" w14:textId="077A4901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W</w:t>
      </w:r>
      <w:r w:rsidR="00043B6E" w:rsidRPr="00E82E74">
        <w:t>.</w:t>
      </w:r>
      <w:r w:rsidR="00043B6E" w:rsidRPr="00E82E74">
        <w:tab/>
        <w:t xml:space="preserve">mivel Tajvan az EU 13. legnagyobb kereskedelmi partnere és kulcsfontosságú gazdasági partnere, az EU legfontosabb ázsiai kereskedelmi és beruházási partnerei közé tartozik, és központi szerepet játszik a globális értékláncokban, különösen a félvezetőgyártásban, és a közegészségügy, a demokratikus </w:t>
      </w:r>
      <w:proofErr w:type="spellStart"/>
      <w:r w:rsidR="00043B6E" w:rsidRPr="00E82E74">
        <w:t>reziliencia</w:t>
      </w:r>
      <w:proofErr w:type="spellEnd"/>
      <w:r w:rsidR="00043B6E" w:rsidRPr="00E82E74">
        <w:t xml:space="preserve"> és a katasztrófavédelmi felkészültség terén;</w:t>
      </w:r>
    </w:p>
    <w:p w14:paraId="3C8F8892" w14:textId="794F6A86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lastRenderedPageBreak/>
        <w:t>X</w:t>
      </w:r>
      <w:r w:rsidR="00043B6E" w:rsidRPr="00E82E74">
        <w:t>.</w:t>
      </w:r>
      <w:r w:rsidR="00043B6E" w:rsidRPr="00E82E74">
        <w:tab/>
        <w:t>mivel Tajvan a kereskedelem szempontjából stratégiai helyzetben van; mivel a Tajvani-szoros a Kínából, Japánból, Dél-Koreából és Tajvanról Európába tartó hajók elsődleges útvonalába esik; mivel a félvezetőgyártás piacán Tajvan piacvezető, ugyanis gyártói a félvezetők mintegy 50%-</w:t>
      </w:r>
      <w:proofErr w:type="spellStart"/>
      <w:r w:rsidR="00043B6E" w:rsidRPr="00E82E74">
        <w:t>ának</w:t>
      </w:r>
      <w:proofErr w:type="spellEnd"/>
      <w:r w:rsidR="00043B6E" w:rsidRPr="00E82E74">
        <w:t xml:space="preserve"> gyártásáért felelnek globális viszonylatban; mivel az EU indiai–csendes-óceáni stratégiája amellett érvel, hogy fokozni kell a Tajvannal folytatott kereskedelmi és beruházási együttműködést, és támogatja a feszültségek stabilizálását a Dél-kínai-tengeren és a Tajvani-szorosban;</w:t>
      </w:r>
    </w:p>
    <w:p w14:paraId="69772439" w14:textId="76B69B99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Y</w:t>
      </w:r>
      <w:r w:rsidR="00043B6E" w:rsidRPr="00E82E74">
        <w:t>.</w:t>
      </w:r>
      <w:r w:rsidR="00043B6E" w:rsidRPr="00E82E74">
        <w:tab/>
        <w:t>mivel az EU, Japán, a Koreai Köztársaság és Tajvan közötti együttműködés hozzájárul a stabilitás, a nyitott piacok és a szabályokon alapuló nemzetközi rend előmozdításához; mivel ezeknek a partnereknek közös érdeke a globális kihívások kezelése, beleértve a gazdasági biztonságot és a technológiai fejlődést is; mivel az EU, Japán és a Koreai Köztársaság közötti fokozott koordináció hozzájárulhat a nagyobb szakpolitikai koherenciához a regionális és globális kihívások kezelése terén;</w:t>
      </w:r>
    </w:p>
    <w:p w14:paraId="1AB5A116" w14:textId="567C45C6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Z</w:t>
      </w:r>
      <w:r w:rsidR="00043B6E" w:rsidRPr="00E82E74">
        <w:t>.</w:t>
      </w:r>
      <w:r w:rsidR="00043B6E" w:rsidRPr="00E82E74">
        <w:tab/>
        <w:t xml:space="preserve">mivel az EU, Japán, a Koreai Köztársaság és Tajvan közötti háromoldalú együttműködés támogathatja a nemzetközi normák és szabványok kidolgozását, különösen a digitális kormányzás és az ellátási láncok területén; mivel az EU, Japán és a Koreai Köztársaság hasonlóan gondolkodó partnerek, amelyek célkitűzései azonosak; mivel az MI területén folytatott stratégiai partnerségük mechanizmusként szolgál a digitális kereskedelem terén folytatott cserék előmozdítására és a globális környezetben bekövetkező változások kezelésére; </w:t>
      </w:r>
    </w:p>
    <w:p w14:paraId="44F17E91" w14:textId="788DAD3E" w:rsidR="00043B6E" w:rsidRPr="00E82E74" w:rsidRDefault="00E82E74" w:rsidP="00914AD5">
      <w:pPr>
        <w:pStyle w:val="NormalHanging12a"/>
        <w:widowControl/>
        <w:rPr>
          <w:bCs/>
          <w:iCs/>
        </w:rPr>
      </w:pPr>
      <w:r>
        <w:t>AA</w:t>
      </w:r>
      <w:r w:rsidR="00043B6E" w:rsidRPr="00E82E74">
        <w:t>.</w:t>
      </w:r>
      <w:r w:rsidR="00043B6E" w:rsidRPr="00E82E74">
        <w:tab/>
        <w:t xml:space="preserve">mivel az EU–Japán zöld szövetség és az EU–Koreai Köztársaság zöld partnerség konkrét keretet biztosít az éghajlat-politika, a tiszta energia, az ipari </w:t>
      </w:r>
      <w:proofErr w:type="spellStart"/>
      <w:r w:rsidR="00043B6E" w:rsidRPr="00E82E74">
        <w:t>dekarbonizáció</w:t>
      </w:r>
      <w:proofErr w:type="spellEnd"/>
      <w:r w:rsidR="00043B6E" w:rsidRPr="00E82E74">
        <w:t xml:space="preserve">, a körforgásos gazdaság és a zöld átállás egyéb elemei terén folytatott együttműködéshez; mivel a Tajvannal a tiszta technológia és az ellátási láncok </w:t>
      </w:r>
      <w:proofErr w:type="spellStart"/>
      <w:r w:rsidR="00043B6E" w:rsidRPr="00E82E74">
        <w:t>rezilienciája</w:t>
      </w:r>
      <w:proofErr w:type="spellEnd"/>
      <w:r w:rsidR="00043B6E" w:rsidRPr="00E82E74">
        <w:t xml:space="preserve"> terén folytatott mélyebb strukturált együttműködés az EU-nak is érdeke;</w:t>
      </w:r>
    </w:p>
    <w:p w14:paraId="7F9155A4" w14:textId="6E3C2E70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B</w:t>
      </w:r>
      <w:r w:rsidRPr="00E82E74">
        <w:t>.</w:t>
      </w:r>
      <w:r w:rsidRPr="00E82E74">
        <w:tab/>
        <w:t>mivel a Tajvani-szoros és a Dél-kínai-tenger békéje és stabilitása stratégiai jelentőségű a regionális és globális biztonság szempontjából; mivel egyes uniós tagállamok tengeri jelenléttel rendelkeznek az indiai–csendes-óceáni térségben, és az EU egészének közvetlen érdeke a status quo fenntartása;</w:t>
      </w:r>
    </w:p>
    <w:p w14:paraId="058F7409" w14:textId="15CE75E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C</w:t>
      </w:r>
      <w:r w:rsidRPr="00E82E74">
        <w:t>.</w:t>
      </w:r>
      <w:r w:rsidRPr="00E82E74">
        <w:tab/>
        <w:t xml:space="preserve">mivel 2025 novemberében az EU és a Fülöp-szigetek biztonsági és védelmi párbeszédet hozott létre a biztonsági fenyegetések növekvő összetettségének kezelése, valamint többek között a tengeri védelemmel, a regionális stabilitással és a </w:t>
      </w:r>
      <w:proofErr w:type="spellStart"/>
      <w:r w:rsidRPr="00E82E74">
        <w:t>konnektivitással</w:t>
      </w:r>
      <w:proofErr w:type="spellEnd"/>
      <w:r w:rsidRPr="00E82E74">
        <w:t xml:space="preserve"> kapcsolatos cserék és együttműködés előmozdítása érdekében; mivel 2026 januárjában az EU és Vietnám átfogó stratégiai partnerséggé fejlesztette kapcsolatát annak érdekében, hogy számos területen elmélyítse az együttműködést, többek között a tengeri védelem, az ellátási láncok </w:t>
      </w:r>
      <w:proofErr w:type="spellStart"/>
      <w:r w:rsidRPr="00E82E74">
        <w:t>rezilienciája</w:t>
      </w:r>
      <w:proofErr w:type="spellEnd"/>
      <w:r w:rsidRPr="00E82E74">
        <w:t>, valamint az Európa és Délkelet-Ázsia közötti összeköttetések megerősítése terén;</w:t>
      </w:r>
    </w:p>
    <w:p w14:paraId="6B632FB2" w14:textId="2C8DD218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D</w:t>
      </w:r>
      <w:r w:rsidRPr="00E82E74">
        <w:t>.</w:t>
      </w:r>
      <w:r w:rsidRPr="00E82E74">
        <w:tab/>
        <w:t>mivel a KNDK-ban az emberi jogi helyzetet továbbra is szisztematikus, széles körű és súlyos jogsértések jellemzik, beleértve a véleménynyilvánítás szabadságának, a mozgásnak és az információkhoz való hozzáférésnek a korlátozását, a politikai börtöntáborok meglétét, a kényszermunka és a kínzás dokumentált eseteit, valamint a büntetőeljáráson belüli jogi minimumszabályok hiányát; mivel a nemzetközi intézmények következetesen beszámoltak ezekről a jogsértésekről, és ezek folyamatos figyelmet és fellépést igényelnek a nemzetközi közösség részéről;</w:t>
      </w:r>
    </w:p>
    <w:p w14:paraId="5729A2DE" w14:textId="57C1BEE1" w:rsidR="00043B6E" w:rsidRPr="00E82E74" w:rsidRDefault="00043B6E" w:rsidP="00914AD5">
      <w:pPr>
        <w:pStyle w:val="NormalHanging12a"/>
        <w:widowControl/>
      </w:pPr>
      <w:r w:rsidRPr="00E82E74">
        <w:lastRenderedPageBreak/>
        <w:t>A</w:t>
      </w:r>
      <w:r w:rsidR="00E82E74">
        <w:t>E</w:t>
      </w:r>
      <w:r w:rsidRPr="00E82E74">
        <w:t>.</w:t>
      </w:r>
      <w:r w:rsidRPr="00E82E74">
        <w:tab/>
        <w:t>mivel az EU jelenléte és együttműködése a kelet-ázsiai régióban rendkívül fontos a régió békéjének és stabilitásának előmozdítása, a gazdasági biztonság megőrzése és a szabályokon alapuló nemzetközi rend megerősítése szempontjából, mivel a régió biztonsági kihívásai közvetlen hatással vannak a globális békére és az EU érdekeire; mivel a kelet-ázsiai partnerek – köztük Japán, a Koreai Köztársaság, Tajvan és az ASEAN tagjai – összetett és sokrétű kapcsolatokat tartanak fenn Kínával, amelyeket jelentős kölcsönös gazdasági függőség jellemez;</w:t>
      </w:r>
    </w:p>
    <w:p w14:paraId="735A0B5E" w14:textId="3EC4A79D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F</w:t>
      </w:r>
      <w:r w:rsidRPr="00E82E74">
        <w:t>.</w:t>
      </w:r>
      <w:r w:rsidRPr="00E82E74">
        <w:tab/>
        <w:t>mivel a tagállamokhoz a Csendes-óceánon és az indiai–csendes-óceáni térségben csak tengerentúli országok és területek (TOT-ok) tartoznak; mivel az EU e régiókban való jelenléte, befolyása és együttműködése szempontjából egyedülálló stratégiai támogatási pontokat jelentenek, különösen a védelem, a kereskedelem, a digitális gazdaság, az űrkutatás és a kulturális együttműködés területén;</w:t>
      </w:r>
    </w:p>
    <w:p w14:paraId="6073047E" w14:textId="195EFEC4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G</w:t>
      </w:r>
      <w:r w:rsidRPr="00E82E74">
        <w:t>.</w:t>
      </w:r>
      <w:r w:rsidRPr="00E82E74">
        <w:tab/>
        <w:t xml:space="preserve">mivel Japánban, a Koreai Köztársaságban és Tajvanon az EU a közvetlen külföldi befektetések legnagyobb forrása; </w:t>
      </w:r>
    </w:p>
    <w:p w14:paraId="37802C9E" w14:textId="6C6058AD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A</w:t>
      </w:r>
      <w:r w:rsidR="00E82E74">
        <w:t>H</w:t>
      </w:r>
      <w:r w:rsidRPr="00E82E74">
        <w:t>.</w:t>
      </w:r>
      <w:r w:rsidRPr="00E82E74">
        <w:tab/>
        <w:t>mivel a csendes-óceáni partnerségről szóló átfogó és progresszív megállapodás (CPTPP) jelentős, szabályokon alapuló kereskedelmi keretté vált az indiai–csendes-óceáni térségben; mivel Japán tagja a CPTPP-</w:t>
      </w:r>
      <w:proofErr w:type="spellStart"/>
      <w:r w:rsidRPr="00E82E74">
        <w:t>nek</w:t>
      </w:r>
      <w:proofErr w:type="spellEnd"/>
      <w:r w:rsidRPr="00E82E74">
        <w:t>, a Koreai Köztársaság és Tajvan pedig tagság iránti kérelmet nyújtott be; mivel az EU 2025 novemberében kereskedelmi és beruházási párbeszédet indított a CPTPP-országokkal;</w:t>
      </w:r>
    </w:p>
    <w:p w14:paraId="4B3C70E1" w14:textId="77777777" w:rsidR="00043B6E" w:rsidRPr="00E82E74" w:rsidRDefault="00043B6E" w:rsidP="00914AD5">
      <w:pPr>
        <w:pStyle w:val="NormalHanging12a"/>
        <w:widowControl/>
      </w:pPr>
      <w:r w:rsidRPr="00E82E74">
        <w:t>1.</w:t>
      </w:r>
      <w:r w:rsidRPr="00E82E74">
        <w:tab/>
        <w:t>a következő ajánlásokat fogalmazza meg a Tanács, a Bizottság, illetve a Bizottság alelnöke / az Unió külügyi és biztonságpolitikai főképviselője felé:</w:t>
      </w:r>
    </w:p>
    <w:p w14:paraId="68C34C84" w14:textId="77777777" w:rsidR="00043B6E" w:rsidRPr="00E82E74" w:rsidRDefault="00043B6E" w:rsidP="00914AD5">
      <w:pPr>
        <w:pStyle w:val="NormalHangingLeft12a"/>
        <w:widowControl/>
        <w:rPr>
          <w:bCs/>
          <w:iCs/>
        </w:rPr>
      </w:pPr>
      <w:r w:rsidRPr="00E82E74">
        <w:t>a)</w:t>
      </w:r>
      <w:r w:rsidRPr="00E82E74">
        <w:tab/>
        <w:t xml:space="preserve">fokozzák az EU stratégiai fókuszát, jelenlétét és láthatóságát Kelet-Ázsiában, valamint a Kelet-Ázsiával folytatott párbeszédet és együttműködést, többek között diplomáciai szerepvállalás, biztonsági együttműködés, emberek közötti kapcsolatok és gazdasági partnerségek révén, azzal a céllal, hogy elkerüljék a blokkokon alapuló konfrontáció dinamikáját, és hozzájáruljanak a békéhez, a regionális stabilitáshoz, a biztonsághoz, a jóléthez és a fenntartható fejlődéshez, amelyet a demokrácia, a </w:t>
      </w:r>
      <w:proofErr w:type="spellStart"/>
      <w:r w:rsidRPr="00E82E74">
        <w:t>multilateralizmus</w:t>
      </w:r>
      <w:proofErr w:type="spellEnd"/>
      <w:r w:rsidRPr="00E82E74">
        <w:t>, a jogállamiság, az emberi jogok, a szabályokon alapuló kereskedelmi rendszer, a területi integritás és a nemzetközi jog előmozdítása támaszt alá; ezzel összefüggésben működjenek együtt Japánnal a szabad és nyitott indiai–csendes-óceáni térségre vonatkozó koncepciója tekintetében; a kelet-ázsiai béke, biztonság és stabilitás hatékonyabb, koherensebb és kontextusérzékenyebb megközelítésének biztosítása érdekében fokozzák az együttműködést, a koordinációt és a párbeszédet a hasonlóan gondolkodó kelet-ázsiai partnerekkel, teljes mértékben kihasználva regionális ismereteiket és tapasztalataikat;</w:t>
      </w:r>
    </w:p>
    <w:p w14:paraId="275B498F" w14:textId="77777777" w:rsidR="00043B6E" w:rsidRPr="00E82E74" w:rsidRDefault="00043B6E" w:rsidP="00914AD5">
      <w:pPr>
        <w:pStyle w:val="NormalHangingLeft12a"/>
        <w:widowControl/>
        <w:rPr>
          <w:bCs/>
          <w:iCs/>
        </w:rPr>
      </w:pPr>
      <w:r w:rsidRPr="00E82E74">
        <w:t>b)</w:t>
      </w:r>
      <w:r w:rsidRPr="00E82E74">
        <w:tab/>
        <w:t>erősítsék meg az EU és kelet-ázsiai partnerei közötti stratégiai előrejelzést és vészhelyzeti tervezést a regionális biztonsági kockázatok közös értékelésének kidolgozása és az elrettentési intézkedések koordinálása érdekében a régió békéjének és stabilitásának megőrzése és az ahhoz való hozzájárulás, valamint a regionális status quo erőszakkal vagy kényszerítéssel történő megváltoztatására irányuló egyoldalú kísérletek proaktív visszaszorítása érdekében;</w:t>
      </w:r>
    </w:p>
    <w:p w14:paraId="7421B21C" w14:textId="77777777" w:rsidR="00043B6E" w:rsidRPr="00E82E74" w:rsidRDefault="00043B6E" w:rsidP="00914AD5">
      <w:pPr>
        <w:pStyle w:val="NormalHangingLeft12a"/>
        <w:widowControl/>
        <w:rPr>
          <w:bCs/>
          <w:iCs/>
        </w:rPr>
      </w:pPr>
      <w:r w:rsidRPr="00E82E74">
        <w:t>c)</w:t>
      </w:r>
      <w:r w:rsidRPr="00E82E74">
        <w:tab/>
        <w:t xml:space="preserve">üdvözöljék a Japán és a Koreai Köztársaság kormánya által az </w:t>
      </w:r>
      <w:proofErr w:type="spellStart"/>
      <w:r w:rsidRPr="00E82E74">
        <w:t>előretekintő</w:t>
      </w:r>
      <w:proofErr w:type="spellEnd"/>
      <w:r w:rsidRPr="00E82E74">
        <w:t xml:space="preserve">, </w:t>
      </w:r>
      <w:proofErr w:type="spellStart"/>
      <w:r w:rsidRPr="00E82E74">
        <w:t>reziliens</w:t>
      </w:r>
      <w:proofErr w:type="spellEnd"/>
      <w:r w:rsidRPr="00E82E74">
        <w:t xml:space="preserve"> partnerség kialakítása terén elért jelentős diplomáciai előrelépést, mivel a </w:t>
      </w:r>
      <w:r w:rsidRPr="00E82E74">
        <w:lastRenderedPageBreak/>
        <w:t xml:space="preserve">Japán és a Koreai Köztársaság közötti ilyen megerősített együttműködés elengedhetetlen a szabályokon alapuló nemzetközi rend fenntartásához és az indiai–csendes-óceáni térség stabilitásának biztosításához; </w:t>
      </w:r>
    </w:p>
    <w:p w14:paraId="4BBAE118" w14:textId="77777777" w:rsidR="00043B6E" w:rsidRPr="00E82E74" w:rsidRDefault="00043B6E" w:rsidP="00914AD5">
      <w:pPr>
        <w:pStyle w:val="NormalHangingLeft12a"/>
        <w:widowControl/>
        <w:rPr>
          <w:bCs/>
          <w:iCs/>
        </w:rPr>
      </w:pPr>
      <w:r w:rsidRPr="00E82E74">
        <w:t>d)</w:t>
      </w:r>
      <w:r w:rsidRPr="00E82E74">
        <w:tab/>
        <w:t>erősítsék meg az EU stratégiai autonómiáját és gazdasági biztonságát a kereskedelem és a beruházások diverzifikálása, a biztonságos és kiszámítható ellátási láncok, a nyitott piacok és a kereskedelmi forgalom, valamint a hasonlóan gondolkodó kelet-ázsiai partnerekkel való szorosabb együttműködés révén, biztosítva ugyanakkor a kölcsönös előnyöket és a helyi értékteremtést, valamint fenntartva az EU tisztességes és fenntartható kereskedelem iránti elkötelezettségét;</w:t>
      </w:r>
    </w:p>
    <w:p w14:paraId="5B5A388C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e)</w:t>
      </w:r>
      <w:r w:rsidRPr="00E82E74">
        <w:tab/>
        <w:t xml:space="preserve">mélyítsék el az együttműködést a régió hasonlóan gondolkodó partnereivel, különösen Japánnal, a Koreai Köztársasággal és Tajvannal, valamint az ASEAN tagországaival az olyan területeken jelentkező közös kihívások kezelése érdekében, mint a gazdasági kényszerítés, az önkényes exportellenőrzési intézkedések, beleértve a kettős felhasználású termékekre vonatkozó, Japánt célzó exportkorlátozásokat, a nem piaci politikák és gyakorlatok, a demokratikus </w:t>
      </w:r>
      <w:proofErr w:type="spellStart"/>
      <w:r w:rsidRPr="00E82E74">
        <w:t>reziliencia</w:t>
      </w:r>
      <w:proofErr w:type="spellEnd"/>
      <w:r w:rsidRPr="00E82E74">
        <w:t xml:space="preserve">, az ökológiai átállás, a </w:t>
      </w:r>
      <w:proofErr w:type="spellStart"/>
      <w:r w:rsidRPr="00E82E74">
        <w:t>kiberbiztonság</w:t>
      </w:r>
      <w:proofErr w:type="spellEnd"/>
      <w:r w:rsidRPr="00E82E74">
        <w:t xml:space="preserve">, a hibrid fenyegetések, többek között a külföldi információmanipuláció és beavatkozás, a kritikus infrastruktúrák, többek között a tenger alatti kábelek és a kikötői és logisztikai csomópontok védelme, a tengeri és űrbiztonság, a </w:t>
      </w:r>
      <w:proofErr w:type="spellStart"/>
      <w:r w:rsidRPr="00E82E74">
        <w:t>nonproliferáció</w:t>
      </w:r>
      <w:proofErr w:type="spellEnd"/>
      <w:r w:rsidRPr="00E82E74">
        <w:t xml:space="preserve"> és a kialakulóban lévő védelmi technológiák, beleértve a fejlett dróntechnológiát is, ugyanakkor az ENSZ Alapokmányának teljes körű tiszteletben tartása mellett erősítsék meg a szinergiákat a kulcsfontosságú partnerekkel és a regionális szervezetekkel; vizsgáljanak meg és hajtsanak végre a felek stratégiai autonómiájának megerősítésére és a Kínától való függőségének csökkentésére irányuló közös kezdeményezéseket; hangsúlyozzák Japán, a Koreai Köztársaság és Tajvan szilárd intézményeinek és élénk demokráciájának fontosságát a tágabb regionális kontextusban, kulcsfontosságú ellensúlyt biztosítva a régióban; </w:t>
      </w:r>
    </w:p>
    <w:p w14:paraId="2F38431A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f)</w:t>
      </w:r>
      <w:r w:rsidRPr="00E82E74">
        <w:tab/>
        <w:t>a közös globális kihívások kezelése érdekében tartsák fenn a hasonlóan gondolkodó partnerekkel együttműködve a párbeszéd és az elvi alapokon nyugvó együttműködés nyílt csatornáit más kelet-ázsiai globális szereplőkkel;</w:t>
      </w:r>
    </w:p>
    <w:p w14:paraId="1C731A09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g)</w:t>
      </w:r>
      <w:r w:rsidRPr="00E82E74">
        <w:tab/>
        <w:t xml:space="preserve">erősítsék meg a nemzetközi jog tiszteletben tartásának fontosságát a szabad és nyitott indiai–csendes-óceáni térségben a béke és a jólét előmozdítása érdekében; aktívan mozdítsák elő az ENSZ Tengerjogi Egyezményének mint a tengeri tevékenységeket szabályozó egyetemes jogi keretnek a tiszteletben tartását és egyetemes alkalmazását, beleértve a Dél-kínai-tengerrel kapcsolatos 2016. évi választottbírósági határozatot is, és emeljenek kifogást a nemzetközi jognak meg nem felelő egyoldalú intézkedések vagy követelések ellen; </w:t>
      </w:r>
    </w:p>
    <w:p w14:paraId="06BA79BB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h)</w:t>
      </w:r>
      <w:r w:rsidRPr="00E82E74">
        <w:tab/>
        <w:t xml:space="preserve">segítsék elő a hasonlóan gondolkodó partnerekkel folytatott strukturált katonai-ipari együttműködést, és hozzanak létre olyan biztonsági partnerségeket, amelyek az </w:t>
      </w:r>
      <w:proofErr w:type="spellStart"/>
      <w:r w:rsidRPr="00E82E74">
        <w:t>interoperabilitásra</w:t>
      </w:r>
      <w:proofErr w:type="spellEnd"/>
      <w:r w:rsidRPr="00E82E74">
        <w:t>, a védelmi technológia közös fejlesztésére és beszerzésére, az ellátási láncok biztonságára, valamint a légi közlekedés és az MI-n alapuló védelmi rendszerek terén folytatott közös K+F-re összpontosítanak, figyelembe véve a mesterséges intelligencián alapuló rendszerek hozzájárulását is;</w:t>
      </w:r>
    </w:p>
    <w:p w14:paraId="3ADC9FB9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lastRenderedPageBreak/>
        <w:t>i)</w:t>
      </w:r>
      <w:r w:rsidRPr="00E82E74">
        <w:tab/>
        <w:t>továbbra is pragmatikusan működjenek együtt Kínával a globális kihívások terén, ugyanakkor fokozzák a hasonlóan gondolkodó partnerekkel a biztonsági kérdésekben folytatott koordinációt, tekintettel Kína globális békében és stabilitásban betöltött egyre kritikusabb szerepére, különösen Oroszország Ukrajna elleni agresszív háborújával és a Közel-Kelet folyamatos instabilitásával összefüggésben;</w:t>
      </w:r>
    </w:p>
    <w:p w14:paraId="3CE85D2A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j)</w:t>
      </w:r>
      <w:r w:rsidRPr="00E82E74">
        <w:tab/>
        <w:t xml:space="preserve">fokozzák az együttműködést a félvezetők, az akkumulátorok és a kritikus fontosságú nyersanyagok biztonságos, fenntartható és diverzifikált ellátási láncai terén, többek között a </w:t>
      </w:r>
      <w:proofErr w:type="spellStart"/>
      <w:r w:rsidRPr="00E82E74">
        <w:t>nyomonkövethetőség</w:t>
      </w:r>
      <w:proofErr w:type="spellEnd"/>
      <w:r w:rsidRPr="00E82E74">
        <w:t xml:space="preserve">, az újrafeldolgozás, a körforgásos jelleg, valamint a magas szintű környezetvédelmi és munkaügyi normák révén, továbbá a vonatkozó többoldalú kezdeményezések keretében a hasonlóan gondolkodó partnerekkel koordinálva; </w:t>
      </w:r>
    </w:p>
    <w:p w14:paraId="394AEFBF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k)</w:t>
      </w:r>
      <w:r w:rsidRPr="00E82E74">
        <w:tab/>
        <w:t xml:space="preserve">mozdítsák elő az EU–Japán stratégiai partnerségi megállapodást és a felek biztonsági és védelmi partnerségét; ösztönözzék a védelmi-ipari kérdésekben folytatott együttműködés elmélyítését, beleértve a védelmi kezdeményezésekben való kölcsönös részvételt, az információbiztonsági megállapodással kapcsolatos előrelépést, valamint az EU–Japán védelmi ipari párbeszéd továbbfejlesztését az ellátási lánc </w:t>
      </w:r>
      <w:proofErr w:type="spellStart"/>
      <w:r w:rsidRPr="00E82E74">
        <w:t>rezilienciájának</w:t>
      </w:r>
      <w:proofErr w:type="spellEnd"/>
      <w:r w:rsidRPr="00E82E74">
        <w:t xml:space="preserve">, </w:t>
      </w:r>
      <w:proofErr w:type="spellStart"/>
      <w:r w:rsidRPr="00E82E74">
        <w:t>interoperabilitásának</w:t>
      </w:r>
      <w:proofErr w:type="spellEnd"/>
      <w:r w:rsidRPr="00E82E74">
        <w:t xml:space="preserve"> és innovációjának megerősítése érdekében; fokozzák a versenyképességi szövetség, a zöld szövetség, a digitális partnerség és az energiaügyi párbeszédek keretében folytatott konkrét közös tevékenységeket, és folytassák az EU–Japán magas szintű gazdasági párbeszéd kiterjesztését, valamint erősítsék meg a két fél közötti stratégiai gazdasági együttműködést; gyorsítsák fel az EU–Japán versenyképességi szövetség végrehajtását;</w:t>
      </w:r>
    </w:p>
    <w:p w14:paraId="0ADC43EA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l)</w:t>
      </w:r>
      <w:r w:rsidRPr="00E82E74">
        <w:tab/>
        <w:t>hangsúlyozzák, hogy az EU-Japán partnerség egyike a messzemenően hasonlóan gondolkodó partnerek közötti partnerségeknek, és közös értékekre, a demokráciára, a szabad kereskedelemre és egymással kölcsönösen összeegyeztethető érdekekre épül; hangsúlyozzák e partnerség további elmélyítésének és kiszélesítésének fontosságát mind kétoldalú, mind többoldalú keretek között; mutassanak rá arra, hogy az EU és Japán együttesen a globális GDP közel 25%-</w:t>
      </w:r>
      <w:proofErr w:type="spellStart"/>
      <w:r w:rsidRPr="00E82E74">
        <w:t>ával</w:t>
      </w:r>
      <w:proofErr w:type="spellEnd"/>
      <w:r w:rsidRPr="00E82E74">
        <w:t xml:space="preserve"> rendelkezik, és a partnerség kulcsszerepet játszhat, és kell is hogy játsszon a békés, szabályokon alapuló, inkluzív, igazságos, fenntartható és virágzó nemzetközi rend kialakításában; üdvözölje Japán Ukrajnának nyújtott pénzügyi, technikai, humanitárius és biztonsági támogatását Oroszország 2022-es teljes körű inváziójának kezdete óta;</w:t>
      </w:r>
    </w:p>
    <w:p w14:paraId="3F260D19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m)</w:t>
      </w:r>
      <w:r w:rsidRPr="00E82E74">
        <w:tab/>
        <w:t xml:space="preserve">mozdítsák elő az EU és a Koreai Köztársaság közötti biztonsági és védelmi partnerség végrehajtását, előmozdítva a gyakorlati együttműködést a tengeri védelem, a </w:t>
      </w:r>
      <w:proofErr w:type="spellStart"/>
      <w:r w:rsidRPr="00E82E74">
        <w:t>nonproliferáció</w:t>
      </w:r>
      <w:proofErr w:type="spellEnd"/>
      <w:r w:rsidRPr="00E82E74">
        <w:t xml:space="preserve">, a </w:t>
      </w:r>
      <w:proofErr w:type="spellStart"/>
      <w:r w:rsidRPr="00E82E74">
        <w:t>kiberbiztonság</w:t>
      </w:r>
      <w:proofErr w:type="spellEnd"/>
      <w:r w:rsidRPr="00E82E74">
        <w:t xml:space="preserve">, a terrorizmus elleni küzdelem és a válságkezelés terén, a meglévő közös műveletekre építve, és feltárva a tengeri jelenlétek koordinálására szolgáló uniós eszköz keretében történő további szerepvállalás lehetőségeit; indítsanak közös párbeszédet az EU és a Koreai Köztársaság között a védelmi iparról, és erősítsék meg a koordinációt a többoldalú fórumokon a béke fenntartása, a provokációktól való elrettentés és a nukleáris leszerelés előmozdítása érdekében; továbbra is építsenek a Koreai Köztársaság és több uniós tagállam között a védelmi termékek terén folytatott sikeres és kölcsönösen előnyös együttműködésre; fokozzák az EU és a török kormány </w:t>
      </w:r>
      <w:r w:rsidRPr="00E82E74">
        <w:lastRenderedPageBreak/>
        <w:t>közötti együttműködést az Ukrajnának küldött katonai és pénzügyi támogatás megerősítése érdekében;</w:t>
      </w:r>
    </w:p>
    <w:p w14:paraId="31D14E8D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n)</w:t>
      </w:r>
      <w:r w:rsidRPr="00E82E74">
        <w:tab/>
        <w:t>üdvözöljék a Koreai Köztársaság együttműködését az EU-val a közös gazdasági biztonsági aggályok terén; hangsúlyozzák, hogy a Koreai Köztársaság továbbra is kulcsfontosságú partner a kockázatmentesítésre és a baráti országokba történő kiszervezésre irányuló erőfeszítésekben, különösen a kereskedelem területén; sürgessék az EU és a Koreai Köztársaság közötti szabadkereskedelmi megállapodás keretében újonnan létrehozott, új kereskedelmi és gazdasági kérdésekkel foglalkozó szakbizottságot, hogy gyorsítsa fel az együttműködést, különösen a gazdasági biztonság szempontjából releváns témákban, például a kritikus ellátási láncok és a kapacitásfelesleg terén;</w:t>
      </w:r>
    </w:p>
    <w:p w14:paraId="45BF423A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o)</w:t>
      </w:r>
      <w:r w:rsidRPr="00E82E74">
        <w:tab/>
        <w:t xml:space="preserve">mozdítsák elő a hasonlóan gondolkodó kelet-ázsiai partnerekkel annak érdekében tett közös erőfeszítéseket, hogy kezeljék Oroszország KNDK-val való növekvő szerepvállalását, beleértve a KNDK nukleáris és ballisztikus képességeinek megerősítéséhez nyújtott támogatását, valamint azt, hogy Kína nem hajlandó megakadályozni azt, továbbá kezeljék a KNDK és Irán nukleáris programjai közötti kapcsolatot, hangsúlyozva, hogy ez súlyosbítja a Koreai-félsziget feszült geopolitikai környezetét; mozdítsák elő az együttműködést a Koreai Köztársasággal a választási folyamatok során folytatott dezinformációs kampányok kezelése és a választási infrastruktúra </w:t>
      </w:r>
      <w:proofErr w:type="spellStart"/>
      <w:r w:rsidRPr="00E82E74">
        <w:t>kibertámadásokkal</w:t>
      </w:r>
      <w:proofErr w:type="spellEnd"/>
      <w:r w:rsidRPr="00E82E74">
        <w:t xml:space="preserve"> szembeni védelme terén;</w:t>
      </w:r>
    </w:p>
    <w:p w14:paraId="555C7E17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p)</w:t>
      </w:r>
      <w:r w:rsidRPr="00E82E74">
        <w:tab/>
        <w:t xml:space="preserve">ismerjék el a Koreai Köztársaság arra irányuló erőfeszítéseit, hogy proaktív </w:t>
      </w:r>
      <w:proofErr w:type="spellStart"/>
      <w:r w:rsidRPr="00E82E74">
        <w:t>dezeszkalációs</w:t>
      </w:r>
      <w:proofErr w:type="spellEnd"/>
      <w:r w:rsidRPr="00E82E74">
        <w:t xml:space="preserve"> és bizalomépítő intézkedések révén újrakezdje a párbeszédet a KNDK-val; szólítsák fel a KNDK-t, hogy haladéktalanul hagyjon fel minden katonai fellépéssel és provokációval, valamint nukleáris és ballisztikusrakéta-képességeinek fejlesztésével; határozottan ítéljék el és hatékonyan kezeljék a KNDK rossz szándékú </w:t>
      </w:r>
      <w:proofErr w:type="spellStart"/>
      <w:r w:rsidRPr="00E82E74">
        <w:t>kibertevékenységeit</w:t>
      </w:r>
      <w:proofErr w:type="spellEnd"/>
      <w:r w:rsidRPr="00E82E74">
        <w:t xml:space="preserve">, többek között a </w:t>
      </w:r>
      <w:proofErr w:type="spellStart"/>
      <w:r w:rsidRPr="00E82E74">
        <w:t>kriptovaluta</w:t>
      </w:r>
      <w:proofErr w:type="spellEnd"/>
      <w:r w:rsidRPr="00E82E74">
        <w:t xml:space="preserve">-lopást és a </w:t>
      </w:r>
      <w:proofErr w:type="spellStart"/>
      <w:r w:rsidRPr="00E82E74">
        <w:t>kiberbűnözés</w:t>
      </w:r>
      <w:proofErr w:type="spellEnd"/>
      <w:r w:rsidRPr="00E82E74">
        <w:t xml:space="preserve"> egyéb formáit; sürgessék a KNDK-t, hogy tegye lehetővé a humanitárius segélyszervezetek bejutását, tartsa tiszteletben az emberi jogokat, és különösen haladéktalanul oldja meg az emberrablások kérdését; sürgessék Oroszországot és a KNDK-t, hogy teljes mértékben tartsák be az ENSZ Alapokmányát és az ENSZ Biztonsági Tanácsának határozatait, többek között a KNDK teljes nukleáris leszerelése tekintetében; ítéljék el a KNDK hozzájárulását Oroszország Ukrajna elleni agressziójához, beleértve az abban való, katonai személyzet kiküldése és felszerelése révén történő szerepvállalását is; dolgozzanak ki Észak-Koreára vonatkozó uniós politikát, kellően figyelembe véve a régió hasonlóan gondolkodó partnereinek szakértelmét, biztonsági szükségleteit és jogos aggályait, különös tekintettel KNDK-hoz </w:t>
      </w:r>
      <w:proofErr w:type="spellStart"/>
      <w:r w:rsidRPr="00E82E74">
        <w:t>földrajzilag</w:t>
      </w:r>
      <w:proofErr w:type="spellEnd"/>
      <w:r w:rsidRPr="00E82E74">
        <w:t xml:space="preserve"> közeli partnerekre, nevezetesen a Koreai Köztársaságra és Japánra;</w:t>
      </w:r>
    </w:p>
    <w:p w14:paraId="585E1C15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q)</w:t>
      </w:r>
      <w:r w:rsidRPr="00E82E74">
        <w:tab/>
        <w:t xml:space="preserve">hozzanak létre strukturált és átfogó EU–Tajvan együttműködési keretet a meglévő mechanizmusokra, például a kereskedelmi és beruházási párbeszédre építve, erős gazdasági és kereskedelmi komponenssel, amely a kritikus technológiákra, például a félvezetőkre és a mesterséges intelligenciára, az ellátási lánc </w:t>
      </w:r>
      <w:proofErr w:type="spellStart"/>
      <w:r w:rsidRPr="00E82E74">
        <w:t>rezilienciájára</w:t>
      </w:r>
      <w:proofErr w:type="spellEnd"/>
      <w:r w:rsidRPr="00E82E74">
        <w:t xml:space="preserve">, a </w:t>
      </w:r>
      <w:proofErr w:type="spellStart"/>
      <w:r w:rsidRPr="00E82E74">
        <w:t>kiberbiztonságra</w:t>
      </w:r>
      <w:proofErr w:type="spellEnd"/>
      <w:r w:rsidRPr="00E82E74">
        <w:t xml:space="preserve">, a dezinformációval szembeni ellenintézkedésekre, a tengeri védelemre, a népegészségügyre, a polgári védelemre és a biztonságos </w:t>
      </w:r>
      <w:proofErr w:type="spellStart"/>
      <w:r w:rsidRPr="00E82E74">
        <w:t>konnektivitásra</w:t>
      </w:r>
      <w:proofErr w:type="spellEnd"/>
      <w:r w:rsidRPr="00E82E74">
        <w:t xml:space="preserve">, valamint a demokratikus, társadalmi és energetikai </w:t>
      </w:r>
      <w:proofErr w:type="spellStart"/>
      <w:r w:rsidRPr="00E82E74">
        <w:t>rezilienciára</w:t>
      </w:r>
      <w:proofErr w:type="spellEnd"/>
      <w:r w:rsidRPr="00E82E74">
        <w:t xml:space="preserve"> és a katasztrófavédelmi felkészültségre összpontosít; </w:t>
      </w:r>
      <w:r w:rsidRPr="00E82E74">
        <w:lastRenderedPageBreak/>
        <w:t>továbbra is támogassák Tajvan érdemi részvételét a releváns nemzetközi testületekben és technikai fórumokon, például az Egészségügyi Világszervezetben, a Nemzetközi Polgári Repülési Szervezetben és az ENSZ Éghajlatváltozási Keretegyezményében; fokozzák az EU és tajvani partnerei közötti rendszeres információcserét a releváns biztonsági kérdésekről, a gazdasági biztonságról, az ellátási lánc agilitásáról, a demokratikus és választási integritásról, a kritikus infrastruktúra védelméről és a tiszta technológiákkal kapcsolatos együttműködésről; sürgessék a kínai hatóságokat, hogy amennyiben jelentős globális egészségügyi kihívással szembesülnek, szorosan működjenek együtt más regionális szereplőkkel, köztük Tajvannal; hangsúlyozzák, hogy elfogadhatatlan az önkényuralmi rendszerek arra irányuló kísérlete, hogy befolyásolják az EU és Tajvan közötti kapcsolatokat;</w:t>
      </w:r>
    </w:p>
    <w:p w14:paraId="2D6848C4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r)</w:t>
      </w:r>
      <w:r w:rsidRPr="00E82E74">
        <w:tab/>
        <w:t xml:space="preserve">hangsúlyozzák, hogy Tajvan az EU kulcsfontosságú demokratikus partnere az indiai–csendes-óceáni térségben; mélyítsék tovább az EU és Tajvan közötti kereskedelmi és beruházási párbeszédet a piacra jutás akadályainak kezelése és az uniós befektetők jogbiztonságának növelése érdekében; vizsgálják meg az EU–Tajvan kétoldalú beruházási megállapodásról vagy más kereskedelemmel kapcsolatos keretekről szóló tárgyalások megkezdésének lehetőségét; ismerjék el Tajvannak a globális ellátási láncok biztosításában betöltött jelentős szerepét, különösen a csúcstechnológiai ágazatban, továbbá sürgessék az Uniót és az uniós tagállamokat, hogy folytassanak szorosabb együttműködést Tajvannal a gazdasági, kereskedelmi és beruházási kapcsolatok további fellendítése érdekében; ismerjék el Tajvannak a Kínával szembeni gazdasági kitettség kezelése terén szerzett tapasztalatait, valamint a demokratikus kormányzás, az átlátható szabályozási normák, valamint a </w:t>
      </w:r>
      <w:proofErr w:type="spellStart"/>
      <w:r w:rsidRPr="00E82E74">
        <w:t>reziliens</w:t>
      </w:r>
      <w:proofErr w:type="spellEnd"/>
      <w:r w:rsidRPr="00E82E74">
        <w:t xml:space="preserve"> digitális és technológiai ökoszisztémák terén meglévő erősségeit;</w:t>
      </w:r>
    </w:p>
    <w:p w14:paraId="14BC59B4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s)</w:t>
      </w:r>
      <w:r w:rsidRPr="00E82E74">
        <w:tab/>
        <w:t>erősítsék meg a Tajvani-szoros békéjének és stabilitásának fontosságát azáltal, hogy elutasítják a status quo egyoldalú, kényszerrel történő megváltoztatását; a tagállamokkal és a hasonlóan gondolkodó partnerekkel folytatott egyértelmű és összehangolt üzenetküldés révén biztosítsák, hogy az ilyen intézkedések jelentős politikai és gazdasági költségekkel járjanak; hangsúlyozzák, hogy minden nézeteltérést párbeszéd útján, békésen, a nemzetközi joggal összhangban és a tajvani nép akaratának tiszteletben tartása mellett kell rendezni; határozottan emlékeztessenek arra, hogy a hajózás és az átrepülés nemzetközi jog által garantált szabadságát tiszteletben kell tartani az indiai–csendes-óceáni térségben, többek között a Dél-kínai-tengeren és a Tajvani-szorosban; aktívan vegyenek részt a Tajvani-szorosban, valamint a Kelet- és Dél-kínai-tengeren a további eszkaláció megelőzésére irányuló diplomáciai erőfeszítésekben; sürgősen dolgozzanak ki valószínűsíthető eszkalációs forgatókönyveken – többek között Tajvan Kínai Népköztársaság általi haditengerészeti blokádján – alapuló vészhelyzeti tervet és enyhítő intézkedéseket;</w:t>
      </w:r>
    </w:p>
    <w:p w14:paraId="18CA0158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t)</w:t>
      </w:r>
      <w:r w:rsidRPr="00E82E74">
        <w:tab/>
        <w:t xml:space="preserve">emeljék ki az EU gazdasági biztonsági eszközeinek fontosságát a kényszerítő gazdasági gyakorlatok kezelése és a tisztességes verseny védelme szempontjából, beleértve a kényszerítő intézkedések elleni eszközt, a közvetlen külföldi befektetések hatékony átvilágítási mechanizmusait és az exportellenőrzési rendszereket, adott esetben és az uniós joggal összhangban; egyesítsék az EU </w:t>
      </w:r>
      <w:proofErr w:type="spellStart"/>
      <w:r w:rsidRPr="00E82E74">
        <w:t>geogazdasági</w:t>
      </w:r>
      <w:proofErr w:type="spellEnd"/>
      <w:r w:rsidRPr="00E82E74">
        <w:t xml:space="preserve"> befolyását, többek között összehangolt exportellenőrzések, közös kockázatértékelések és a gazdasági kényszerítésre adott kollektív válaszok révén, </w:t>
      </w:r>
      <w:r w:rsidRPr="00E82E74">
        <w:lastRenderedPageBreak/>
        <w:t xml:space="preserve">ezáltal a kétoldalú függőségeket hatékony elrettentéssé alakítva át, és megerősítve mind az EU, mind partnerei gazdasági biztonságát; </w:t>
      </w:r>
    </w:p>
    <w:p w14:paraId="18A2543A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u)</w:t>
      </w:r>
      <w:r w:rsidRPr="00E82E74">
        <w:tab/>
        <w:t xml:space="preserve">gyorsítsák fel az együttműködést a közös érdekű kérdésekről szóló háromoldalú vagy négyoldalú megállapodásokról és kezdeményezésekről folytatott tárgyalások révén, amelyek hozzájárulnak a többoldalú, szabályokon alapuló nemzetközi rend fenntartásához; mozdítsák elő a meglévő EU–Japán és EU–Koreai Köztársaság digitális partnerségeket a mesterséges intelligencia, a félvezetők, a következő generációs </w:t>
      </w:r>
      <w:proofErr w:type="spellStart"/>
      <w:r w:rsidRPr="00E82E74">
        <w:t>konnektivitás</w:t>
      </w:r>
      <w:proofErr w:type="spellEnd"/>
      <w:r w:rsidRPr="00E82E74">
        <w:t xml:space="preserve">, a kvantum-számítástechnika, az adatkormányzás, a </w:t>
      </w:r>
      <w:proofErr w:type="spellStart"/>
      <w:r w:rsidRPr="00E82E74">
        <w:t>kiberbiztonság</w:t>
      </w:r>
      <w:proofErr w:type="spellEnd"/>
      <w:r w:rsidRPr="00E82E74">
        <w:t xml:space="preserve">, az akkumulátortechnológiák, a tenger alatti kábelek, a digitális személyazonosság és az ellátási lánc </w:t>
      </w:r>
      <w:proofErr w:type="spellStart"/>
      <w:r w:rsidRPr="00E82E74">
        <w:t>rezilienciája</w:t>
      </w:r>
      <w:proofErr w:type="spellEnd"/>
      <w:r w:rsidRPr="00E82E74">
        <w:t xml:space="preserve"> terén tett közös kötelezettségvállalásokkal; erősítsék meg a védelmi technológia fejlesztésére irányuló együttműködési kereteket;</w:t>
      </w:r>
    </w:p>
    <w:p w14:paraId="268604F2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v)</w:t>
      </w:r>
      <w:r w:rsidRPr="00E82E74">
        <w:tab/>
        <w:t>hajtsák végre teljes körűen a Japánnal és a Koreai Köztársasággal kötött kereskedelmi megállapodásokat, többek között a piacra jutás, a nem vámjellegű akadályok, a fenntartható fejlődés és a szabályozási együttműködés területén, valamint a Koreai Köztársaság tekintetében biztosítsák az alapvető ILO-egyezmények végrehajtását; mozdítsák elő az EU-ban és a kelet-ázsiai partnerországokban működő kis- és középvállalkozások (kkv-k) közötti szorosabb együttműködést a kölcsönös üzleti lehetőségek előmozdítása, a piacra jutás javítása és az innovációs hálózatok megerősítése érdekében;</w:t>
      </w:r>
    </w:p>
    <w:p w14:paraId="7E788383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w)</w:t>
      </w:r>
      <w:r w:rsidRPr="00E82E74">
        <w:tab/>
        <w:t>biztosítsák, hogy a régió hasonlóan gondolkodó partnereivel kötendő jövőbeli gazdasági vagy ágazatspecifikus megállapodások olyan kölcsönösen előnyös partnerségek legyenek, amelyek túlmutatnak a gazdasági és biztonsági célkitűzéseken, és határozott kötelezettségvállalásokat tartalmaznak a munkavállalói jogok, a környezetvédelem, valamint a tiszta és fenntartható értékláncok fejlesztése tekintetében is, összhangban az EU kereskedelmi és fenntartható fejlődési keretével; mozdítsanak elő egy átfogó tájékoztató kampányt Kelet-Ázsiában az Európai Unió acélágazattal kapcsolatos politikáiról és az ipar felgyorsításáról szóló javasolt jogszabályról</w:t>
      </w:r>
      <w:r w:rsidRPr="00E82E74">
        <w:rPr>
          <w:rStyle w:val="FootnoteReference"/>
          <w:bCs/>
          <w:iCs/>
        </w:rPr>
        <w:footnoteReference w:id="11"/>
      </w:r>
      <w:r w:rsidRPr="00E82E74">
        <w:t xml:space="preserve"> annak érdekében, hogy a nemzetközi partnerek körében javuljon az átláthatóság és az EU céljainak megértése; hangsúlyozzák a kelet-ázsiai partnerekkel való proaktív együttműködés fontosságát aggályaik kezelése, a párbeszéd előmozdítása, valamint a kereskedelmi és munkaügyi kapcsolatokban felmerülő esetleges félreértések megelőzése érdekében;</w:t>
      </w:r>
    </w:p>
    <w:p w14:paraId="705A435B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x)</w:t>
      </w:r>
      <w:r w:rsidRPr="00E82E74">
        <w:tab/>
        <w:t xml:space="preserve">kövessék nyomon a szankciók Oroszország általi, kelet-ázsiai joghatóságokon keresztül történő, bejelentett kijátszását, beleértve a kereskedelmi útvonalak átszervezését a szankcionált kettős felhasználású termékek, mikrocsipek és ipari gépek </w:t>
      </w:r>
      <w:proofErr w:type="spellStart"/>
      <w:r w:rsidRPr="00E82E74">
        <w:t>régióbeli</w:t>
      </w:r>
      <w:proofErr w:type="spellEnd"/>
      <w:r w:rsidRPr="00E82E74">
        <w:t xml:space="preserve"> közvetítőkön keresztül történő beszerzése érdekében;</w:t>
      </w:r>
    </w:p>
    <w:p w14:paraId="51D6E32F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y)</w:t>
      </w:r>
      <w:r w:rsidRPr="00E82E74">
        <w:tab/>
        <w:t xml:space="preserve">fokozzák az EU politikai, gazdasági és biztonsági szerepvállalását az indiai–csendes-óceáni térség egészében az összes hasonlóan gondolkodó szereplővel való megerősített partnerségek és olyan kezdeményezések révén, mint a Global </w:t>
      </w:r>
      <w:proofErr w:type="spellStart"/>
      <w:r w:rsidRPr="00E82E74">
        <w:t>Gateway</w:t>
      </w:r>
      <w:proofErr w:type="spellEnd"/>
      <w:r w:rsidRPr="00E82E74">
        <w:t xml:space="preserve"> stratégia, előmozdítva az emberi jogi párbeszédeket, a fenntartható fejlődést és </w:t>
      </w:r>
      <w:proofErr w:type="spellStart"/>
      <w:r w:rsidRPr="00E82E74">
        <w:t>konnektivitást</w:t>
      </w:r>
      <w:proofErr w:type="spellEnd"/>
      <w:r w:rsidRPr="00E82E74">
        <w:t xml:space="preserve">, az egyenlőséget és a magas szintű munkaügyi normákat; ismerjék el a stratégiai érdekek növekvő konvergenciáját az euroatlanti </w:t>
      </w:r>
      <w:r w:rsidRPr="00E82E74">
        <w:lastRenderedPageBreak/>
        <w:t>és az indiai–csendes-óceáni régiók között, mivel Japán és a Koreai Köztársaság az IP4 keretében a NATO partnerei, amit Japán NATO-missziójának közelmúltbeli létrehozása is szemléltet; erősítsék meg, hogy ez az együttműködés mindkét régióban javítja a biztonsági fejleményekkel kapcsolatos kölcsönös helyzetismeretet; támogassák a NATO IP4 keretét, amely alapvető hozzájárulás az európai biztonság megerősítéséhez, valamint kiegészítő és egymást kölcsönösen erősítő jelleggel mélyítsék el a régiók közötti együttműködést; erősítsék meg az EU szerepvállalását és koordinációját a kulcsfontosságú regionális biztonsági kezdeményezésekkel az indiai–csendes-óceáni térségben, beleértve az Egyesült Államok, Ausztrália, India és Japán közötti négyoldalú biztonsági párbeszédet is; dolgozzanak ki átfogó, koherens és rugalmas új indiai–csendes-óceáni stratégiát, amely szilárdan az európai értékeken és érdekeken, valamint a régió realitásain, szükségletein és prioritásain alapul;</w:t>
      </w:r>
    </w:p>
    <w:p w14:paraId="3BD655EB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z)</w:t>
      </w:r>
      <w:r w:rsidRPr="00E82E74">
        <w:tab/>
        <w:t xml:space="preserve">építsenek a TOT-ok indiai–csendes-óceáni térségen belüli </w:t>
      </w:r>
      <w:proofErr w:type="spellStart"/>
      <w:r w:rsidRPr="00E82E74">
        <w:t>geostratégiai</w:t>
      </w:r>
      <w:proofErr w:type="spellEnd"/>
      <w:r w:rsidRPr="00E82E74">
        <w:t xml:space="preserve"> </w:t>
      </w:r>
      <w:proofErr w:type="gramStart"/>
      <w:r w:rsidRPr="00E82E74">
        <w:t>pozíciójára</w:t>
      </w:r>
      <w:proofErr w:type="gramEnd"/>
      <w:r w:rsidRPr="00E82E74">
        <w:t xml:space="preserve"> mint a regionális partnerekkel való együttműködés fejlett platformjaira, többek között a kereskedelem, a digitális </w:t>
      </w:r>
      <w:proofErr w:type="spellStart"/>
      <w:r w:rsidRPr="00E82E74">
        <w:t>konnektivitás</w:t>
      </w:r>
      <w:proofErr w:type="spellEnd"/>
      <w:r w:rsidRPr="00E82E74">
        <w:t>, a kritikus infrastruktúra és az űrtevékenységek területén;</w:t>
      </w:r>
    </w:p>
    <w:p w14:paraId="28AAFC07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proofErr w:type="spellStart"/>
      <w:r w:rsidRPr="00E82E74">
        <w:t>aa</w:t>
      </w:r>
      <w:proofErr w:type="spellEnd"/>
      <w:r w:rsidRPr="00E82E74">
        <w:t>)</w:t>
      </w:r>
      <w:r w:rsidRPr="00E82E74">
        <w:tab/>
        <w:t>hangsúlyozzák az ASEAN ebből következő szerepét a stabilitás garantálásában, valamint a társadalmi és gazdasági integráció előmozdításában; üdvözöljék Japán és a Koreai Köztársaság ASEAN-</w:t>
      </w:r>
      <w:proofErr w:type="spellStart"/>
      <w:r w:rsidRPr="00E82E74">
        <w:t>nal</w:t>
      </w:r>
      <w:proofErr w:type="spellEnd"/>
      <w:r w:rsidRPr="00E82E74">
        <w:t xml:space="preserve"> való növekvő együttműködését, amely többek között rendszeres két- és többoldalú csúcstalálkozók révén valósul meg; hangsúlyozzák, hogy az ASEAN döntő fontosságát a békés és virágzó indiai–csendes-óceáni térség biztosítása szempontjából; fokozzák az ASEAN-</w:t>
      </w:r>
      <w:proofErr w:type="spellStart"/>
      <w:r w:rsidRPr="00E82E74">
        <w:t>nal</w:t>
      </w:r>
      <w:proofErr w:type="spellEnd"/>
      <w:r w:rsidRPr="00E82E74">
        <w:t xml:space="preserve"> való strukturált együttműködést az inkluzív regionális biztonsági architektúrák kiépítése, a többoldalú szakpolitikai válaszok koordinálása, valamint az EU régióban való jelenlétének további megszilárdítása érdekében, az ASEAN-</w:t>
      </w:r>
      <w:proofErr w:type="spellStart"/>
      <w:r w:rsidRPr="00E82E74">
        <w:t>nal</w:t>
      </w:r>
      <w:proofErr w:type="spellEnd"/>
      <w:r w:rsidRPr="00E82E74">
        <w:t xml:space="preserve"> és tagállamaival folytatott együttműködés elmélyítésével, többek között a Vietnámmal és a Fülöp-szigetekkel folytatott megerősített biztonsági és védelmi párbeszédeken keresztül; ösztönözzék az Unió szerepének és láthatóságának megerősítését a regionális formációkban, különösen az ASEAN-</w:t>
      </w:r>
      <w:proofErr w:type="spellStart"/>
      <w:r w:rsidRPr="00E82E74">
        <w:t>nal</w:t>
      </w:r>
      <w:proofErr w:type="spellEnd"/>
      <w:r w:rsidRPr="00E82E74">
        <w:t xml:space="preserve"> való együttműködési keretekben, ugyanakkor a kiterjesztett együttműködés kiemelt területeiként határozzák meg a tengerészeti biztonságot és a tengeri védelmet, a </w:t>
      </w:r>
      <w:proofErr w:type="spellStart"/>
      <w:r w:rsidRPr="00E82E74">
        <w:t>kiberbiztonságot</w:t>
      </w:r>
      <w:proofErr w:type="spellEnd"/>
      <w:r w:rsidRPr="00E82E74">
        <w:t xml:space="preserve"> és a válságkezelést építve olyan kezdeményezésekre, mint az ESIWA+, a CRIMARIO II és a globális kikötőbiztonsági projektek;</w:t>
      </w:r>
    </w:p>
    <w:p w14:paraId="42936259" w14:textId="77777777" w:rsidR="00043B6E" w:rsidRPr="00E82E74" w:rsidRDefault="00043B6E" w:rsidP="00914AD5">
      <w:pPr>
        <w:pStyle w:val="NormalHanging12a"/>
        <w:widowControl/>
        <w:ind w:left="1134"/>
      </w:pPr>
      <w:r w:rsidRPr="00E82E74">
        <w:t>ab)</w:t>
      </w:r>
      <w:r w:rsidRPr="00E82E74">
        <w:tab/>
        <w:t xml:space="preserve">terjesszék ki a nem hagyományos biztonsággal – például a kutatással és mentéssel, a katasztrófareagálással és a környezeti eseményekkel – kapcsolatos együttes fellépést; indítsanak strukturált kezdeményezést a kritikus tengeri infrastruktúra – többek között a tenger alatti kábelek, csővezetékek és kikötők – védelmének és </w:t>
      </w:r>
      <w:proofErr w:type="spellStart"/>
      <w:r w:rsidRPr="00E82E74">
        <w:t>rezilienciájának</w:t>
      </w:r>
      <w:proofErr w:type="spellEnd"/>
      <w:r w:rsidRPr="00E82E74">
        <w:t xml:space="preserve"> megerősítése érdekében; célzott kapacitásépítés, képzés, érzékelők és adatmegosztás révén, az ASEAN parti őrségeivel és a regionális fúziós központokkal együttműködésben javítsák a tengeri helyzetismeretet;</w:t>
      </w:r>
    </w:p>
    <w:p w14:paraId="2B30C6F3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proofErr w:type="spellStart"/>
      <w:r w:rsidRPr="00E82E74">
        <w:t>ac</w:t>
      </w:r>
      <w:proofErr w:type="spellEnd"/>
      <w:r w:rsidRPr="00E82E74">
        <w:t>)</w:t>
      </w:r>
      <w:r w:rsidRPr="00E82E74">
        <w:tab/>
        <w:t xml:space="preserve">támogassák az emberek közötti kapcsolatok megerősítését a kutatók, mérnökök és </w:t>
      </w:r>
      <w:proofErr w:type="spellStart"/>
      <w:r w:rsidRPr="00E82E74">
        <w:t>kiberbiztonsági</w:t>
      </w:r>
      <w:proofErr w:type="spellEnd"/>
      <w:r w:rsidRPr="00E82E74">
        <w:t xml:space="preserve"> szakemberek célzott mobilitási programjai, valamint az európai és kelet-ázsiai innovációs központok közötti strukturált ikerintézményi együttműködési kezdeményezések révén; javítsák a közös értékek kölcsönös megismerését a két régió diákjainak körében az oktatási programok – például az </w:t>
      </w:r>
      <w:r w:rsidRPr="00E82E74">
        <w:lastRenderedPageBreak/>
        <w:t xml:space="preserve">Erasmus+ – elmélyítése, kiterjesztése és megerősítése révén, a régió hasonlóan gondolkodó partnereivel; erősítsék meg a parlamentek, köztisztviselők, helyi hatóságok és a civil társadalom közötti kapcsolatokat; fokozzák a nyelvtanulás, a kulturális csereprogramok és a fiatalok által irányított kezdeményezések támogatását a két régió közötti hosszú távú társadalmi </w:t>
      </w:r>
      <w:proofErr w:type="spellStart"/>
      <w:r w:rsidRPr="00E82E74">
        <w:t>reziliencia</w:t>
      </w:r>
      <w:proofErr w:type="spellEnd"/>
      <w:r w:rsidRPr="00E82E74">
        <w:t xml:space="preserve"> és bizalom kiépítése érdekében;</w:t>
      </w:r>
    </w:p>
    <w:p w14:paraId="094D3139" w14:textId="77777777" w:rsidR="00043B6E" w:rsidRPr="00E82E74" w:rsidRDefault="00043B6E" w:rsidP="00914AD5">
      <w:pPr>
        <w:pStyle w:val="NormalHanging12a"/>
        <w:widowControl/>
        <w:ind w:left="1134"/>
        <w:rPr>
          <w:bCs/>
          <w:iCs/>
        </w:rPr>
      </w:pPr>
      <w:r w:rsidRPr="00E82E74">
        <w:t>ad)</w:t>
      </w:r>
      <w:r w:rsidRPr="00E82E74">
        <w:tab/>
        <w:t>terjesszék ki a Horizont Európa keretében folytatott együttműködést a kölcsönösen előnyös tudományos és technológiai együttműködés fokozása érdekében, megelégedéssel nyugtázva, hogy 2025 júliusában a Koreai Köztársaság lett az első ázsiai ország, amely csatlakozott a Horizont Európa II. pilléréhez, és hogy az EU 2025 decemberében sikeresen lezárta a Japánnal a Horizont Európához való társulásáról folytatott tárgyalásokat; mérlegeljék a tárgyalások megkezdését Tajvannal a Horizont Európa keretében; támogassák az EU láthatóságát a régióban érdemi kulturális és nyilvános diplomáciai erőfeszítések révén;</w:t>
      </w:r>
    </w:p>
    <w:p w14:paraId="7165FC1F" w14:textId="77777777" w:rsidR="00043B6E" w:rsidRPr="00E82E74" w:rsidRDefault="00043B6E" w:rsidP="00914AD5">
      <w:pPr>
        <w:pStyle w:val="NormalHanging12a"/>
        <w:widowControl/>
        <w:rPr>
          <w:bCs/>
          <w:iCs/>
        </w:rPr>
      </w:pPr>
      <w:r w:rsidRPr="00E82E74">
        <w:t>2.</w:t>
      </w:r>
      <w:r w:rsidRPr="00E82E74">
        <w:tab/>
        <w:t>várakozással tekint a Japán országgyűléssel, a Koreai Köztársaság nemzetgyűlésével és a tajvani törvényhozó kamarával (Jüan) közös érdekű kérdésekről folytatott parlamenti diplomácia és parlamentközi eszmecsere elmélyítése elé; határozottan úgy véli, hogy a Japánnal és a Koreai Köztársasággal az elmúlt években kialakított stratégiai partnerségek megerősítésének a parlamentközi szintű kapcsolatok megerősítésében is tükröződnie kell; úgy véli, hogy a két országgal folytatott együttműködés átfogó menetrendje szempontjából előnyös lenne a parlamenti képviselők közötti rendszeres és strukturált eszmecsere; úgy véli továbbá, hogy meg kell vizsgálni egy EU–Japán parlamenti vegyes bizottság és egy EU–Korea parlamenti vegyes bizottság létrehozásának lehetőségét;</w:t>
      </w:r>
    </w:p>
    <w:p w14:paraId="708615BD" w14:textId="2F07DDE9" w:rsidR="002E54A8" w:rsidRPr="002E54A8" w:rsidRDefault="00043B6E" w:rsidP="00914AD5">
      <w:pPr>
        <w:pStyle w:val="NormalHanging12a"/>
        <w:widowControl/>
      </w:pPr>
      <w:r w:rsidRPr="00E82E74">
        <w:t>3.</w:t>
      </w:r>
      <w:r w:rsidRPr="00E82E74">
        <w:tab/>
        <w:t>utasítja elnökét, hogy továbbítsa ezt az ajánlást a Tanácsnak, a Bizottságnak, a Bizottság alelnökének/az Unió külügyi és biztonságpolitikai főképviselőjének, a tagállamok kormányainak és parlamentjeinek, Japán, a Koreai Köztársaság és Tajvan kormányainak és parlamentjeinek, valamint a Délkelet-ázsiai Nemzetek Szövetsége titkárságának és tagállamainak.</w:t>
      </w:r>
    </w:p>
    <w:sectPr w:rsidR="002E54A8" w:rsidRPr="002E54A8" w:rsidSect="002E54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8222" w14:textId="77777777" w:rsidR="00903E45" w:rsidRPr="002E54A8" w:rsidRDefault="00903E45">
      <w:r w:rsidRPr="002E54A8">
        <w:separator/>
      </w:r>
    </w:p>
  </w:endnote>
  <w:endnote w:type="continuationSeparator" w:id="0">
    <w:p w14:paraId="4AF765AD" w14:textId="77777777" w:rsidR="00903E45" w:rsidRPr="002E54A8" w:rsidRDefault="00903E45">
      <w:r w:rsidRPr="002E54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A92" w14:textId="77777777" w:rsidR="00064002" w:rsidRPr="002E54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1E39" w14:textId="77777777" w:rsidR="00064002" w:rsidRPr="002E54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F8DF5" w14:textId="77777777" w:rsidR="00064002" w:rsidRPr="002E54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66975" w14:textId="77777777" w:rsidR="00903E45" w:rsidRPr="002E54A8" w:rsidRDefault="00903E45">
      <w:r w:rsidRPr="002E54A8">
        <w:separator/>
      </w:r>
    </w:p>
  </w:footnote>
  <w:footnote w:type="continuationSeparator" w:id="0">
    <w:p w14:paraId="6D2FF0E9" w14:textId="77777777" w:rsidR="00903E45" w:rsidRPr="002E54A8" w:rsidRDefault="00903E45">
      <w:r w:rsidRPr="002E54A8">
        <w:continuationSeparator/>
      </w:r>
    </w:p>
  </w:footnote>
  <w:footnote w:id="1">
    <w:p w14:paraId="1ABD12B6" w14:textId="7FA23B3F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>HL L 216., 2018.8.24., 4. o., ELI: </w:t>
      </w:r>
      <w:r>
        <w:fldChar w:fldCharType="begin"/>
      </w:r>
      <w:r w:rsidRPr="00EB0833">
        <w:rPr>
          <w:lang w:val="de-DE"/>
        </w:rPr>
        <w:instrText>HYPERLINK "http://data.europa.eu/eli/agree_internation/2018/1197/oj" \o "Az ELI (európai jogszabály-azonosító) URI-hivatkozása révén biztosít hozzáférést a dokumentumhoz."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http://data.europa.eu/eli/agree_internation/2018/1197/oj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2">
    <w:p w14:paraId="628389A9" w14:textId="48489FF7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>HL L 20., 2013.1.23., 2. o.</w:t>
      </w:r>
    </w:p>
  </w:footnote>
  <w:footnote w:id="3">
    <w:p w14:paraId="6B45056A" w14:textId="60EC046D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 xml:space="preserve">HL L 330., 2018.12.27., 3. o., ELI: </w:t>
      </w:r>
      <w:r>
        <w:fldChar w:fldCharType="begin"/>
      </w:r>
      <w:r w:rsidRPr="00EB0833">
        <w:rPr>
          <w:lang w:val="fi-FI"/>
        </w:rPr>
        <w:instrText>HYPERLINK "http://data.europa.eu/eli/agree_internation/2018/1907/oj"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http://data.europa.eu/eli/agree_internation/2018/1907/oj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4">
    <w:p w14:paraId="51ED985C" w14:textId="220282AD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>HL L 127., 2011.5.14., 6. o., ELI: </w:t>
      </w:r>
      <w:r>
        <w:fldChar w:fldCharType="begin"/>
      </w:r>
      <w:r w:rsidRPr="00EB0833">
        <w:rPr>
          <w:lang w:val="de-DE"/>
        </w:rPr>
        <w:instrText>HYPERLINK "http://data.europa.eu/eli/agree_internation/2011/265/oj" \o "Az ELI (európai jogszabály-azonosító) URI-hivatkozása révén biztosít hozzáférést a dokumentumhoz."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http://data.europa.eu/eli/agree_internation/2011/265/oj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5">
    <w:p w14:paraId="22FAEE25" w14:textId="410705FD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>HL C 493., 2022.12.27., 32. o.</w:t>
      </w:r>
    </w:p>
  </w:footnote>
  <w:footnote w:id="6">
    <w:p w14:paraId="0F8ECA6D" w14:textId="7AD7DCEA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 xml:space="preserve">HL C, C/2024/4167, 2024.8.2., ELI: </w:t>
      </w:r>
      <w:r>
        <w:fldChar w:fldCharType="begin"/>
      </w:r>
      <w:r w:rsidRPr="00EB0833">
        <w:rPr>
          <w:lang w:val="fi-FI"/>
        </w:rPr>
        <w:instrText>HYPERLINK "http://data.europa.eu/eli/C/2024/4167/oj"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http://data.europa.eu/eli/C/2024/4167/oj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7">
    <w:p w14:paraId="73F867EC" w14:textId="11E1FEFD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>Elfogadott szövegek, P10_</w:t>
      </w:r>
      <w:proofErr w:type="gramStart"/>
      <w:r w:rsidRPr="002E54A8">
        <w:rPr>
          <w:sz w:val="24"/>
          <w:lang w:val="hu-HU"/>
        </w:rPr>
        <w:t>TA(</w:t>
      </w:r>
      <w:proofErr w:type="gramEnd"/>
      <w:r w:rsidRPr="002E54A8">
        <w:rPr>
          <w:sz w:val="24"/>
          <w:lang w:val="hu-HU"/>
        </w:rPr>
        <w:t>2026)0012.</w:t>
      </w:r>
    </w:p>
  </w:footnote>
  <w:footnote w:id="8">
    <w:p w14:paraId="1BB7CF02" w14:textId="6372CDC4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 xml:space="preserve">HL C, C/2025/1809, 2025.4.4., ELI: </w:t>
      </w:r>
      <w:r>
        <w:fldChar w:fldCharType="begin"/>
      </w:r>
      <w:r w:rsidRPr="00EB0833">
        <w:rPr>
          <w:lang w:val="hu-HU"/>
        </w:rPr>
        <w:instrText>HYPERLINK "http://data.europa.eu/eli/C/2025/1809/oj"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http://data.europa.eu/eli/C/2025/1809/oj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9">
    <w:p w14:paraId="758D4662" w14:textId="0A8A5CD0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 xml:space="preserve">HL C, C/2025/487., 2025.1.29., ELI: </w:t>
      </w:r>
      <w:r>
        <w:fldChar w:fldCharType="begin"/>
      </w:r>
      <w:r w:rsidRPr="00EB0833">
        <w:rPr>
          <w:lang w:val="fi-FI"/>
        </w:rPr>
        <w:instrText>HYPERLINK "http://data.europa.eu/eli/C/2025/487/oj"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http://data.europa.eu/eli/C/2025/487/oj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10">
    <w:p w14:paraId="47D20274" w14:textId="0FCB979B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r w:rsidRPr="002E54A8">
        <w:rPr>
          <w:sz w:val="24"/>
          <w:lang w:val="hu-HU"/>
        </w:rPr>
        <w:t xml:space="preserve">HL C, C/2024/4174, 2024.8.2., ELI: </w:t>
      </w:r>
      <w:r>
        <w:fldChar w:fldCharType="begin"/>
      </w:r>
      <w:r w:rsidRPr="00EB0833">
        <w:rPr>
          <w:lang w:val="fi-FI"/>
        </w:rPr>
        <w:instrText>HYPERLINK "http://data.europa.eu/eli/C/2024/4174/oj"</w:instrText>
      </w:r>
      <w:r>
        <w:fldChar w:fldCharType="separate"/>
      </w:r>
      <w:r w:rsidRPr="002E54A8">
        <w:rPr>
          <w:rStyle w:val="Hyperlink"/>
          <w:sz w:val="24"/>
          <w:lang w:val="hu-HU"/>
        </w:rPr>
        <w:t>http://data.europa.eu/eli/C/2024/4174/oj</w:t>
      </w:r>
      <w:r>
        <w:fldChar w:fldCharType="end"/>
      </w:r>
      <w:r w:rsidRPr="002E54A8">
        <w:rPr>
          <w:sz w:val="24"/>
          <w:lang w:val="hu-HU"/>
        </w:rPr>
        <w:t>.</w:t>
      </w:r>
    </w:p>
  </w:footnote>
  <w:footnote w:id="11">
    <w:p w14:paraId="5EB508DC" w14:textId="744B1C42" w:rsidR="00043B6E" w:rsidRPr="002E54A8" w:rsidRDefault="00043B6E" w:rsidP="002E54A8">
      <w:pPr>
        <w:pStyle w:val="FootnoteText"/>
        <w:ind w:left="567" w:hanging="567"/>
        <w:rPr>
          <w:sz w:val="24"/>
          <w:lang w:val="hu-HU"/>
        </w:rPr>
      </w:pPr>
      <w:r w:rsidRPr="002E54A8">
        <w:rPr>
          <w:rStyle w:val="FootnoteReference"/>
          <w:sz w:val="24"/>
          <w:lang w:val="hu-HU"/>
        </w:rPr>
        <w:footnoteRef/>
      </w:r>
      <w:r w:rsidR="002E54A8" w:rsidRPr="002E54A8">
        <w:rPr>
          <w:sz w:val="24"/>
          <w:lang w:val="hu-HU"/>
        </w:rPr>
        <w:t xml:space="preserve"> </w:t>
      </w:r>
      <w:r w:rsidR="002E54A8" w:rsidRPr="002E54A8">
        <w:rPr>
          <w:sz w:val="24"/>
          <w:lang w:val="hu-HU"/>
        </w:rPr>
        <w:tab/>
      </w:r>
      <w:proofErr w:type="gramStart"/>
      <w:r w:rsidRPr="002E54A8">
        <w:rPr>
          <w:sz w:val="24"/>
          <w:lang w:val="hu-HU"/>
        </w:rPr>
        <w:t>COM(</w:t>
      </w:r>
      <w:proofErr w:type="gramEnd"/>
      <w:r w:rsidRPr="002E54A8">
        <w:rPr>
          <w:sz w:val="24"/>
          <w:lang w:val="hu-HU"/>
        </w:rPr>
        <w:t>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5E12" w14:textId="77777777" w:rsidR="00064002" w:rsidRPr="002E54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6C6AA" w14:textId="77777777" w:rsidR="00064002" w:rsidRPr="002E54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716F" w14:textId="77777777" w:rsidR="00064002" w:rsidRPr="002E54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3793601">
    <w:abstractNumId w:val="9"/>
  </w:num>
  <w:num w:numId="2" w16cid:durableId="514809479">
    <w:abstractNumId w:val="9"/>
  </w:num>
  <w:num w:numId="3" w16cid:durableId="531304629">
    <w:abstractNumId w:val="7"/>
  </w:num>
  <w:num w:numId="4" w16cid:durableId="407727070">
    <w:abstractNumId w:val="7"/>
  </w:num>
  <w:num w:numId="5" w16cid:durableId="491724066">
    <w:abstractNumId w:val="6"/>
  </w:num>
  <w:num w:numId="6" w16cid:durableId="9841941">
    <w:abstractNumId w:val="6"/>
  </w:num>
  <w:num w:numId="7" w16cid:durableId="126436873">
    <w:abstractNumId w:val="5"/>
  </w:num>
  <w:num w:numId="8" w16cid:durableId="1791245651">
    <w:abstractNumId w:val="5"/>
  </w:num>
  <w:num w:numId="9" w16cid:durableId="279263002">
    <w:abstractNumId w:val="4"/>
  </w:num>
  <w:num w:numId="10" w16cid:durableId="1589341111">
    <w:abstractNumId w:val="4"/>
  </w:num>
  <w:num w:numId="11" w16cid:durableId="12732931">
    <w:abstractNumId w:val="8"/>
  </w:num>
  <w:num w:numId="12" w16cid:durableId="311834798">
    <w:abstractNumId w:val="8"/>
  </w:num>
  <w:num w:numId="13" w16cid:durableId="1481996277">
    <w:abstractNumId w:val="3"/>
  </w:num>
  <w:num w:numId="14" w16cid:durableId="1129663663">
    <w:abstractNumId w:val="3"/>
  </w:num>
  <w:num w:numId="15" w16cid:durableId="254942856">
    <w:abstractNumId w:val="2"/>
  </w:num>
  <w:num w:numId="16" w16cid:durableId="1997222499">
    <w:abstractNumId w:val="2"/>
  </w:num>
  <w:num w:numId="17" w16cid:durableId="1383094826">
    <w:abstractNumId w:val="1"/>
  </w:num>
  <w:num w:numId="18" w16cid:durableId="609508826">
    <w:abstractNumId w:val="1"/>
  </w:num>
  <w:num w:numId="19" w16cid:durableId="1811048969">
    <w:abstractNumId w:val="0"/>
  </w:num>
  <w:num w:numId="20" w16cid:durableId="1134566858">
    <w:abstractNumId w:val="0"/>
  </w:num>
  <w:num w:numId="21" w16cid:durableId="75324647">
    <w:abstractNumId w:val="9"/>
  </w:num>
  <w:num w:numId="22" w16cid:durableId="1509641152">
    <w:abstractNumId w:val="7"/>
  </w:num>
  <w:num w:numId="23" w16cid:durableId="610893540">
    <w:abstractNumId w:val="6"/>
  </w:num>
  <w:num w:numId="24" w16cid:durableId="934750713">
    <w:abstractNumId w:val="5"/>
  </w:num>
  <w:num w:numId="25" w16cid:durableId="1075278744">
    <w:abstractNumId w:val="4"/>
  </w:num>
  <w:num w:numId="26" w16cid:durableId="1708144082">
    <w:abstractNumId w:val="8"/>
  </w:num>
  <w:num w:numId="27" w16cid:durableId="1501693764">
    <w:abstractNumId w:val="3"/>
  </w:num>
  <w:num w:numId="28" w16cid:durableId="1301425497">
    <w:abstractNumId w:val="2"/>
  </w:num>
  <w:num w:numId="29" w16cid:durableId="201404494">
    <w:abstractNumId w:val="1"/>
  </w:num>
  <w:num w:numId="30" w16cid:durableId="697775810">
    <w:abstractNumId w:val="0"/>
  </w:num>
  <w:num w:numId="31" w16cid:durableId="1778020229">
    <w:abstractNumId w:val="9"/>
  </w:num>
  <w:num w:numId="32" w16cid:durableId="1123811565">
    <w:abstractNumId w:val="7"/>
  </w:num>
  <w:num w:numId="33" w16cid:durableId="481964445">
    <w:abstractNumId w:val="6"/>
  </w:num>
  <w:num w:numId="34" w16cid:durableId="1979070305">
    <w:abstractNumId w:val="5"/>
  </w:num>
  <w:num w:numId="35" w16cid:durableId="1488283862">
    <w:abstractNumId w:val="4"/>
  </w:num>
  <w:num w:numId="36" w16cid:durableId="438765572">
    <w:abstractNumId w:val="8"/>
  </w:num>
  <w:num w:numId="37" w16cid:durableId="991638990">
    <w:abstractNumId w:val="3"/>
  </w:num>
  <w:num w:numId="38" w16cid:durableId="1420560168">
    <w:abstractNumId w:val="2"/>
  </w:num>
  <w:num w:numId="39" w16cid:durableId="1386414541">
    <w:abstractNumId w:val="1"/>
  </w:num>
  <w:num w:numId="40" w16cid:durableId="2099671380">
    <w:abstractNumId w:val="0"/>
  </w:num>
  <w:num w:numId="41" w16cid:durableId="2014606395">
    <w:abstractNumId w:val="10"/>
  </w:num>
  <w:num w:numId="42" w16cid:durableId="357123279">
    <w:abstractNumId w:val="10"/>
  </w:num>
  <w:num w:numId="43" w16cid:durableId="1169710062">
    <w:abstractNumId w:val="10"/>
  </w:num>
  <w:num w:numId="44" w16cid:durableId="1854764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HU"/>
    <w:docVar w:name="dvnumam" w:val="39"/>
    <w:docVar w:name="dvpe" w:val="776.904"/>
    <w:docVar w:name="dvrapporteur" w:val="Előadó: "/>
    <w:docVar w:name="dvtitre" w:val="Az Európai Parlament 2026. július 7-i jogalkotási állásfoglalása az Európai Parlamentnek a Tanácshoz, a Bizottsághoz és a Bizottság alelnökéhez/az Unió kül- és biztonságpolitikai főképviselőjéhez intézett, a kelet-ázsiai geopolitikai helyzet változásáról és a régióban a hasonló gondolkodású partnerekkel való szorosabb együttműködés szükségességéről szóló ajánlásáról(2025/2169(INI))"/>
  </w:docVars>
  <w:rsids>
    <w:rsidRoot w:val="00903E45"/>
    <w:rsid w:val="00002272"/>
    <w:rsid w:val="00043B6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E8C"/>
    <w:rsid w:val="002E54A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8B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56C"/>
    <w:rsid w:val="006E35B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E45"/>
    <w:rsid w:val="00914AD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2E74"/>
    <w:rsid w:val="00EB006A"/>
    <w:rsid w:val="00EB0833"/>
    <w:rsid w:val="00EB4772"/>
    <w:rsid w:val="00ED169E"/>
    <w:rsid w:val="00ED4235"/>
    <w:rsid w:val="00F04346"/>
    <w:rsid w:val="00F075DC"/>
    <w:rsid w:val="00F149E9"/>
    <w:rsid w:val="00F22D4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07EBA"/>
  <w15:chartTrackingRefBased/>
  <w15:docId w15:val="{5734CA6A-40D3-4A4F-A711-D5DE863F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B6E"/>
    <w:pPr>
      <w:spacing w:before="480" w:after="240"/>
    </w:pPr>
  </w:style>
  <w:style w:type="paragraph" w:customStyle="1" w:styleId="NormalHanging12a">
    <w:name w:val="NormalHanging12a"/>
    <w:basedOn w:val="Normal"/>
    <w:rsid w:val="00043B6E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043B6E"/>
    <w:pPr>
      <w:spacing w:after="240"/>
      <w:ind w:left="1134" w:hanging="567"/>
    </w:pPr>
  </w:style>
  <w:style w:type="character" w:styleId="Hyperlink">
    <w:name w:val="Hyperlink"/>
    <w:basedOn w:val="DefaultParagraphFont"/>
    <w:rsid w:val="00043B6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4AD5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5910</Words>
  <Characters>42933</Characters>
  <Application>Microsoft Office Word</Application>
  <DocSecurity>0</DocSecurity>
  <Lines>357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2026-07-07T12:20:00Z</dcterms:created>
  <dcterms:modified xsi:type="dcterms:W3CDTF">2026-07-07T12:20:00Z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