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6BB4" w14:paraId="477141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0057B8" w14:textId="015C7049" w:rsidR="00751A4A" w:rsidRPr="00766BB4" w:rsidRDefault="00017CCB" w:rsidP="0010095E">
            <w:pPr>
              <w:pStyle w:val="EPName"/>
            </w:pPr>
            <w:r w:rsidRPr="00766BB4">
              <w:t>Parlament Europejski</w:t>
            </w:r>
          </w:p>
          <w:p w14:paraId="2F31FBFF" w14:textId="77777777" w:rsidR="00751A4A" w:rsidRPr="00766B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6BB4">
              <w:t>2024</w:t>
            </w:r>
            <w:r w:rsidR="00817416" w:rsidRPr="00766BB4">
              <w:t>-202</w:t>
            </w:r>
            <w:r w:rsidRPr="00766BB4">
              <w:t>9</w:t>
            </w:r>
          </w:p>
        </w:tc>
        <w:tc>
          <w:tcPr>
            <w:tcW w:w="2268" w:type="dxa"/>
            <w:shd w:val="clear" w:color="auto" w:fill="auto"/>
          </w:tcPr>
          <w:p w14:paraId="2B9D2A6C" w14:textId="77777777" w:rsidR="00751A4A" w:rsidRPr="00766BB4" w:rsidRDefault="00187494" w:rsidP="0010095E">
            <w:pPr>
              <w:pStyle w:val="EPLogo"/>
            </w:pPr>
            <w:r w:rsidRPr="00766BB4">
              <w:rPr>
                <w:noProof/>
                <w:lang w:eastAsia="ja-JP"/>
              </w:rPr>
              <w:drawing>
                <wp:inline distT="0" distB="0" distL="0" distR="0" wp14:anchorId="47F05F28" wp14:editId="6B7F56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E43A63" w14:textId="77777777" w:rsidR="00D058B8" w:rsidRPr="00766BB4" w:rsidRDefault="00D058B8" w:rsidP="004C5D52">
      <w:pPr>
        <w:pStyle w:val="LineTop"/>
      </w:pPr>
    </w:p>
    <w:p w14:paraId="74A0C001" w14:textId="56224518" w:rsidR="00680577" w:rsidRPr="00766BB4" w:rsidRDefault="00017CCB" w:rsidP="00680577">
      <w:pPr>
        <w:pStyle w:val="EPBodyTA1"/>
      </w:pPr>
      <w:r w:rsidRPr="00766BB4">
        <w:t>TEKSTY PRZYJĘTE</w:t>
      </w:r>
    </w:p>
    <w:p w14:paraId="55F2D09C" w14:textId="77777777" w:rsidR="00D058B8" w:rsidRPr="00766BB4" w:rsidRDefault="00D058B8" w:rsidP="00D058B8">
      <w:pPr>
        <w:pStyle w:val="LineBottom"/>
      </w:pPr>
    </w:p>
    <w:p w14:paraId="61883A4D" w14:textId="51D54588" w:rsidR="00017CCB" w:rsidRPr="00766BB4" w:rsidRDefault="00017CCB" w:rsidP="00017CCB">
      <w:pPr>
        <w:pStyle w:val="ATHeading1"/>
      </w:pPr>
      <w:bookmarkStart w:id="0" w:name="TANumber"/>
      <w:r w:rsidRPr="00766BB4">
        <w:t>P10_TA(2026)0</w:t>
      </w:r>
      <w:bookmarkEnd w:id="0"/>
      <w:r w:rsidR="00455537">
        <w:t>246</w:t>
      </w:r>
    </w:p>
    <w:p w14:paraId="6D931BEF" w14:textId="77777777" w:rsidR="00017CCB" w:rsidRPr="00766BB4" w:rsidRDefault="00017CCB" w:rsidP="00017CCB">
      <w:pPr>
        <w:pStyle w:val="ATHeading2"/>
      </w:pPr>
      <w:bookmarkStart w:id="1" w:name="title"/>
      <w:r w:rsidRPr="00766BB4">
        <w:t>Zalecenie w sprawie zmieniającej się sytuacji geopolitycznej w Azji Wschodniej i potrzeby ściślejszej współpracy z partnerami o podobnych poglądach w regionie</w:t>
      </w:r>
      <w:bookmarkEnd w:id="1"/>
    </w:p>
    <w:p w14:paraId="0D05E3F1" w14:textId="77777777" w:rsidR="00017CCB" w:rsidRPr="00766BB4" w:rsidRDefault="00017CCB" w:rsidP="00017CCB">
      <w:pPr>
        <w:rPr>
          <w:i/>
          <w:vanish/>
        </w:rPr>
      </w:pPr>
      <w:r w:rsidRPr="00766BB4">
        <w:rPr>
          <w:i/>
        </w:rPr>
        <w:fldChar w:fldCharType="begin"/>
      </w:r>
      <w:r w:rsidRPr="00766BB4">
        <w:rPr>
          <w:i/>
        </w:rPr>
        <w:instrText xml:space="preserve"> TC"(</w:instrText>
      </w:r>
      <w:bookmarkStart w:id="2" w:name="DocNumber"/>
      <w:r w:rsidRPr="00766BB4">
        <w:rPr>
          <w:i/>
        </w:rPr>
        <w:instrText>A10-0189/2026</w:instrText>
      </w:r>
      <w:bookmarkEnd w:id="2"/>
      <w:r w:rsidRPr="00766BB4">
        <w:rPr>
          <w:i/>
        </w:rPr>
        <w:instrText xml:space="preserve"> - Sprawozdawca: Adam Bielan)"\l3 \n&gt; \* MERGEFORMAT </w:instrText>
      </w:r>
      <w:r w:rsidRPr="00766BB4">
        <w:rPr>
          <w:i/>
        </w:rPr>
        <w:fldChar w:fldCharType="end"/>
      </w:r>
    </w:p>
    <w:p w14:paraId="1C6BDC99" w14:textId="77777777" w:rsidR="00017CCB" w:rsidRPr="00766BB4" w:rsidRDefault="00017CCB" w:rsidP="00017CCB">
      <w:pPr>
        <w:rPr>
          <w:vanish/>
        </w:rPr>
      </w:pPr>
      <w:bookmarkStart w:id="3" w:name="Commission"/>
      <w:r w:rsidRPr="00766BB4">
        <w:rPr>
          <w:vanish/>
        </w:rPr>
        <w:t>Komisja Spraw Zagranicznych</w:t>
      </w:r>
      <w:bookmarkEnd w:id="3"/>
    </w:p>
    <w:p w14:paraId="75B96FC8" w14:textId="77777777" w:rsidR="00017CCB" w:rsidRPr="00766BB4" w:rsidRDefault="00017CCB" w:rsidP="00017CCB">
      <w:pPr>
        <w:rPr>
          <w:vanish/>
        </w:rPr>
      </w:pPr>
      <w:bookmarkStart w:id="4" w:name="PE"/>
      <w:r w:rsidRPr="00766BB4">
        <w:rPr>
          <w:vanish/>
        </w:rPr>
        <w:t>PE776.904</w:t>
      </w:r>
      <w:bookmarkEnd w:id="4"/>
    </w:p>
    <w:p w14:paraId="042CBF95" w14:textId="770E47AF" w:rsidR="00017CCB" w:rsidRPr="00766BB4" w:rsidRDefault="00017CCB" w:rsidP="00017CCB">
      <w:pPr>
        <w:pStyle w:val="ATHeading3"/>
      </w:pPr>
      <w:bookmarkStart w:id="5" w:name="Sujet"/>
      <w:r w:rsidRPr="00766BB4">
        <w:t xml:space="preserve">Zalecenie Parlamentu Europejskiego </w:t>
      </w:r>
      <w:r w:rsidR="001D72C1">
        <w:t>z dnia 7 lipca 2026 r.</w:t>
      </w:r>
      <w:r w:rsidR="001D72C1">
        <w:t xml:space="preserve"> </w:t>
      </w:r>
      <w:r w:rsidRPr="00766BB4">
        <w:t>dla Rady, Komisji i Wiceprzewodniczącego Komisji / Wysokiego Przedstawiciela Unii do Spraw Zagranicznych i Polityki Bezpieczeństwa w sprawie zmieniającej się sytuacji geopolitycznej w Azji Wschodniej i potrzeby ściślejszej współpracy z partnerami o zbieżnych poglądach w regionie</w:t>
      </w:r>
      <w:bookmarkEnd w:id="5"/>
      <w:r w:rsidRPr="00766BB4">
        <w:t xml:space="preserve"> </w:t>
      </w:r>
      <w:bookmarkStart w:id="6" w:name="References"/>
      <w:r w:rsidRPr="00766BB4">
        <w:t>(2025/2169(INI))</w:t>
      </w:r>
      <w:bookmarkEnd w:id="6"/>
    </w:p>
    <w:p w14:paraId="576F71C9" w14:textId="77777777" w:rsidR="00170E90" w:rsidRPr="00766BB4" w:rsidRDefault="00170E90" w:rsidP="00170E90">
      <w:pPr>
        <w:pStyle w:val="EPComma"/>
      </w:pPr>
      <w:r w:rsidRPr="00766BB4">
        <w:rPr>
          <w:i/>
        </w:rPr>
        <w:t>Parlament Europejski</w:t>
      </w:r>
      <w:r w:rsidRPr="00766BB4">
        <w:t>,</w:t>
      </w:r>
    </w:p>
    <w:p w14:paraId="696D1FDB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tytuł V Traktatu o Unii Europejskiej,</w:t>
      </w:r>
    </w:p>
    <w:p w14:paraId="1A6C0DB8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 xml:space="preserve">uwzględniając wspólny komunikat Komisji i Wysokiego Przedstawiciela Unii do Spraw Zagranicznych i Polityki Bezpieczeństwa z dnia 16 września 2021 r. pt. „Unijna strategia współpracy w regionie </w:t>
      </w:r>
      <w:proofErr w:type="spellStart"/>
      <w:r w:rsidRPr="00766BB4">
        <w:t>Indo</w:t>
      </w:r>
      <w:proofErr w:type="spellEnd"/>
      <w:r w:rsidRPr="00766BB4">
        <w:t>-Pacyfiku” (JOIN(2021)0024),</w:t>
      </w:r>
    </w:p>
    <w:p w14:paraId="3E571AAB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 xml:space="preserve">uwzględniając Strategiczny kompas na rzecz bezpieczeństwa i obrony zatwierdzony przez Radę 21 marca 2022 r., w którym podkreślono rolę partnerstw, w tym w regionie </w:t>
      </w:r>
      <w:proofErr w:type="spellStart"/>
      <w:r w:rsidRPr="00766BB4">
        <w:t>Indo</w:t>
      </w:r>
      <w:proofErr w:type="spellEnd"/>
      <w:r w:rsidRPr="00766BB4">
        <w:t>-Pacyfiku, dla bezpieczeństwa i odporności Unii,</w:t>
      </w:r>
    </w:p>
    <w:p w14:paraId="2EA6EF42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wspólny komunikat Komisji i Wysokiego Przedstawiciela Unii do Spraw Zagranicznych i Polityki Bezpieczeństwa z dnia 1 grudnia 2021 r. pt. „Strategia Global Gateway” (JOIN(2021)0030),</w:t>
      </w:r>
    </w:p>
    <w:p w14:paraId="55358859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 xml:space="preserve">uwzględniając wspólny komunikat Komisji i Wysokiego Przedstawiciela Unii do Spraw Zagranicznych i Polityki Bezpieczeństwa z dnia 20 czerwca 2023 r. w sprawie „Europejskiej strategii bezpieczeństwa gospodarczego” </w:t>
      </w:r>
    </w:p>
    <w:p w14:paraId="01BCA237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wspólny komunikat Komisji i Wysokiego przedstawiciela Unii do Spraw Zagranicznych i Polityki Bezpieczeństwa z dnia 12 listopada 2025 r. pt. „Europejska tarcza demokracji: wspieranie silnych i odpornych demokracji” (JOIN(2025)0791),</w:t>
      </w:r>
    </w:p>
    <w:p w14:paraId="3CA7D054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 xml:space="preserve">uwzględniając wspólny komunikat Komisji oraz Wysokiego Przedstawiciela Unii ds. Zagranicznych i Polityki Bezpieczeństwa z dnia 16 grudnia 2020 r. pt. „Strategia UE w </w:t>
      </w:r>
      <w:r w:rsidRPr="00766BB4">
        <w:lastRenderedPageBreak/>
        <w:t xml:space="preserve">zakresie </w:t>
      </w:r>
      <w:proofErr w:type="spellStart"/>
      <w:r w:rsidRPr="00766BB4">
        <w:t>cyberbezpieczeństwa</w:t>
      </w:r>
      <w:proofErr w:type="spellEnd"/>
      <w:r w:rsidRPr="00766BB4">
        <w:t xml:space="preserve"> na cyfrową dekadę” (JOIN(2020)0018),</w:t>
      </w:r>
    </w:p>
    <w:p w14:paraId="0CEFF0C6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partnerstwo w dziedzinie bezpieczeństwa i obrony między Unią Europejską a Japonią z dnia 1 listopada 2024 r.,</w:t>
      </w:r>
    </w:p>
    <w:p w14:paraId="6BF4A6A1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partnerstwo w dziedzinie bezpieczeństwa i obrony między Unią Europejską a Republiką Korei z dnia 4 listopada 2024 r.,</w:t>
      </w:r>
    </w:p>
    <w:p w14:paraId="23A9725D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Umowę o partnerstwie strategicznym między Unią Europejską i jej państwami członkowskimi, z jednej strony, a Japonią, z drugiej strony</w:t>
      </w:r>
      <w:r w:rsidRPr="00766BB4">
        <w:rPr>
          <w:rStyle w:val="FootnoteReference"/>
        </w:rPr>
        <w:footnoteReference w:id="1"/>
      </w:r>
      <w:r w:rsidRPr="00766BB4">
        <w:t>,</w:t>
      </w:r>
    </w:p>
    <w:p w14:paraId="369527A3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Umowę ramową między Unią Europejską i jej państwami członkowskimi, z jednej strony, a Republiką Korei, z drugiej strony</w:t>
      </w:r>
      <w:r w:rsidRPr="00766BB4">
        <w:rPr>
          <w:rStyle w:val="FootnoteReference"/>
        </w:rPr>
        <w:footnoteReference w:id="2"/>
      </w:r>
      <w:r w:rsidRPr="00766BB4">
        <w:t>,</w:t>
      </w:r>
    </w:p>
    <w:p w14:paraId="131E677E" w14:textId="77777777" w:rsidR="00170E90" w:rsidRPr="00766BB4" w:rsidRDefault="00170E90" w:rsidP="00170E90">
      <w:pPr>
        <w:pStyle w:val="NormalHanging12a"/>
        <w:rPr>
          <w:b/>
          <w:i/>
        </w:rPr>
      </w:pPr>
      <w:r w:rsidRPr="00766BB4">
        <w:t>–</w:t>
      </w:r>
      <w:r w:rsidRPr="00766BB4">
        <w:tab/>
        <w:t>uwzględniając umowę o partnerstwie gospodarczym między Unią Europejską a Japonią</w:t>
      </w:r>
      <w:r w:rsidRPr="00766BB4">
        <w:rPr>
          <w:rStyle w:val="FootnoteReference"/>
          <w:bCs/>
          <w:iCs/>
        </w:rPr>
        <w:footnoteReference w:id="3"/>
      </w:r>
      <w:r w:rsidRPr="00766BB4">
        <w:t>,</w:t>
      </w:r>
    </w:p>
    <w:p w14:paraId="107506FF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Umowę o wolnym handlu między Unią Europejską i jej państwami członkowskimi, z jednej strony, a Republiką Korei, z drugiej strony</w:t>
      </w:r>
      <w:r w:rsidRPr="00766BB4">
        <w:rPr>
          <w:rStyle w:val="FootnoteReference"/>
          <w:bCs/>
          <w:iCs/>
        </w:rPr>
        <w:footnoteReference w:id="4"/>
      </w:r>
      <w:r w:rsidRPr="00766BB4">
        <w:t>,</w:t>
      </w:r>
    </w:p>
    <w:p w14:paraId="749A1D48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Konwencję Narodów Zjednoczonych o prawie morza (UNCLOS),</w:t>
      </w:r>
    </w:p>
    <w:p w14:paraId="57623948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wspólne oświadczenie przyjęte na 30. szczycie UE–Japonia, który odbył się 23 lipca 2025 r. w Tokio,</w:t>
      </w:r>
    </w:p>
    <w:p w14:paraId="6E3C6F2C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42. międzyparlamentarne posiedzenie UE–Japonia, które odbyło się w dniach 28–29 maja 2025 r. w Tokio,</w:t>
      </w:r>
    </w:p>
    <w:p w14:paraId="1F81DA08" w14:textId="3119E149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 xml:space="preserve">uwzględniając </w:t>
      </w:r>
      <w:r w:rsidR="00455537">
        <w:t>3</w:t>
      </w:r>
      <w:r w:rsidRPr="00766BB4">
        <w:t xml:space="preserve">. dialog strategiczny między UE a Japonią, który odbył się </w:t>
      </w:r>
      <w:r w:rsidR="00455537">
        <w:t>26</w:t>
      </w:r>
      <w:r w:rsidRPr="00766BB4">
        <w:t xml:space="preserve"> </w:t>
      </w:r>
      <w:r w:rsidR="00455537">
        <w:t>marca</w:t>
      </w:r>
      <w:r w:rsidRPr="00766BB4">
        <w:t xml:space="preserve"> 202</w:t>
      </w:r>
      <w:r w:rsidR="00455537">
        <w:t>6</w:t>
      </w:r>
      <w:r w:rsidRPr="00766BB4">
        <w:t xml:space="preserve"> r. w </w:t>
      </w:r>
      <w:proofErr w:type="spellStart"/>
      <w:r w:rsidR="00455537" w:rsidRPr="004C25F5">
        <w:rPr>
          <w:bCs/>
          <w:iCs/>
        </w:rPr>
        <w:t>Vaux</w:t>
      </w:r>
      <w:proofErr w:type="spellEnd"/>
      <w:r w:rsidR="00455537" w:rsidRPr="004C25F5">
        <w:rPr>
          <w:bCs/>
          <w:iCs/>
        </w:rPr>
        <w:t>-de-</w:t>
      </w:r>
      <w:proofErr w:type="spellStart"/>
      <w:r w:rsidR="00455537" w:rsidRPr="004C25F5">
        <w:rPr>
          <w:bCs/>
          <w:iCs/>
        </w:rPr>
        <w:t>Cernay</w:t>
      </w:r>
      <w:proofErr w:type="spellEnd"/>
      <w:r w:rsidRPr="00766BB4">
        <w:t xml:space="preserve">, </w:t>
      </w:r>
    </w:p>
    <w:p w14:paraId="53961FE0" w14:textId="1473C3FF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 xml:space="preserve">uwzględniając </w:t>
      </w:r>
      <w:r w:rsidR="00455537">
        <w:t>9</w:t>
      </w:r>
      <w:r w:rsidRPr="00766BB4">
        <w:t xml:space="preserve">. dialog na temat polityki cyfrowej między UE a Japonią, który odbył się </w:t>
      </w:r>
      <w:r w:rsidR="00455537">
        <w:t>25</w:t>
      </w:r>
      <w:r w:rsidRPr="00766BB4">
        <w:t xml:space="preserve"> </w:t>
      </w:r>
      <w:r w:rsidR="00455537">
        <w:t>marca</w:t>
      </w:r>
      <w:r w:rsidRPr="00766BB4">
        <w:t xml:space="preserve"> 202</w:t>
      </w:r>
      <w:r w:rsidR="00455537">
        <w:t>6</w:t>
      </w:r>
      <w:r w:rsidRPr="00766BB4">
        <w:t xml:space="preserve"> r. w </w:t>
      </w:r>
      <w:r w:rsidR="00455537">
        <w:t>Tokio</w:t>
      </w:r>
      <w:r w:rsidRPr="00766BB4">
        <w:t>,</w:t>
      </w:r>
    </w:p>
    <w:p w14:paraId="4151AC57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list intencyjny z 13 marca 2025 r. podpisany przez UE i Japonię pt. „Zacieśnienie współpracy w dziedzinie nauki i technologii kwantowej” w celu pogłębienia wspólnych badań, wymiany informacji i rozwoju ekosystemu,</w:t>
      </w:r>
    </w:p>
    <w:p w14:paraId="754D68E2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zobowiązanie do zacieśnienia współpracy w zakresie surowców krytycznych podjęte przez UE, Japonię i Stany Zjednoczone na posiedzeniu ministerialnym w sprawie minerałów krytycznych 4 lutego 2026 r.,</w:t>
      </w:r>
    </w:p>
    <w:p w14:paraId="35BD99CB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zielony sojusz między UE a Japonią z 27 maja 2021 r.,</w:t>
      </w:r>
    </w:p>
    <w:p w14:paraId="45C1C59B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 xml:space="preserve">uwzględniając wspólne oświadczenie przyjęte na 11. szczycie UE – Republika Korei, </w:t>
      </w:r>
      <w:r w:rsidRPr="00766BB4">
        <w:lastRenderedPageBreak/>
        <w:t>który odbył się 10 czerwca 2026 r. w Brukseli,</w:t>
      </w:r>
    </w:p>
    <w:p w14:paraId="35C6A260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23. posiedzenie międzyparlamentarne UE – Republika Korei, które odbyło się 18 listopada 2025 r. w Brukseli,</w:t>
      </w:r>
    </w:p>
    <w:p w14:paraId="20501944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2. dialog strategiczny między UE a Republiką Korei, który odbył 22 stycznia 2026 r. w Brukseli,</w:t>
      </w:r>
    </w:p>
    <w:p w14:paraId="3BE5F7C1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zielone partnerstwo między UE a Republiką Korei z 22 maja 2023 r.,</w:t>
      </w:r>
    </w:p>
    <w:p w14:paraId="005E8DD8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 xml:space="preserve">uwzględniając 4. forum ministerialne UE – region </w:t>
      </w:r>
      <w:proofErr w:type="spellStart"/>
      <w:r w:rsidRPr="00766BB4">
        <w:t>Indo</w:t>
      </w:r>
      <w:proofErr w:type="spellEnd"/>
      <w:r w:rsidRPr="00766BB4">
        <w:noBreakHyphen/>
        <w:t>Pacyfiku, które odbyło się w dniach 20–21 listopada 2025 r. w Brukseli,</w:t>
      </w:r>
    </w:p>
    <w:p w14:paraId="46744C11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oświadczenie wydane po niedawnej wizycie delegacji Komisji Spraw Zagranicznych w Republice Korei i Japonii w dniach od 31 marca do 2 kwietnia 2026 r.,</w:t>
      </w:r>
    </w:p>
    <w:p w14:paraId="769715A5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 xml:space="preserve">uwzględniając swoją rezolucję z dnia 7 czerwca 2022 r. w sprawie UE wobec zagrożeń bezpieczeństwa w regionie </w:t>
      </w:r>
      <w:proofErr w:type="spellStart"/>
      <w:r w:rsidRPr="00766BB4">
        <w:t>Indo</w:t>
      </w:r>
      <w:proofErr w:type="spellEnd"/>
      <w:r w:rsidRPr="00766BB4">
        <w:t>-Pacyfiku</w:t>
      </w:r>
      <w:r w:rsidRPr="00766BB4">
        <w:rPr>
          <w:rStyle w:val="FootnoteReference"/>
        </w:rPr>
        <w:footnoteReference w:id="5"/>
      </w:r>
      <w:r w:rsidRPr="00766BB4">
        <w:t>,</w:t>
      </w:r>
    </w:p>
    <w:p w14:paraId="1D2651A1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swoją rezolucję z dnia 13 grudnia 2023 r. w sprawie stosunków między UE a Japonią</w:t>
      </w:r>
      <w:r w:rsidRPr="00766BB4">
        <w:rPr>
          <w:rStyle w:val="FootnoteReference"/>
        </w:rPr>
        <w:footnoteReference w:id="6"/>
      </w:r>
      <w:r w:rsidRPr="00766BB4">
        <w:t>,</w:t>
      </w:r>
    </w:p>
    <w:p w14:paraId="62165C89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swoją rezolucję z dnia 21 stycznia 2026 r. w sprawie wdrażania wspólnej polityki zagranicznej i bezpieczeństwa – sprawozdanie roczne za 2025 r.</w:t>
      </w:r>
      <w:r w:rsidRPr="00766BB4">
        <w:rPr>
          <w:rStyle w:val="FootnoteReference"/>
        </w:rPr>
        <w:footnoteReference w:id="7"/>
      </w:r>
      <w:r w:rsidRPr="00766BB4">
        <w:t>,</w:t>
      </w:r>
    </w:p>
    <w:p w14:paraId="0EE8E5D0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swoją rezolucję z dnia 28 listopada 2024 r. w sprawie wzmocnienia niezachwianego wsparcia UE dla Ukrainy wobec rosyjskiej wojny napastniczej i rosnącej współpracy wojskowej między Koreą Północną a Rosją</w:t>
      </w:r>
      <w:r w:rsidRPr="00766BB4">
        <w:rPr>
          <w:rStyle w:val="FootnoteReference"/>
          <w:bCs/>
          <w:iCs/>
        </w:rPr>
        <w:footnoteReference w:id="8"/>
      </w:r>
      <w:r w:rsidRPr="00766BB4">
        <w:t>,</w:t>
      </w:r>
    </w:p>
    <w:p w14:paraId="17C52193" w14:textId="77777777" w:rsidR="00170E90" w:rsidRPr="00766BB4" w:rsidRDefault="00170E90" w:rsidP="00170E90">
      <w:pPr>
        <w:pStyle w:val="NormalHanging12a"/>
        <w:rPr>
          <w:b/>
          <w:i/>
        </w:rPr>
      </w:pPr>
      <w:r w:rsidRPr="00766BB4">
        <w:t>–</w:t>
      </w:r>
      <w:r w:rsidRPr="00766BB4">
        <w:tab/>
        <w:t>uwzględniając swoją rezolucję z dnia 24 października 2024 r. w sprawie błędnego interpretowania rezolucji ONZ nr 2758 przez Chińską Republikę Ludową i jej ciągłych prowokacji wojskowych wobec Tajwanu</w:t>
      </w:r>
      <w:r w:rsidRPr="00766BB4">
        <w:rPr>
          <w:rStyle w:val="FootnoteReference"/>
          <w:bCs/>
          <w:iCs/>
        </w:rPr>
        <w:footnoteReference w:id="9"/>
      </w:r>
      <w:r w:rsidRPr="00766BB4">
        <w:t>,</w:t>
      </w:r>
    </w:p>
    <w:p w14:paraId="00A5C30C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–</w:t>
      </w:r>
      <w:r w:rsidRPr="00766BB4">
        <w:tab/>
        <w:t>uwzględniając swoją rezolucję z dnia 13 grudnia 2023 r. w sprawie stosunków handlowych i inwestycyjnych między UE i Tajwanem</w:t>
      </w:r>
      <w:r w:rsidRPr="00766BB4">
        <w:rPr>
          <w:rStyle w:val="FootnoteReference"/>
          <w:bCs/>
          <w:iCs/>
        </w:rPr>
        <w:footnoteReference w:id="10"/>
      </w:r>
      <w:r w:rsidRPr="00766BB4">
        <w:t xml:space="preserve">, </w:t>
      </w:r>
    </w:p>
    <w:p w14:paraId="72385123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 xml:space="preserve">uwzględniając swoje stanowiska i zalecenia w sprawie współpracy w regionie </w:t>
      </w:r>
      <w:proofErr w:type="spellStart"/>
      <w:r w:rsidRPr="00766BB4">
        <w:t>Indo</w:t>
      </w:r>
      <w:proofErr w:type="spellEnd"/>
      <w:r w:rsidRPr="00766BB4">
        <w:t>-Pacyfiku, w tym apele o współpracę z partnerami o zbieżnych poglądach w celu utrzymania wolności żeglugi i stabilności w Cieśninie Tajwańskiej oraz na Morzu Wschodniochińskim i Morzu Południowochińskim,</w:t>
      </w:r>
    </w:p>
    <w:p w14:paraId="758DAB3E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art. 121 Regulaminu,</w:t>
      </w:r>
    </w:p>
    <w:p w14:paraId="56EF54BF" w14:textId="77777777" w:rsidR="00170E90" w:rsidRPr="00766BB4" w:rsidRDefault="00170E90" w:rsidP="00170E90">
      <w:pPr>
        <w:pStyle w:val="NormalHanging12a"/>
      </w:pPr>
      <w:r w:rsidRPr="00766BB4">
        <w:t>–</w:t>
      </w:r>
      <w:r w:rsidRPr="00766BB4">
        <w:tab/>
        <w:t>uwzględniając sprawozdanie Komisji Spraw Zagranicznych (A10-0189/2026),</w:t>
      </w:r>
    </w:p>
    <w:p w14:paraId="3692FA87" w14:textId="77777777" w:rsidR="00170E90" w:rsidRPr="00766BB4" w:rsidRDefault="00170E90" w:rsidP="00170E90">
      <w:pPr>
        <w:pStyle w:val="NormalHanging12a"/>
      </w:pPr>
      <w:r w:rsidRPr="00766BB4">
        <w:lastRenderedPageBreak/>
        <w:t>A.</w:t>
      </w:r>
      <w:r w:rsidRPr="00766BB4">
        <w:tab/>
        <w:t xml:space="preserve">mając na uwadze, że trwające zmiany geopolityczne oraz rosnące strategiczne znaczenie regionu </w:t>
      </w:r>
      <w:proofErr w:type="spellStart"/>
      <w:r w:rsidRPr="00766BB4">
        <w:t>Indo</w:t>
      </w:r>
      <w:proofErr w:type="spellEnd"/>
      <w:r w:rsidRPr="00766BB4">
        <w:t xml:space="preserve">-Pacyfiku przekształcają ład światowy; mając na uwadze, że Azja Wschodnia i szerzej rozumiany region </w:t>
      </w:r>
      <w:proofErr w:type="spellStart"/>
      <w:r w:rsidRPr="00766BB4">
        <w:t>Indo</w:t>
      </w:r>
      <w:proofErr w:type="spellEnd"/>
      <w:r w:rsidRPr="00766BB4">
        <w:t>-Pacyfiku mają kluczowe znaczenie dla światowego dobrobytu i bezpieczeństwa, bezpieczeństwa energetycznego i odporności demokratycznej, ponieważ znajdują się w nich kluczowe szlaki morskie, zaawansowane ekosystemy technologiczne, główne szlaki handlowe i krytyczne łańcuchy dostaw niezbędne dla konkurencyjności gospodarczej i długofalowej odporności gospodarczej w sektorach strategicznych oraz wpływów geopolitycznych UE, a także mieszka tam ponad połowa ludności świata;</w:t>
      </w:r>
    </w:p>
    <w:p w14:paraId="3FA1F066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B.</w:t>
      </w:r>
      <w:r w:rsidRPr="00766BB4">
        <w:tab/>
        <w:t>mając na uwadze, że bezpieczeństwo gospodarcze, w tym odporne i zróżnicowane łańcuchy dostaw surowców krytycznych, półprzewodników i czystych technologii, stanowi integralną część polityki handlowej, zagranicznej i bezpieczeństwa; mając na uwadze, że zmniejszenie strategicznych zależności oraz zwiększenie odporności i różnorodności łańcuchów dostaw w sektorach krytycznych mają zasadnicze znaczenie dla bezpieczeństwa gospodarczego i konkurencyjności UE, zgodnie z unijną strategią ograniczania ryzyka, a jednocześnie pozwalają unikać niepotrzebnego oddzielenia gospodarki od produkcji;</w:t>
      </w:r>
    </w:p>
    <w:p w14:paraId="42904D59" w14:textId="77777777" w:rsidR="00170E90" w:rsidRDefault="00170E90" w:rsidP="00170E90">
      <w:pPr>
        <w:pStyle w:val="NormalHanging12a"/>
      </w:pPr>
      <w:r w:rsidRPr="00766BB4">
        <w:t>C.</w:t>
      </w:r>
      <w:r w:rsidRPr="00766BB4">
        <w:tab/>
        <w:t>mając na uwadze, że w ostatnich latach krajobraz geopolityczny Azji Wschodniej stał się coraz bardziej niestabilny, a regionalna równowaga sił w coraz większym stopniu kształtuje systemowa rywalizacja, spory morskie, koncentracja sił wojskowych i rosnący wpływ autorytarnych modeli sprawowania rządów, które stosują wymuszenie ekonomiczne, w tym dyskryminację w dostępie do rynku, zagrożenia hybrydowe, w tym zagraniczne manipulacje informacjami i ingerencje w informacje, oraz szpiegostwo handlowe i polityczne, które zagrażają pokojowi, stabilności i międzynarodowemu porządkowi opartemu na zasadach oraz wymagają skoordynowanej reakcji wraz z partnerami podzielającymi wartości demokratyczne i wysokie standardy regulacyjne;</w:t>
      </w:r>
    </w:p>
    <w:p w14:paraId="0D1BF33D" w14:textId="6107EA1E" w:rsidR="00455537" w:rsidRPr="00766BB4" w:rsidRDefault="00455537" w:rsidP="00170E90">
      <w:pPr>
        <w:pStyle w:val="NormalHanging12a"/>
        <w:rPr>
          <w:bCs/>
          <w:iCs/>
        </w:rPr>
      </w:pPr>
      <w:r>
        <w:rPr>
          <w:bCs/>
          <w:iCs/>
        </w:rPr>
        <w:t>D</w:t>
      </w:r>
      <w:r w:rsidRPr="00455537">
        <w:rPr>
          <w:bCs/>
          <w:iCs/>
        </w:rPr>
        <w:t>.</w:t>
      </w:r>
      <w:r w:rsidRPr="00455537">
        <w:rPr>
          <w:bCs/>
          <w:iCs/>
        </w:rPr>
        <w:tab/>
        <w:t>mając na uwadze, że bezpieczeństwo Japonii, Korei Południowej i Tajwanu pozostaje w dużej mierze uzależnione od Stanów Zjednoczonych; mając na uwadze, że partnerzy ci są coraz bardziej narażeni na nieprzewidywalne działania i wymuszenie ekonomiczne ze strony Stanów Zjednoczonych, które czasami dotyka nawet najbliższych sojuszników; mając na uwadze, że w związku z tym ci demokratyczni partnerzy muszą wzmocnić i zdywersyfikować swoje partnerstwa z innymi podmiotami, w szczególności z UE, aby wzmocnić odporność i wspólne interesy w zakresie bezpieczeństwa;</w:t>
      </w:r>
    </w:p>
    <w:p w14:paraId="34F4366F" w14:textId="07AD69F4" w:rsidR="00170E90" w:rsidRPr="00766BB4" w:rsidRDefault="00455537" w:rsidP="00170E90">
      <w:pPr>
        <w:pStyle w:val="NormalHanging12a"/>
        <w:rPr>
          <w:bCs/>
          <w:iCs/>
        </w:rPr>
      </w:pPr>
      <w:r>
        <w:t>E</w:t>
      </w:r>
      <w:r w:rsidR="00170E90" w:rsidRPr="00766BB4">
        <w:t>.</w:t>
      </w:r>
      <w:r w:rsidR="00170E90" w:rsidRPr="00766BB4">
        <w:tab/>
        <w:t xml:space="preserve">mając na uwadze, że unijna strategia współpracy w regionie </w:t>
      </w:r>
      <w:proofErr w:type="spellStart"/>
      <w:r w:rsidR="00170E90" w:rsidRPr="00766BB4">
        <w:t>Indo</w:t>
      </w:r>
      <w:proofErr w:type="spellEnd"/>
      <w:r w:rsidR="00170E90" w:rsidRPr="00766BB4">
        <w:t xml:space="preserve">-Pacyfiku opiera się na przekonaniu, że bezpieczeństwo i dobrobyt UE oraz regionu </w:t>
      </w:r>
      <w:proofErr w:type="spellStart"/>
      <w:r w:rsidR="00170E90" w:rsidRPr="00766BB4">
        <w:t>Indo</w:t>
      </w:r>
      <w:proofErr w:type="spellEnd"/>
      <w:r w:rsidR="00170E90" w:rsidRPr="00766BB4">
        <w:t>-Pacyfiku są ze sobą nierozerwalnie związane; mając na uwadze, że w strategii podkreślono, jak ważne jest wzmocnienie zaangażowania UE w regionie za pomocą pogłębionego dialogu politycznego, wzmocnionej współpracy gospodarczej oraz rozszerzonego partnerstwa w dziedzinie bezpieczeństwa; mając na uwadze, że rozpad porządku opartego na zasadach i tradycyjnych sojuszy oraz pojawienie się agresywnych podmiotów kierujących się imperialistycznymi ambicjami uzasadniają zacieśnienie więzi między UE a partnerami o zbieżnych poglądach w regionie w celu zwiększenia wzajemnego bezpieczeństwa i dobrobytu;</w:t>
      </w:r>
    </w:p>
    <w:p w14:paraId="17D917C5" w14:textId="22C65C15" w:rsidR="00170E90" w:rsidRPr="00766BB4" w:rsidRDefault="00455537" w:rsidP="00170E90">
      <w:pPr>
        <w:pStyle w:val="NormalHanging12a"/>
        <w:rPr>
          <w:bCs/>
          <w:iCs/>
        </w:rPr>
      </w:pPr>
      <w:r>
        <w:t>F</w:t>
      </w:r>
      <w:r w:rsidR="00170E90" w:rsidRPr="00766BB4">
        <w:t>.</w:t>
      </w:r>
      <w:r w:rsidR="00170E90" w:rsidRPr="00766BB4">
        <w:tab/>
        <w:t>mając na uwadze, że wolności żeglugi i przelotu są podstawowymi zasadami prawa międzynarodowego, zapisanymi w szczególności w UNCLOS, i mają kluczowe znaczenie dla bezpieczeństwa gospodarczego Unii;</w:t>
      </w:r>
    </w:p>
    <w:p w14:paraId="7E719311" w14:textId="2EC74C13" w:rsidR="00170E90" w:rsidRPr="00766BB4" w:rsidRDefault="00455537" w:rsidP="00170E90">
      <w:pPr>
        <w:pStyle w:val="NormalHanging12a"/>
      </w:pPr>
      <w:r>
        <w:lastRenderedPageBreak/>
        <w:t>G</w:t>
      </w:r>
      <w:r w:rsidR="00170E90" w:rsidRPr="00766BB4">
        <w:t>.</w:t>
      </w:r>
      <w:r w:rsidR="00170E90" w:rsidRPr="00766BB4">
        <w:tab/>
        <w:t xml:space="preserve">mając na uwadze, że coraz bardziej złożone wyzwania w dziedzinie bezpieczeństwa mają głęboki wpływ zarówno na stabilność, jak i dobrobyt Europy i </w:t>
      </w:r>
      <w:proofErr w:type="spellStart"/>
      <w:r w:rsidR="00170E90" w:rsidRPr="00766BB4">
        <w:t>Indo</w:t>
      </w:r>
      <w:proofErr w:type="spellEnd"/>
      <w:r w:rsidR="00170E90" w:rsidRPr="00766BB4">
        <w:t xml:space="preserve">-Pacyfiku, a stabilność obu regionów jest powiązana ze sobą bardziej niż kiedykolwiek wcześniej; mając na uwadze, że obie strony bezpośrednio dotyka bezprawna </w:t>
      </w:r>
      <w:proofErr w:type="spellStart"/>
      <w:r w:rsidR="00170E90" w:rsidRPr="00766BB4">
        <w:t>pełnoskalowa</w:t>
      </w:r>
      <w:proofErr w:type="spellEnd"/>
      <w:r w:rsidR="00170E90" w:rsidRPr="00766BB4">
        <w:t xml:space="preserve"> inwazja Rosji na Ukrainę oraz wsparcie, jakiego udzielają Rosji takie państwa trzecie jak Chiny i Korea Północna, umożliwiające tę agresję; mając na uwadze, że solidna współpraca obronno-przemysłowa między UE a Japonią oraz między UE a Republiką Korei jest nieodzowna; mając na uwadze, że Japonia i Republika Korei wyróżniają się znaczną pomocą finansową i humanitarną dla Ukrainy; mając na uwadze, że od 2022 r. Japonia przekazała i zadeklarowała przekazanie Ukrainie ponad 20 mld USD pomocy finansowej i wojskowej; mając na uwadze, że niestabilność na Bliskim Wschodzie ma poważne konsekwencje dla Europy i Azji Wschodniej, jeśli chodzi o bezpieczeństwo energetyczne i zakłócenia w łańcuchu dostaw;</w:t>
      </w:r>
    </w:p>
    <w:p w14:paraId="6623DD59" w14:textId="2EBE4274" w:rsidR="00170E90" w:rsidRPr="00766BB4" w:rsidRDefault="00455537" w:rsidP="00170E90">
      <w:pPr>
        <w:pStyle w:val="NormalHanging12a"/>
        <w:rPr>
          <w:bCs/>
          <w:iCs/>
        </w:rPr>
      </w:pPr>
      <w:r>
        <w:t>H</w:t>
      </w:r>
      <w:r w:rsidR="00170E90" w:rsidRPr="00766BB4">
        <w:t>.</w:t>
      </w:r>
      <w:r w:rsidR="00170E90" w:rsidRPr="00766BB4">
        <w:tab/>
        <w:t>mając na uwadze, że w Strategicznym kompasie na rzecz bezpieczeństwa i obrony stwierdzono, iż niektóre podmioty, takie jak Koreańska Republika Ludowo-Demokratyczna (KRLD), nadal stanowią zagrożenie dla pokoju i bezpieczeństwa regionu i świata; mając na uwadze, że programy jądrowe i rakietowe KRLD stanowią poważne zagrożenie dla międzynarodowego porządku opartego na zasadach, podobnie jak ewentualny transfer technologii związanej z bronią jądrową lub pociskami balistycznymi i bezzałogowymi statkami politycznymi do Rosji w zamian za broń i personel wojskowy; mając na uwadze, że KRLD wielokrotnie naruszała rezolucje Rady Bezpieczeństwa ONZ przez ciągłe wystrzeliwanie pocisków, w tym testy przeprowadzane nad Japonią i w rejonie Morza Japońskiego;</w:t>
      </w:r>
    </w:p>
    <w:p w14:paraId="08EF8803" w14:textId="540835E7" w:rsidR="00170E90" w:rsidRPr="00766BB4" w:rsidRDefault="00455537" w:rsidP="00170E90">
      <w:pPr>
        <w:pStyle w:val="NormalHanging12a"/>
        <w:rPr>
          <w:bCs/>
          <w:iCs/>
        </w:rPr>
      </w:pPr>
      <w:r>
        <w:t>I</w:t>
      </w:r>
      <w:r w:rsidR="00170E90" w:rsidRPr="00766BB4">
        <w:t>.</w:t>
      </w:r>
      <w:r w:rsidR="00170E90" w:rsidRPr="00766BB4">
        <w:tab/>
        <w:t xml:space="preserve">mając na uwadze, że rosnące znaczenie przestrzeni cyfrowej dla funkcjonowania naszych społeczeństw i gospodarek spowodował wzrost liczby i skali cyberataków; mając na uwadze, że we wspólnym komunikacie w sprawie strategii UE w zakresie </w:t>
      </w:r>
      <w:proofErr w:type="spellStart"/>
      <w:r w:rsidR="00170E90" w:rsidRPr="00766BB4">
        <w:t>cyberbezpieczeństwa</w:t>
      </w:r>
      <w:proofErr w:type="spellEnd"/>
      <w:r w:rsidR="00170E90" w:rsidRPr="00766BB4">
        <w:t xml:space="preserve"> na cyfrową dekadę stwierdzono, iż zwalczanie tych zagrożeń i słabych punktów wymaga współpracy z partnerami przestrzegającymi zasad praworządności, podstawowych wolności, demokracji i praw człowieka;</w:t>
      </w:r>
    </w:p>
    <w:p w14:paraId="6841850C" w14:textId="5A08CFFC" w:rsidR="00170E90" w:rsidRPr="00766BB4" w:rsidRDefault="00455537" w:rsidP="00170E90">
      <w:pPr>
        <w:pStyle w:val="NormalHanging12a"/>
      </w:pPr>
      <w:r>
        <w:t>J</w:t>
      </w:r>
      <w:r w:rsidR="00170E90" w:rsidRPr="00766BB4">
        <w:t>.</w:t>
      </w:r>
      <w:r w:rsidR="00170E90" w:rsidRPr="00766BB4">
        <w:tab/>
        <w:t>mając na uwadze, że interesy UE i bezpieczeństwo światowe najlepiej chroni pogłębianie praktycznej współpracy z partnerami o zbieżnych poglądach w regionie – w szczególności z Japonią, Republiką Korei i Tajwanem – przy jednoczesnym dążeniu do opartego na zasadach i konstruktywnego zaangażowania ze wszystkimi podmiotami regionalnymi, a także kontakty ze Stowarzyszeniem Narodów Azji Południowo-Wschodniej (ASEAN) jako głównym podmiotem pełniącym rolę forum współpracy; mając na uwadze, że partnerstwa te powinny wzmacniać strategiczną autonomię UE dzięki konsolidacji solidnej europejskiej bazy technologiczno-przemysłowej sektora obronnego, nie prowadząc przy tym do nadmiernego uzależnienia UE od sił zewnętrznych; mając na uwadze, że UE powinna unikać dynamiki konfrontacji opartej na blokach, a zamiast tego promować multilateralizm oparty na współpracy oraz dialog zgodny z prawem międzynarodowym;</w:t>
      </w:r>
    </w:p>
    <w:p w14:paraId="349A12C6" w14:textId="1F1FD40F" w:rsidR="00170E90" w:rsidRPr="00766BB4" w:rsidRDefault="00455537" w:rsidP="00170E90">
      <w:pPr>
        <w:pStyle w:val="NormalHanging12a"/>
      </w:pPr>
      <w:r>
        <w:t>K</w:t>
      </w:r>
      <w:r w:rsidR="00170E90" w:rsidRPr="00766BB4">
        <w:t>.</w:t>
      </w:r>
      <w:r w:rsidR="00170E90" w:rsidRPr="00766BB4">
        <w:tab/>
        <w:t xml:space="preserve">mając na uwadze, że partnerstwo strategiczne między UE a Japonią stanowi wzór skutecznej współpracy dwustronnej, która wzmacnia zdolność do kształtowania polityki na forach wielostronnych; mając na uwadze, że wejście w życie 1 stycznia 2025 r. umowy o partnerstwie strategicznym UE–Japonia umożliwia ściślejszą współpracę – w tym w obszarach takich jak bezpieczeństwo i obrona, zagrożenia hybrydowe, bezpieczeństwo morskie, </w:t>
      </w:r>
      <w:proofErr w:type="spellStart"/>
      <w:r w:rsidR="00170E90" w:rsidRPr="00766BB4">
        <w:t>cyberbezpieczeństwo</w:t>
      </w:r>
      <w:proofErr w:type="spellEnd"/>
      <w:r w:rsidR="00170E90" w:rsidRPr="00766BB4">
        <w:t xml:space="preserve">, przestrzeń kosmiczna i nieproliferacja – </w:t>
      </w:r>
      <w:r w:rsidR="00170E90" w:rsidRPr="00766BB4">
        <w:lastRenderedPageBreak/>
        <w:t>tak jak robią to konkretne wspólne działania w ramach sojuszu na rzecz konkurencyjności, zielonego sojuszu oraz partnerstwa cyfrowego i dialogu energetycznego;</w:t>
      </w:r>
    </w:p>
    <w:p w14:paraId="15CF019C" w14:textId="2317114D" w:rsidR="00170E90" w:rsidRPr="00766BB4" w:rsidRDefault="00455537" w:rsidP="00170E90">
      <w:pPr>
        <w:pStyle w:val="NormalHanging12a"/>
        <w:rPr>
          <w:bCs/>
          <w:iCs/>
        </w:rPr>
      </w:pPr>
      <w:r>
        <w:t>L</w:t>
      </w:r>
      <w:r w:rsidR="00170E90" w:rsidRPr="00766BB4">
        <w:t>.</w:t>
      </w:r>
      <w:r w:rsidR="00170E90" w:rsidRPr="00766BB4">
        <w:tab/>
        <w:t xml:space="preserve">mając na uwadze, że Japonia jest najbliższym partnerem strategicznym UE w regionie </w:t>
      </w:r>
      <w:proofErr w:type="spellStart"/>
      <w:r w:rsidR="00170E90" w:rsidRPr="00766BB4">
        <w:t>Indo</w:t>
      </w:r>
      <w:proofErr w:type="spellEnd"/>
      <w:r w:rsidR="00170E90" w:rsidRPr="00766BB4">
        <w:t xml:space="preserve">-Pacyfiku; mając na uwadze, że globalne wyzwania, a w szczególności rosnące napięcia w regionie </w:t>
      </w:r>
      <w:proofErr w:type="spellStart"/>
      <w:r w:rsidR="00170E90" w:rsidRPr="00766BB4">
        <w:t>Indo</w:t>
      </w:r>
      <w:proofErr w:type="spellEnd"/>
      <w:r w:rsidR="00170E90" w:rsidRPr="00766BB4">
        <w:t xml:space="preserve">-Pacyfiku wymagają coraz ściślejszego partnerstwa między UE a Japonią; mając na uwadze, że wolny i otwarty region </w:t>
      </w:r>
      <w:proofErr w:type="spellStart"/>
      <w:r w:rsidR="00170E90" w:rsidRPr="00766BB4">
        <w:t>Indo</w:t>
      </w:r>
      <w:proofErr w:type="spellEnd"/>
      <w:r w:rsidR="00170E90" w:rsidRPr="00766BB4">
        <w:t xml:space="preserve">-Pacyfiku to jeden z podstawowych celów zarówno Japonii, jak i UE, który realizują one w szczególności przez promowanie międzynarodowego porządku opartego na zasadach, w którym wszystkie kraje przestrzegają prawa międzynarodowego i zasady pokojowego rozwiązywania konfliktów; mając na uwadze, że Japonia jest ważnym podmiotem na kilku forach w regionie </w:t>
      </w:r>
      <w:proofErr w:type="spellStart"/>
      <w:r w:rsidR="00170E90" w:rsidRPr="00766BB4">
        <w:t>Indo</w:t>
      </w:r>
      <w:proofErr w:type="spellEnd"/>
      <w:r w:rsidR="00170E90" w:rsidRPr="00766BB4">
        <w:t>-Pacyfiku, takich jak Szczyt Azji Wschodniej; mając na uwadze, że UE i Japonia starają się wypracować wspólne podejście na szczeblu dwustronnym i na forach wielostronnych, takich jak G-7, G-20, ONZ, Światowa Organizacja Handlu (WTO), Światowa Organizacja Zdrowia (WHO) i Organizacja Współpracy Gospodarczej i Rozwoju (OECD), a także spójnie działać jako darczyńcy o zbieżnych poglądach;</w:t>
      </w:r>
    </w:p>
    <w:p w14:paraId="417D82AE" w14:textId="46FF863F" w:rsidR="00170E90" w:rsidRPr="00766BB4" w:rsidRDefault="00455537" w:rsidP="00170E90">
      <w:pPr>
        <w:pStyle w:val="NormalHanging12a"/>
        <w:rPr>
          <w:bCs/>
          <w:iCs/>
        </w:rPr>
      </w:pPr>
      <w:r>
        <w:t>M</w:t>
      </w:r>
      <w:r w:rsidR="00170E90" w:rsidRPr="00766BB4">
        <w:t>.</w:t>
      </w:r>
      <w:r w:rsidR="00170E90" w:rsidRPr="00766BB4">
        <w:tab/>
        <w:t>mając na uwadze, że umowa o partnerstwie gospodarczym między Unią Europejską a Japonią weszła w życie w 2019 r., a w 2024 r. została zmieniona, aby uwzględnić przepisy dotyczące swobodnego przepływu danych; mając na uwadze, że Japonia jest siódmym co do wielkości partnerem handlowym UE;</w:t>
      </w:r>
    </w:p>
    <w:p w14:paraId="070B3238" w14:textId="6AF5004F" w:rsidR="00170E90" w:rsidRPr="00766BB4" w:rsidRDefault="00455537" w:rsidP="00170E90">
      <w:pPr>
        <w:pStyle w:val="NormalHanging12a"/>
        <w:rPr>
          <w:bCs/>
          <w:iCs/>
        </w:rPr>
      </w:pPr>
      <w:r>
        <w:t>N</w:t>
      </w:r>
      <w:r w:rsidR="00170E90" w:rsidRPr="00766BB4">
        <w:t>.</w:t>
      </w:r>
      <w:r w:rsidR="00170E90" w:rsidRPr="00766BB4">
        <w:tab/>
      </w:r>
      <w:bookmarkStart w:id="7" w:name="_Hlk233719618"/>
      <w:r w:rsidRPr="00455537">
        <w:t xml:space="preserve">mając na uwadze, że w maju 2026 r. na czwartym posiedzeniu Rady Partnerstwa Cyfrowego UE–Japonia rozszerzono współpracę w dziedzinie sztucznej inteligencji, 5G/6G, półprzewodników, </w:t>
      </w:r>
      <w:proofErr w:type="spellStart"/>
      <w:r w:rsidRPr="00455537">
        <w:t>cyberbezpieczeństwa</w:t>
      </w:r>
      <w:proofErr w:type="spellEnd"/>
      <w:r w:rsidRPr="00455537">
        <w:t xml:space="preserve"> i zarządzania danymi oraz z zadowoleniem przyjęto postępy we wspólnym projekcie badawczym „6G MIRAI-HARMONY”;</w:t>
      </w:r>
      <w:bookmarkEnd w:id="7"/>
    </w:p>
    <w:p w14:paraId="53923C20" w14:textId="5419C5D1" w:rsidR="00170E90" w:rsidRPr="00766BB4" w:rsidRDefault="00455537" w:rsidP="00170E90">
      <w:pPr>
        <w:pStyle w:val="NormalHanging12a"/>
        <w:rPr>
          <w:bCs/>
          <w:iCs/>
        </w:rPr>
      </w:pPr>
      <w:r>
        <w:t>O</w:t>
      </w:r>
      <w:r w:rsidR="00170E90" w:rsidRPr="00766BB4">
        <w:t>.</w:t>
      </w:r>
      <w:r w:rsidR="00170E90" w:rsidRPr="00766BB4">
        <w:tab/>
        <w:t>mając na uwadze, że w ramach dialogu energetycznego między UE a Japonią w 2025 r. zwrócono uwagę na wspólne działania w zakresie łańcuchów dostaw czystej energii, bezpieczeństwa dostaw LNG oraz współpracy w dziedzinie wodoru mającej wspierać neutralność klimatyczną;</w:t>
      </w:r>
    </w:p>
    <w:p w14:paraId="2C1970CB" w14:textId="7BC6CB26" w:rsidR="00170E90" w:rsidRPr="00766BB4" w:rsidRDefault="00455537" w:rsidP="00170E90">
      <w:pPr>
        <w:pStyle w:val="NormalHanging12a"/>
        <w:rPr>
          <w:b/>
          <w:bCs/>
          <w:i/>
          <w:iCs/>
          <w:szCs w:val="24"/>
        </w:rPr>
      </w:pPr>
      <w:r>
        <w:t>P</w:t>
      </w:r>
      <w:r w:rsidR="00170E90" w:rsidRPr="00766BB4">
        <w:t>.</w:t>
      </w:r>
      <w:r w:rsidR="00170E90" w:rsidRPr="00766BB4">
        <w:tab/>
        <w:t xml:space="preserve">mając na uwadze, że partnerstwo strategiczne między UE a Republiką Korei, kluczowym sojusznikiem z regionu </w:t>
      </w:r>
      <w:proofErr w:type="spellStart"/>
      <w:r w:rsidR="00170E90" w:rsidRPr="00766BB4">
        <w:t>Indo</w:t>
      </w:r>
      <w:proofErr w:type="spellEnd"/>
      <w:r w:rsidR="00170E90" w:rsidRPr="00766BB4">
        <w:t xml:space="preserve">-Pacyfiku, obejmuje dialog polityczny oraz współpracę w dziedzinie handlu i bezpieczeństwa; mając na uwadze, że umowa o wolnym handlu między UE a Republiką Korei przyczyniła się do znacznego wzrostu handlu dwustronnego od momentu jej wejścia w życie; mając na uwadze, że </w:t>
      </w:r>
      <w:bookmarkStart w:id="8" w:name="_Hlk233719710"/>
      <w:r w:rsidR="00170E90" w:rsidRPr="00766BB4">
        <w:t>umowa w sprawie ram udziału między UE a Republiką Korei</w:t>
      </w:r>
      <w:bookmarkEnd w:id="8"/>
      <w:r w:rsidR="00170E90" w:rsidRPr="00766BB4">
        <w:t xml:space="preserve"> wzmacnia więzi polityczne, gospodarcze i instytucjonalne, w tym w dziedzinie bezpieczeństwa; mając na uwadze, że umowa w sprawie ram udziału wzmacnia stosunki polityczne i współpracę w dziedzinie bezpieczeństwa między UE a Republiką Korei oraz podkreśla wspólne wartości i interesy; mając na uwadze, że podczas szczytu UE–Republika Korei w 2023 r. przywódcy postanowili, że ustanowione zostanie partnerstwo na rzecz bezpieczeństwa oraz dialog strategiczny na szczeblu ministrów spraw zagranicznych, aby wspierać współpracę w dziedzinie światowego pokoju i bezpieczeństwa; mając na uwadze, że partnerstwo w dziedzinie bezpieczeństwa i obrony między UE a Republiką Korei zapewnia ustrukturyzowane ramy współpracy we wszystkich obszarach bezpieczeństwa; mając na uwadze, że w umowie o handlu cyfrowym między UE a </w:t>
      </w:r>
      <w:r w:rsidR="00170E90" w:rsidRPr="00766BB4">
        <w:lastRenderedPageBreak/>
        <w:t>Republiką Korei określono wzajemnie korzystne zasady dotyczące danych i technologii cyfrowych; mając na uwadze, że Republika Korei odgrywa kluczową rolę w zapewnianiu stabilności w regionie;</w:t>
      </w:r>
    </w:p>
    <w:p w14:paraId="6708D510" w14:textId="146C640C" w:rsidR="00170E90" w:rsidRPr="00766BB4" w:rsidRDefault="00455537" w:rsidP="00170E90">
      <w:pPr>
        <w:pStyle w:val="NormalHanging12a"/>
        <w:rPr>
          <w:szCs w:val="24"/>
        </w:rPr>
      </w:pPr>
      <w:r>
        <w:t>Q</w:t>
      </w:r>
      <w:r w:rsidR="00170E90" w:rsidRPr="00766BB4">
        <w:t>.</w:t>
      </w:r>
      <w:r w:rsidR="00170E90" w:rsidRPr="00766BB4">
        <w:tab/>
        <w:t>mając na uwadze, że umowa o wolnym handlu między UE a Republiką Korei była pierwszą umową handlową nowej generacji; mając na uwadze, że pełne wdrożenie rozdziału dotyczącego handlu i zrównoważonego rozwoju umowy o wolnym handlu między UE a Republiką Korei, w tym dalsze postępy w dziedzinie praw pracowniczych oraz ratyfikacja Konwencji Międzynarodowej Organizacji Pracy (MOP) nr 105 z 1957 r. o zniesieniu pracy przymusowej, nadal ma istotne znaczenie; mając na uwadze, że Republika Korei jest ósmym co do wielkości partnerem handlowym UE;</w:t>
      </w:r>
    </w:p>
    <w:p w14:paraId="58E2C54A" w14:textId="1D46E1ED" w:rsidR="00170E90" w:rsidRPr="00766BB4" w:rsidRDefault="00455537" w:rsidP="00170E90">
      <w:pPr>
        <w:pStyle w:val="NormalHanging12a"/>
      </w:pPr>
      <w:r>
        <w:t>R</w:t>
      </w:r>
      <w:r w:rsidR="00170E90" w:rsidRPr="00766BB4">
        <w:t>.</w:t>
      </w:r>
      <w:r w:rsidR="00170E90" w:rsidRPr="00766BB4">
        <w:tab/>
        <w:t>mając na uwadze, że UE nawiązała już strategiczne partnerstwa z Japonią i Republiką Korei jako partnerami o zbieżnych poglądach w regionie; mając na uwadze, że Japonia i Republika Korei przeznaczają znaczne środki na przyspieszenie transformacji energetycznej, w tym w kontekście ratyfikacji przez nie porozumienia paryskiego z 2015 r. oraz znacznych inwestycji w energię słoneczną i morską energię wiatrową; mając na uwadze, że UE dąży do pogłębienia swoich partnerstw strategicznych i wzmocnienia współpracy z Japonią i Republiką Korei w dziedzinie energii odnawialnych, co ma pozwolić osiągnąć neutralność pod względem emisji dwutlenku węgla do 2050 r.;</w:t>
      </w:r>
    </w:p>
    <w:p w14:paraId="0EB7991A" w14:textId="4355F21A" w:rsidR="00170E90" w:rsidRPr="00766BB4" w:rsidRDefault="00455537" w:rsidP="00170E90">
      <w:pPr>
        <w:pStyle w:val="NormalHanging12a"/>
      </w:pPr>
      <w:r>
        <w:t>S</w:t>
      </w:r>
      <w:r w:rsidR="00170E90" w:rsidRPr="00766BB4">
        <w:t>.</w:t>
      </w:r>
      <w:r w:rsidR="00170E90" w:rsidRPr="00766BB4">
        <w:tab/>
        <w:t>mając na uwadze, że Republika Korei i Japonia należą do światowych liderów technologicznych, a rozwój sztucznej inteligencji w tych państwach, w tym w dziedzinie obronności, kształtuje reakcje na zagrożenia cybernetyczne i militarne, szczególnie w świetle stałych zagrożeń ze strony KRLD;</w:t>
      </w:r>
    </w:p>
    <w:p w14:paraId="34793F88" w14:textId="5335A157" w:rsidR="00170E90" w:rsidRPr="00766BB4" w:rsidRDefault="00455537" w:rsidP="00170E90">
      <w:pPr>
        <w:pStyle w:val="NormalHanging12a"/>
      </w:pPr>
      <w:r>
        <w:t>T</w:t>
      </w:r>
      <w:r w:rsidR="00170E90" w:rsidRPr="00766BB4">
        <w:t>.</w:t>
      </w:r>
      <w:r w:rsidR="00170E90" w:rsidRPr="00766BB4">
        <w:tab/>
        <w:t xml:space="preserve">mając na uwadze, że Australia, Japonia i Republika Korei pogłębiają współpracę trójstronną na rzecz wzmocnienia bezpieczeństwa i stabilności w regionie </w:t>
      </w:r>
      <w:proofErr w:type="spellStart"/>
      <w:r w:rsidR="00170E90" w:rsidRPr="00766BB4">
        <w:t>Indo</w:t>
      </w:r>
      <w:proofErr w:type="spellEnd"/>
      <w:r w:rsidR="00170E90" w:rsidRPr="00766BB4">
        <w:t>-Pacyfiku, w tym za pomocą wspólnych ćwiczeń wojskowych oraz ściślejszej współpracy w zakresie technologii obronnych i odporności łańcucha dostaw; mając na uwadze, że ta pogłębiana współpraca trójstronna opiera się na impulsie nadanym przez kompleksowe i strategiczne partnerstwo Australii z Republiką Korei oraz jej specjalne partnerstwo strategiczne z Japonią;</w:t>
      </w:r>
    </w:p>
    <w:p w14:paraId="2A870A04" w14:textId="4B7B74E6" w:rsidR="00170E90" w:rsidRPr="00766BB4" w:rsidRDefault="00455537" w:rsidP="00170E90">
      <w:pPr>
        <w:pStyle w:val="NormalHanging12a"/>
      </w:pPr>
      <w:r>
        <w:t>U</w:t>
      </w:r>
      <w:r w:rsidR="00170E90" w:rsidRPr="00766BB4">
        <w:t>.</w:t>
      </w:r>
      <w:r w:rsidR="00170E90" w:rsidRPr="00766BB4">
        <w:tab/>
        <w:t>mając na uwadze, że 1 stycznia 2025 r. Republika Korei jako pierwszy kraj azjatycki przystąpiła do programu „Horyzont Europa”, a 22 grudnia 2025 r. do dołączyła do niego Japonia; mając na uwadze, że przystąpienie obu krajów do programu świadczy o ich silnym zaangażowaniu we współpracę z UE w zakresie badań naukowych i innowacji;</w:t>
      </w:r>
    </w:p>
    <w:p w14:paraId="19980B7B" w14:textId="5A4083C7" w:rsidR="00170E90" w:rsidRPr="00766BB4" w:rsidRDefault="00455537" w:rsidP="00170E90">
      <w:pPr>
        <w:pStyle w:val="NormalHanging12a"/>
        <w:rPr>
          <w:bCs/>
          <w:iCs/>
        </w:rPr>
      </w:pPr>
      <w:r>
        <w:t>V</w:t>
      </w:r>
      <w:r w:rsidR="00170E90" w:rsidRPr="00766BB4">
        <w:t>.</w:t>
      </w:r>
      <w:r w:rsidR="00170E90" w:rsidRPr="00766BB4">
        <w:tab/>
        <w:t xml:space="preserve">mając na uwadze, że Tajwan jest wiarygodnym i ważnym partnerem demokratycznym UE w regionie Azji Wschodniej; mając na uwadze, że UE i Tajwan wyznają wspólne wartości, takie jak demokracja, praworządność i prawa człowieka, a także są zaangażowane w utrzymanie multilateralizmu i porządku międzynarodowego opartego na zasadach; mając na uwadze, że we „Wspólnej białej księdze w sprawie obronności europejskiej – Gotowość 2030” (JOIN(2025)0120) wyrażono zaniepokojenie naciskami, jakie Chiny wywierają na Tajwan za pomocą zintensyfikowanych działań politycznych, gospodarczych, wojskowych i cybernetycznych; mając na uwadze, że pokój i stabilność w Cieśninie Tajwańskiej i na Morzu Południowochińskim leżą w strategicznym interesie UE i mają zasadnicze znaczenie dla światowego bezpieczeństwa </w:t>
      </w:r>
      <w:r w:rsidR="00170E90" w:rsidRPr="00766BB4">
        <w:lastRenderedPageBreak/>
        <w:t>i dobrobytu, w tym dla międzynarodowych przepływów handlowych, pewności inwestycyjnej i funkcjonowania globalnych łańcuchów dostaw;</w:t>
      </w:r>
    </w:p>
    <w:p w14:paraId="78FD20DB" w14:textId="780C5C88" w:rsidR="00170E90" w:rsidRPr="00766BB4" w:rsidRDefault="00455537" w:rsidP="00170E90">
      <w:pPr>
        <w:pStyle w:val="NormalHanging12a"/>
        <w:rPr>
          <w:bCs/>
          <w:iCs/>
        </w:rPr>
      </w:pPr>
      <w:r>
        <w:t>W</w:t>
      </w:r>
      <w:r w:rsidR="00170E90" w:rsidRPr="00766BB4">
        <w:t>.</w:t>
      </w:r>
      <w:r w:rsidR="00170E90" w:rsidRPr="00766BB4">
        <w:tab/>
        <w:t>mając na uwadze, że Tajwan jest trzynastym co do wielkości partnerem handlowym UE i jej kluczowym partnerem gospodarczym, plasującym się wśród najważniejszych partnerów handlowych i inwestycyjnych UE w Azji, oraz odgrywa kluczową rolę w globalnych łańcuchach wartości, w szczególności w takich dziedzinach jak produkcja półprzewodników, zdrowie publiczne, odporność demokratyczna i gotowość na wypadek klęsk żywiołowych;</w:t>
      </w:r>
    </w:p>
    <w:p w14:paraId="21E27416" w14:textId="0D46B52F" w:rsidR="00170E90" w:rsidRPr="00766BB4" w:rsidRDefault="00455537" w:rsidP="00170E90">
      <w:pPr>
        <w:pStyle w:val="NormalHanging12a"/>
        <w:rPr>
          <w:bCs/>
          <w:iCs/>
        </w:rPr>
      </w:pPr>
      <w:r>
        <w:t>X</w:t>
      </w:r>
      <w:r w:rsidR="00170E90" w:rsidRPr="00766BB4">
        <w:t>.</w:t>
      </w:r>
      <w:r w:rsidR="00170E90" w:rsidRPr="00766BB4">
        <w:tab/>
        <w:t xml:space="preserve">mając na uwadze, że Tajwan zajmuje strategiczne położenie z punktu widzenia handlu; mając na uwadze, że Cieśnina Tajwańska jest głównym szlakiem dla statków podróżujących z Chin, Japonii, Republiki Korei i Tajwanu do Europy; mając na uwadze, że Tajwan dominuje na rynku produkcji półprzewodników, ponieważ tamtejsi producenci wytwarzają około 50 % wszystkich półprzewodników na świecie; mając na uwadze, że w strategii UE na rzecz </w:t>
      </w:r>
      <w:proofErr w:type="spellStart"/>
      <w:r w:rsidR="00170E90" w:rsidRPr="00766BB4">
        <w:t>Indo</w:t>
      </w:r>
      <w:proofErr w:type="spellEnd"/>
      <w:r w:rsidR="00170E90" w:rsidRPr="00766BB4">
        <w:t>-Pacyfiku przytoczono argumenty za zacieśnieniem współpracy handlowej i inwestycyjnej z Tajwanem oraz opowiedziano się za stabilizacją napięć na Morzu Południowochińskim i w Cieśninie Tajwańskiej;</w:t>
      </w:r>
    </w:p>
    <w:p w14:paraId="078C33A8" w14:textId="6CA19594" w:rsidR="00170E90" w:rsidRPr="00766BB4" w:rsidRDefault="00455537" w:rsidP="00170E90">
      <w:pPr>
        <w:pStyle w:val="NormalHanging12a"/>
        <w:rPr>
          <w:bCs/>
          <w:iCs/>
        </w:rPr>
      </w:pPr>
      <w:r>
        <w:t>Y</w:t>
      </w:r>
      <w:r w:rsidR="00170E90" w:rsidRPr="00766BB4">
        <w:t>.</w:t>
      </w:r>
      <w:r w:rsidR="00170E90" w:rsidRPr="00766BB4">
        <w:tab/>
        <w:t>mając na uwadze, że współpraca między UE, Japonią, Republiką Korei i Tajwanem promuje stabilność, otwarte rynki oraz międzynarodowy porządek oparty na zasadach; mając na uwadze, że partnerów tych łączą wspólne interesy, jeśli chodzi o stawianie czoła globalnym wyzwaniom, w tym w dziedzinie bezpieczeństwa gospodarczego i rozwoju technologicznego; mając na uwadze, że wzmocniona koordynacja między UE, Japonią i Republiką Korei może przyczynić się do większej spójności polityk w odpowiedzi na wyzwania regionalne i globalne;</w:t>
      </w:r>
    </w:p>
    <w:p w14:paraId="28A66855" w14:textId="0DF42FE0" w:rsidR="00170E90" w:rsidRPr="00766BB4" w:rsidRDefault="00455537" w:rsidP="00170E90">
      <w:pPr>
        <w:pStyle w:val="NormalHanging12a"/>
        <w:rPr>
          <w:bCs/>
          <w:iCs/>
        </w:rPr>
      </w:pPr>
      <w:r>
        <w:t>Z</w:t>
      </w:r>
      <w:r w:rsidR="00170E90" w:rsidRPr="00766BB4">
        <w:t>.</w:t>
      </w:r>
      <w:r w:rsidR="00170E90" w:rsidRPr="00766BB4">
        <w:tab/>
        <w:t xml:space="preserve">mając na uwadze, że trójstronna współpraca między UE, Japonią, Republiką Korei i Tajwanem może wspierać opracowywanie międzynarodowych norm i standardów, zwłaszcza w takich obszarach jak zarządzanie cyfrowe i łańcuchy dostaw; mając na uwadze, że UE, Japonia i Republika Korei są partnerami o zbieżnych poglądach, których łączą te same cele; mając na uwadze, że ich partnerstwo strategiczne w zakresie sztucznej inteligencji stanowi mechanizm, który służy promowaniu wymiany w handlu cyfrowym oraz reagowaniu na zmiany w kontekście globalnym; </w:t>
      </w:r>
    </w:p>
    <w:p w14:paraId="12FD567B" w14:textId="6BDD676F" w:rsidR="00170E90" w:rsidRPr="00766BB4" w:rsidRDefault="00455537" w:rsidP="00170E90">
      <w:pPr>
        <w:pStyle w:val="NormalHanging12a"/>
        <w:rPr>
          <w:bCs/>
          <w:iCs/>
        </w:rPr>
      </w:pPr>
      <w:r>
        <w:t>AA</w:t>
      </w:r>
      <w:r w:rsidR="00170E90" w:rsidRPr="00766BB4">
        <w:t>.</w:t>
      </w:r>
      <w:r w:rsidR="00170E90" w:rsidRPr="00766BB4">
        <w:tab/>
        <w:t>mając na uwadze, że zielony sojusz między UE a Japonią oraz zielone partnerstwo między UE a Republiką Korei zapewniają konkretne ramy współpracy na rzecz klimatu, czystej energii, dekarbonizacji przemysłu, gospodarki o obiegu zamkniętym oraz innych elementów zielonej transformacji; mając na uwadze, że głębsza, ustrukturyzowana współpraca z Tajwanem w dziedzinie czystych technologii i odporności łańcucha dostaw również leży w interesie UE;</w:t>
      </w:r>
    </w:p>
    <w:p w14:paraId="1BEB58BE" w14:textId="27D5FCF8" w:rsidR="00170E90" w:rsidRPr="00766BB4" w:rsidRDefault="00455537" w:rsidP="00170E90">
      <w:pPr>
        <w:pStyle w:val="NormalHanging12a"/>
        <w:rPr>
          <w:bCs/>
          <w:iCs/>
        </w:rPr>
      </w:pPr>
      <w:r>
        <w:t>AB</w:t>
      </w:r>
      <w:r w:rsidR="00170E90" w:rsidRPr="00766BB4">
        <w:t>.</w:t>
      </w:r>
      <w:r w:rsidR="00170E90" w:rsidRPr="00766BB4">
        <w:tab/>
        <w:t xml:space="preserve">mając na uwadze, że pokój i stabilność w Cieśninie Tajwańskiej i na Morzu Południowochińskim mają strategiczne znaczenie dla bezpieczeństwa w regionie i na świecie; mając na uwadze, że siły morskie niektórych państw członkowskich UE są obecne w regionie </w:t>
      </w:r>
      <w:proofErr w:type="spellStart"/>
      <w:r w:rsidR="00170E90" w:rsidRPr="00766BB4">
        <w:t>Indo</w:t>
      </w:r>
      <w:proofErr w:type="spellEnd"/>
      <w:r w:rsidR="00170E90" w:rsidRPr="00766BB4">
        <w:t>-Pacyfiku, a UE jako całość ma bezpośredni interes w utrzymaniu status quo;</w:t>
      </w:r>
    </w:p>
    <w:p w14:paraId="2EB8435F" w14:textId="57568272" w:rsidR="00170E90" w:rsidRPr="00766BB4" w:rsidRDefault="00455537" w:rsidP="00170E90">
      <w:pPr>
        <w:pStyle w:val="NormalHanging12a"/>
        <w:rPr>
          <w:bCs/>
          <w:iCs/>
        </w:rPr>
      </w:pPr>
      <w:r>
        <w:t>AC</w:t>
      </w:r>
      <w:r w:rsidR="00170E90" w:rsidRPr="00766BB4">
        <w:t>.</w:t>
      </w:r>
      <w:r w:rsidR="00170E90" w:rsidRPr="00766BB4">
        <w:tab/>
        <w:t xml:space="preserve">mając na uwadze, że w listopadzie 2025 r. UE i Filipiny nawiązały dialog na temat bezpieczeństwa i obrony, który ma pomóc odpowiedzieć na rosnącą złożoność zagrożeń dla bezpieczeństwa oraz wspierać kontakty i współpracę w takich dziedzinach jak </w:t>
      </w:r>
      <w:r w:rsidR="00170E90" w:rsidRPr="00766BB4">
        <w:lastRenderedPageBreak/>
        <w:t>bezpieczeństwo morskie, stabilność regionalna i łączność; mając na uwadze, że w styczniu 2026 r. UE i Wietnam podniosły poziom swoich stosunków do rangi kompleksowego partnerstwa strategicznego, co ma umożliwić pogłębienie współpracy w wielu obszarach, w tym bezpieczeństwa morskiego, odporności łańcuchów dostaw oraz wzmocnienia łączności między Europą a Azją Południowo-Wschodnią;</w:t>
      </w:r>
    </w:p>
    <w:p w14:paraId="6DFD5EE3" w14:textId="2CD72CC7" w:rsidR="00170E90" w:rsidRPr="00766BB4" w:rsidRDefault="00455537" w:rsidP="00170E90">
      <w:pPr>
        <w:pStyle w:val="NormalHanging12a"/>
        <w:rPr>
          <w:bCs/>
          <w:iCs/>
        </w:rPr>
      </w:pPr>
      <w:r>
        <w:t>AD</w:t>
      </w:r>
      <w:r w:rsidR="00170E90" w:rsidRPr="00766BB4">
        <w:t>.</w:t>
      </w:r>
      <w:r w:rsidR="00170E90" w:rsidRPr="00766BB4">
        <w:tab/>
        <w:t>mając na uwadze, że sytuacja w zakresie praw człowieka w KRLD nadal charakteryzuje się systematycznymi, powszechnymi i rażącymi naruszeniami, w tym ograniczeniami wolności wypowiedzi, przemieszczania się i dostępu do informacji, istnieniem obozów dla więźniów politycznych oraz udokumentowanymi przypadkami pracy przymusowej i tortur, a także brakiem minimalnych standardów prawnych w postępowaniu karnym; mając na uwadze, że instytucje międzynarodowe konsekwentnie zgłaszają te naruszenia, które wymagają stałej uwagi oraz reakcji ze strony społeczności międzynarodowej;</w:t>
      </w:r>
    </w:p>
    <w:p w14:paraId="2C2E2054" w14:textId="55DD8E35" w:rsidR="00170E90" w:rsidRPr="00766BB4" w:rsidRDefault="00455537" w:rsidP="00170E90">
      <w:pPr>
        <w:pStyle w:val="NormalHanging12a"/>
      </w:pPr>
      <w:r>
        <w:t>AE</w:t>
      </w:r>
      <w:r w:rsidR="00170E90" w:rsidRPr="00766BB4">
        <w:t>.</w:t>
      </w:r>
      <w:r w:rsidR="00170E90" w:rsidRPr="00766BB4">
        <w:tab/>
        <w:t>mając na uwadze, że obecność UE w Azji Wschodniej oraz jej współpraca z tym regionem mają ogromne znaczenie dla wspierania jego pokoju i stabilności, ochrony bezpieczeństwa gospodarczego i wzmocnienia międzynarodowego porządku opartego na zasadach, ponieważ tamtejsze wyzwania w dziedzinie bezpieczeństwa mają bezpośredni wpływ na pokój na świecie i interesy UE; mając na uwadze, że partnerzy UE w Azji Wschodniej – w tym Japonia, Republika Korei, Tajwan i członkowie ASEAN – utrzymują złożone i wieloaspektowe stosunki z Chinami, charakteryzujące się znaczną wzajemną zależnością gospodarczą;</w:t>
      </w:r>
    </w:p>
    <w:p w14:paraId="009B05B8" w14:textId="2FA55EC5" w:rsidR="00170E90" w:rsidRPr="00766BB4" w:rsidRDefault="00455537" w:rsidP="00170E90">
      <w:pPr>
        <w:pStyle w:val="NormalHanging12a"/>
        <w:rPr>
          <w:bCs/>
          <w:iCs/>
        </w:rPr>
      </w:pPr>
      <w:r>
        <w:t>AF</w:t>
      </w:r>
      <w:r w:rsidR="00170E90" w:rsidRPr="00766BB4">
        <w:t>.</w:t>
      </w:r>
      <w:r w:rsidR="00170E90" w:rsidRPr="00766BB4">
        <w:tab/>
        <w:t xml:space="preserve">mając na uwadze, że kraje i terytoria zamorskie to jedyne terytoria państw członkowskich położone na Oceanie Spokojnym i w regionie </w:t>
      </w:r>
      <w:proofErr w:type="spellStart"/>
      <w:r w:rsidR="00170E90" w:rsidRPr="00766BB4">
        <w:t>Indo</w:t>
      </w:r>
      <w:proofErr w:type="spellEnd"/>
      <w:r w:rsidR="00170E90" w:rsidRPr="00766BB4">
        <w:t>-Pacyfiku; mając na uwadze, że stanowią one wyjątkowe strategiczne punkty wsparcia dla obecności, wpływu i współpracy UE w tych regionach, w szczególności w dziedzinie obrony, handlu, technologii cyfrowych, przestrzeni kosmicznej i współpracy kulturalnej;</w:t>
      </w:r>
    </w:p>
    <w:p w14:paraId="56371718" w14:textId="76318B66" w:rsidR="00170E90" w:rsidRPr="00766BB4" w:rsidRDefault="00455537" w:rsidP="00170E90">
      <w:pPr>
        <w:pStyle w:val="NormalHanging12a"/>
        <w:rPr>
          <w:bCs/>
          <w:iCs/>
        </w:rPr>
      </w:pPr>
      <w:r>
        <w:t>AG</w:t>
      </w:r>
      <w:r w:rsidR="00170E90" w:rsidRPr="00766BB4">
        <w:t>.</w:t>
      </w:r>
      <w:r w:rsidR="00170E90" w:rsidRPr="00766BB4">
        <w:tab/>
        <w:t xml:space="preserve">mając na uwadze, że UE jest największym źródłem bezpośrednich inwestycji zagranicznych w Japonii, Republice Korei i na Tajwanie; </w:t>
      </w:r>
    </w:p>
    <w:p w14:paraId="1A7DD6DA" w14:textId="65BDAE1B" w:rsidR="00170E90" w:rsidRPr="00766BB4" w:rsidRDefault="00455537" w:rsidP="00170E90">
      <w:pPr>
        <w:pStyle w:val="NormalHanging12a"/>
        <w:rPr>
          <w:bCs/>
          <w:iCs/>
        </w:rPr>
      </w:pPr>
      <w:r>
        <w:t>AH</w:t>
      </w:r>
      <w:r w:rsidR="00170E90" w:rsidRPr="00766BB4">
        <w:t>.</w:t>
      </w:r>
      <w:r w:rsidR="00170E90" w:rsidRPr="00766BB4">
        <w:tab/>
        <w:t xml:space="preserve">mając na uwadze, że kompleksowe i progresywne porozumienie o partnerstwie transpacyficznym (CPTPP) stało się ważnymi, opartymi na zasadach ramami handlowymi w regionie </w:t>
      </w:r>
      <w:proofErr w:type="spellStart"/>
      <w:r w:rsidR="00170E90" w:rsidRPr="00766BB4">
        <w:t>Indo</w:t>
      </w:r>
      <w:proofErr w:type="spellEnd"/>
      <w:r w:rsidR="00170E90" w:rsidRPr="00766BB4">
        <w:t>-Pacyfiku; mając na uwadze, że Japonia jest stroną CPTPP, a Republika Korei i Tajwan złożyły wnioski o przystąpienie do niego; mając na uwadze, że w listopadzie 2025 r. UE rozpoczęła dialog na temat handlu i inwestycji z państwami CPTPP;</w:t>
      </w:r>
    </w:p>
    <w:p w14:paraId="68A8340C" w14:textId="77777777" w:rsidR="00170E90" w:rsidRPr="00766BB4" w:rsidRDefault="00170E90" w:rsidP="00170E90">
      <w:pPr>
        <w:pStyle w:val="NormalHanging12a"/>
      </w:pPr>
      <w:r w:rsidRPr="00766BB4">
        <w:t>1.</w:t>
      </w:r>
      <w:r w:rsidRPr="00766BB4">
        <w:tab/>
        <w:t>zaleca Radzie, Komisji i wiceprzewodniczącej Komisji / wysokiej przedstawicielce Unii do spraw zagranicznych i polityki bezpieczeństwa, by:</w:t>
      </w:r>
    </w:p>
    <w:p w14:paraId="17E19BCF" w14:textId="77777777" w:rsidR="00170E90" w:rsidRPr="00766BB4" w:rsidRDefault="00170E90" w:rsidP="00170E90">
      <w:pPr>
        <w:pStyle w:val="NormalHangingLeft12a"/>
        <w:rPr>
          <w:bCs/>
          <w:iCs/>
        </w:rPr>
      </w:pPr>
      <w:r w:rsidRPr="00766BB4">
        <w:t>a)</w:t>
      </w:r>
      <w:r w:rsidRPr="00766BB4">
        <w:tab/>
        <w:t xml:space="preserve">zintensyfikowali ukierunkowanie strategiczne na Azję Wschodnią, jak również obecność i widoczność UE w tym regionie oraz dialog i współpracę z nim, w tym przez działania dyplomatyczne, współpracę w dziedzinie bezpieczeństwa, kontakty międzyludzkie i partnerstwa gospodarcze, tak aby unikać dynamiki konfrontacji opartej na blokach oraz wspierać pokój, stabilność regionalną, bezpieczeństwo, dobrobyt i zrównoważony rozwój, a wszystko to w oparciu o propagowanie demokracji, multilateralizmu, praworządności, praw człowieka, systemu handlu opartego na zasadach, integralności terytorialnej i prawa </w:t>
      </w:r>
      <w:r w:rsidRPr="00766BB4">
        <w:lastRenderedPageBreak/>
        <w:t xml:space="preserve">międzynarodowego; w tym kontekście współpracowali z Japonią nad jej koncepcją wolnego i otwartego regionu </w:t>
      </w:r>
      <w:proofErr w:type="spellStart"/>
      <w:r w:rsidRPr="00766BB4">
        <w:t>Indo</w:t>
      </w:r>
      <w:proofErr w:type="spellEnd"/>
      <w:r w:rsidRPr="00766BB4">
        <w:t>-Pacyfiku; wzmocnili współpracę, koordynację i dialog z partnerami o zbieżnych poglądach w Azji Wschodniej, w pełni wykorzystując ich wiedzę i doświadczenie regionalne, aby zapewnić bardziej skuteczne, spójne i dostosowane do kontekstu podejście do pokoju, bezpieczeństwa i stabilności w Azji Wschodniej;</w:t>
      </w:r>
    </w:p>
    <w:p w14:paraId="452319CF" w14:textId="77777777" w:rsidR="00170E90" w:rsidRPr="00766BB4" w:rsidRDefault="00170E90" w:rsidP="00170E90">
      <w:pPr>
        <w:pStyle w:val="NormalHangingLeft12a"/>
        <w:rPr>
          <w:bCs/>
          <w:iCs/>
        </w:rPr>
      </w:pPr>
      <w:r w:rsidRPr="00766BB4">
        <w:t>b)</w:t>
      </w:r>
      <w:r w:rsidRPr="00766BB4">
        <w:tab/>
        <w:t xml:space="preserve">wzmocnili prognozy strategiczne i planowanie </w:t>
      </w:r>
      <w:proofErr w:type="spellStart"/>
      <w:r w:rsidRPr="00766BB4">
        <w:t>ewentualnościowe</w:t>
      </w:r>
      <w:proofErr w:type="spellEnd"/>
      <w:r w:rsidRPr="00766BB4">
        <w:t xml:space="preserve"> między UE a jej partnerami z Azji Wschodniej w celu opracowania wspólnej oceny zagrożeń dla bezpieczeństwa regionalnego i koordynacji środków odstraszających, co będzie chronić pokój i stabilność w regionie i przyczyniać się do nich oraz aktywnie zniechęcać do jednostronnych prób zmiany status quo w regionie przy użyciu siły lub przymusu;</w:t>
      </w:r>
    </w:p>
    <w:p w14:paraId="6EA1EA38" w14:textId="77777777" w:rsidR="00170E90" w:rsidRPr="00766BB4" w:rsidRDefault="00170E90" w:rsidP="00170E90">
      <w:pPr>
        <w:pStyle w:val="NormalHangingLeft12a"/>
        <w:rPr>
          <w:bCs/>
          <w:iCs/>
        </w:rPr>
      </w:pPr>
      <w:r w:rsidRPr="00766BB4">
        <w:t>c)</w:t>
      </w:r>
      <w:r w:rsidRPr="00766BB4">
        <w:tab/>
        <w:t xml:space="preserve">wyrazili zadowolenie ze znacznych postępów dyplomatycznych poczynionych przez rządy Japonii i Republiki Korei w tworzeniu przyszłościowego i odpornego partnerstwa, jako że taka wzmocniona współpraca między Japonią a Republiką Korei ma zasadnicze znaczenie dla utrzymania międzynarodowego porządku opartego na zasadach i zapewnienia stabilności w całym regionie </w:t>
      </w:r>
      <w:proofErr w:type="spellStart"/>
      <w:r w:rsidRPr="00766BB4">
        <w:t>Indo</w:t>
      </w:r>
      <w:proofErr w:type="spellEnd"/>
      <w:r w:rsidRPr="00766BB4">
        <w:t xml:space="preserve">-Pacyfiku; </w:t>
      </w:r>
    </w:p>
    <w:p w14:paraId="54A3663F" w14:textId="77777777" w:rsidR="00170E90" w:rsidRPr="00766BB4" w:rsidRDefault="00170E90" w:rsidP="00170E90">
      <w:pPr>
        <w:pStyle w:val="NormalHangingLeft12a"/>
        <w:rPr>
          <w:bCs/>
          <w:iCs/>
        </w:rPr>
      </w:pPr>
      <w:r w:rsidRPr="00766BB4">
        <w:t>d)</w:t>
      </w:r>
      <w:r w:rsidRPr="00766BB4">
        <w:tab/>
        <w:t>wzmocnili strategiczną autonomię i bezpieczeństwo gospodarcze UE za pomocą dywersyfikacji handlu i inwestycji, bezpiecznych i przewidywalnych łańcuchów dostaw, otwartych rynków i przepływów handlowych oraz pogłębionej współpracy z partnerami o zbieżnych poglądach w Azji Wschodniej, przy zapewnieniu wzajemnych korzyści i tworzeniu wartości dodanej na poziomie lokalnym oraz przestrzeganiu zobowiązania UE do prowadzenia sprawiedliwego i zrównoważonego handlu;</w:t>
      </w:r>
    </w:p>
    <w:p w14:paraId="1B965B20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e)</w:t>
      </w:r>
      <w:r w:rsidRPr="00766BB4">
        <w:tab/>
        <w:t xml:space="preserve">pogłębili współpracę z partnerami w regionie o zbieżnych poglądach, w szczególności z Japonią, Republiką Korei i Tajwanem oraz państwami ASEAN nad stawianiem czoła wspólnym wyzwaniom w takich obszarach jak wymuszenia gospodarcze, arbitralne środki kontroli wywozu, w tym ograniczenia wywozowe dotyczące produktów podwójnego zastosowania skierowane przeciwko Japonii, polityki i praktyki nierynkowe, odporność demokratyczna, transformacja ekologiczna, </w:t>
      </w:r>
      <w:proofErr w:type="spellStart"/>
      <w:r w:rsidRPr="00766BB4">
        <w:t>cyberbezpieczeństwo</w:t>
      </w:r>
      <w:proofErr w:type="spellEnd"/>
      <w:r w:rsidRPr="00766BB4">
        <w:t xml:space="preserve">, zagrożenia hybrydowe, w tym zagraniczne manipulacje informacjami i ingerencje w informacje, ochrona infrastruktury krytycznej, w tym kabli podmorskich oraz centrów portowych i logistycznych, bezpieczeństwo morskie i kosmiczne, nieproliferacja i nowe technologie obronne, w tym zaawansowane technologie dronów, a jednocześnie wzmocnili synergie z kluczowymi partnerami i organizacjami regionalnymi przy pełnym poszanowaniu Karty Narodów Zjednoczonych; opracowali i wdrożyli wspólne inicjatywy mające wzmocnić strategiczną autonomię stron oraz zmniejszyć zależności od Chin; podkreślili znaczenie silnych instytucji i dynamicznych demokracji Japonii, Republiki Korei i Tajwanu w szerszym kontekście regionalnym, jako że stanowią one kluczową przeciwwagę w regionie; </w:t>
      </w:r>
    </w:p>
    <w:p w14:paraId="7232A51A" w14:textId="77777777" w:rsidR="00170E90" w:rsidRPr="00766BB4" w:rsidRDefault="00170E90" w:rsidP="00170E90">
      <w:pPr>
        <w:pStyle w:val="NormalHanging12a"/>
        <w:ind w:left="1134"/>
      </w:pPr>
      <w:r w:rsidRPr="00766BB4">
        <w:t>f)</w:t>
      </w:r>
      <w:r w:rsidRPr="00766BB4">
        <w:tab/>
        <w:t>utrzymywali – w koordynacji z partnerami o zbieżnych poglądach – otwarte kanały dialogu i opartego na zasadach zaangażowania z innymi globalnymi podmiotami w Azji Wschodniej, tak aby stawiać czoła wspólnym globalnym wyzwaniom;</w:t>
      </w:r>
    </w:p>
    <w:p w14:paraId="1BF4C56B" w14:textId="77777777" w:rsidR="00170E90" w:rsidRPr="00766BB4" w:rsidRDefault="00170E90" w:rsidP="00170E90">
      <w:pPr>
        <w:pStyle w:val="NormalHanging12a"/>
        <w:ind w:left="1134"/>
      </w:pPr>
      <w:r w:rsidRPr="00766BB4">
        <w:lastRenderedPageBreak/>
        <w:t>g)</w:t>
      </w:r>
      <w:r w:rsidRPr="00766BB4">
        <w:tab/>
        <w:t xml:space="preserve">potwierdzili, jak ważne jest przestrzeganie prawa międzynarodowego dla propagowania pokoju i dobrobytu w wolnym i otwartym regionie </w:t>
      </w:r>
      <w:proofErr w:type="spellStart"/>
      <w:r w:rsidRPr="00766BB4">
        <w:t>Indo</w:t>
      </w:r>
      <w:proofErr w:type="spellEnd"/>
      <w:r w:rsidRPr="00766BB4">
        <w:t xml:space="preserve">-Pacyfiku; aktywnie propagowali poszanowanie i powszechne stosowanie UNCLOS jako uniwersalnych ram prawnych regulujących działalność morską, w tym orzeczenia arbitrażowego w sprawie Morza Południowochińskiego z 2016 r., oraz sprzeciwiali się jednostronnym działaniom lub roszczeniom, które nie są zgodne z prawem międzynarodowym; </w:t>
      </w:r>
    </w:p>
    <w:p w14:paraId="18464DCD" w14:textId="77777777" w:rsidR="00170E90" w:rsidRPr="00766BB4" w:rsidRDefault="00170E90" w:rsidP="00170E90">
      <w:pPr>
        <w:pStyle w:val="NormalHanging12a"/>
        <w:ind w:left="1134"/>
      </w:pPr>
      <w:r w:rsidRPr="00766BB4">
        <w:t>h)</w:t>
      </w:r>
      <w:r w:rsidRPr="00766BB4">
        <w:tab/>
        <w:t>ułatwiali zorganizowaną współpracę wojskowo-przemysłową z partnerami o zbieżnych poglądach oraz ustanowili odpowiednie partnerstwa w dziedzinie bezpieczeństwa, które koncentrowałyby się na interoperacyjności, wspólnym rozwoju i zamówieniach technologii obronnych, bezpieczeństwie łańcuchów dostaw oraz wspólnych badaniach naukowych i rozwoju w dziedzinie lotnictwa i dronów, z uwzględnieniem również wkładu systemów opartych na sztucznej inteligencji;</w:t>
      </w:r>
    </w:p>
    <w:p w14:paraId="5C23603A" w14:textId="77777777" w:rsidR="00170E90" w:rsidRPr="00766BB4" w:rsidRDefault="00170E90" w:rsidP="00170E90">
      <w:pPr>
        <w:pStyle w:val="NormalHanging12a"/>
        <w:ind w:left="1134"/>
      </w:pPr>
      <w:r w:rsidRPr="00766BB4">
        <w:t>i)</w:t>
      </w:r>
      <w:r w:rsidRPr="00766BB4">
        <w:tab/>
        <w:t>nadal pragmatycznie współpracowali z Chinami nad rozwiązaniem globalnych wyzwań, a jednocześnie wzmacniali koordynację z partnerami o zbieżnych poglądach w kwestiach bezpieczeństwa w świetle coraz bardziej kluczowej roli Chin w zapewnieniu pokoju i stabilności na świecie, szczególnie w kontekście wojny napastniczej Rosji przeciwko Ukrainie oraz trwającej niestabilności na Bliskim Wschodzie;</w:t>
      </w:r>
    </w:p>
    <w:p w14:paraId="542F7819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j)</w:t>
      </w:r>
      <w:r w:rsidRPr="00766BB4">
        <w:tab/>
        <w:t xml:space="preserve">zintensyfikowali współpracę nad bezpiecznymi, zrównoważonymi i zróżnicowanymi łańcuchami dostaw półprzewodników, baterii i surowców krytycznych, w tym przez zapewnienie ich identyfikowalności, recykling, obieg zamknięty oraz wysokie normy środowiskowe i normy pracy, a także w koordynacji z partnerami o zbieżnych poglądach w ramach odpowiednich inicjatyw wielostronnych; </w:t>
      </w:r>
    </w:p>
    <w:p w14:paraId="3C1F278E" w14:textId="77777777" w:rsidR="00170E90" w:rsidRPr="00766BB4" w:rsidRDefault="00170E90" w:rsidP="00170E90">
      <w:pPr>
        <w:pStyle w:val="NormalHanging12a"/>
        <w:ind w:left="1134"/>
      </w:pPr>
      <w:r w:rsidRPr="00766BB4">
        <w:t>k)</w:t>
      </w:r>
      <w:r w:rsidRPr="00766BB4">
        <w:tab/>
        <w:t>rozwijali umowę o partnerstwie strategicznym oraz partnerstwo w dziedzinie bezpieczeństwa i obrony między UE a Japonią; zachęcali do ściślejszej współpracy w kwestiach dotyczących przemysłu obronnego, w tym wzajemnego zaangażowania w inicjatywy obronne, postępów w zakresie umowy o bezpieczeństwie informacji oraz dalszego dialogu między UE a Japonią na temat przemysłu obronnego, tak aby wzmocnić odporność, interoperacyjność i innowacje w łańcuchu dostaw; zintensyfikowali konkretne wspólne działania w ramach sojuszu na rzecz konkurencyjności, zielonego sojuszu, partnerstwa cyfrowego i dialogów energetycznych oraz dalej rozszerzali dialog gospodarczy wysokiego szczebla między UE a Japonią i wzmacniali strategiczną współpracę gospodarczą między obiema stronami; przyspieszyli wdrażanie sojuszu na rzecz konkurencyjności UE–Japonia;</w:t>
      </w:r>
    </w:p>
    <w:p w14:paraId="123D4F93" w14:textId="77777777" w:rsidR="00170E90" w:rsidRPr="00766BB4" w:rsidRDefault="00170E90" w:rsidP="00170E90">
      <w:pPr>
        <w:pStyle w:val="NormalHanging12a"/>
        <w:ind w:left="1134"/>
      </w:pPr>
      <w:r w:rsidRPr="00766BB4">
        <w:t>l)</w:t>
      </w:r>
      <w:r w:rsidRPr="00766BB4">
        <w:tab/>
        <w:t xml:space="preserve">podkreślili, że partnerstwo UE–Japonia jest partnerstwem między stronami o wyjątkowo zbieżnych poglądach, opartym na wspólnych wartościach, demokracji, wolnym handlu i wzajemnie zgodnych interesach; zwracali uwagę znaczenie dalszego pogłębiania i poszerzania tego partnerstwa zarówno w kontekście dwustronnym, jak i wielostronnym; akcentowali fakt, że UE i Japonia odpowiadają razem za prawie 25 % światowego produktu krajowego brutto (PKB), a partnerstwo między nimi może i powinno odgrywać kluczową rolę w kształtowania pokojowego, opartego na zasadach, </w:t>
      </w:r>
      <w:proofErr w:type="spellStart"/>
      <w:r w:rsidRPr="00766BB4">
        <w:t>inkluzywnego</w:t>
      </w:r>
      <w:proofErr w:type="spellEnd"/>
      <w:r w:rsidRPr="00766BB4">
        <w:t xml:space="preserve">, sprawiedliwego, </w:t>
      </w:r>
      <w:r w:rsidRPr="00766BB4">
        <w:lastRenderedPageBreak/>
        <w:t xml:space="preserve">zrównoważonego i dostatniego porządku międzynarodowego; wyrazili zadowolenie z pomocy finansowej, technicznej, humanitarnej i w dziedzinie bezpieczeństwa, jakiej Japonia udziela Ukrainie od początku </w:t>
      </w:r>
      <w:proofErr w:type="spellStart"/>
      <w:r w:rsidRPr="00766BB4">
        <w:t>pełnoskalowej</w:t>
      </w:r>
      <w:proofErr w:type="spellEnd"/>
      <w:r w:rsidRPr="00766BB4">
        <w:t xml:space="preserve"> inwazji Rosji w 2022 r.;</w:t>
      </w:r>
    </w:p>
    <w:p w14:paraId="55227DD6" w14:textId="77777777" w:rsidR="00170E90" w:rsidRPr="00766BB4" w:rsidRDefault="00170E90" w:rsidP="00170E90">
      <w:pPr>
        <w:pStyle w:val="NormalHanging12a"/>
        <w:ind w:left="1134"/>
      </w:pPr>
      <w:r w:rsidRPr="00766BB4">
        <w:t>m)</w:t>
      </w:r>
      <w:r w:rsidRPr="00766BB4">
        <w:tab/>
        <w:t xml:space="preserve">przyspieszyli wdrażanie partnerstwa w dziedzinie bezpieczeństwa i obrony między UE a Republiką Korei przez wspieranie praktycznej współpracy w dziedzinie bezpieczeństwa morskiego, nieproliferacji, </w:t>
      </w:r>
      <w:proofErr w:type="spellStart"/>
      <w:r w:rsidRPr="00766BB4">
        <w:t>cyberbezpieczeństwa</w:t>
      </w:r>
      <w:proofErr w:type="spellEnd"/>
      <w:r w:rsidRPr="00766BB4">
        <w:t>, zwalczania terroryzmu i zarządzania kryzysowego, w oparciu o już istniejące wspólne operacje i przy zbadaniu możliwości dalszej współpracy w ramach unijnego narzędzia skoordynowanej obecności na morzu; zainicjowali wspólny dialog między UE a Republiką Korei na temat przemysłu obronnego oraz wzmocnili koordynację na forach wielostronnych w celu utrzymania pokoju, powstrzymania prowokacji i promowania denuklearyzacji; nadal rozwijali udaną i wzajemnie korzystną współpracę w zakresie produktów obronnych między Republiką Korei a kilkoma państwami członkowskimi UE; zacieśnili współpracę między UE a Republiką Korei w celu zwiększenia wsparcia wojskowego i finansowego dla Ukrainy;</w:t>
      </w:r>
    </w:p>
    <w:p w14:paraId="274266DE" w14:textId="77777777" w:rsidR="00170E90" w:rsidRPr="00766BB4" w:rsidRDefault="00170E90" w:rsidP="00170E90">
      <w:pPr>
        <w:pStyle w:val="NormalHanging12a"/>
        <w:ind w:left="1134"/>
      </w:pPr>
      <w:r w:rsidRPr="00766BB4">
        <w:t>n)</w:t>
      </w:r>
      <w:r w:rsidRPr="00766BB4">
        <w:tab/>
        <w:t>wyrazili zadowolenie ze współpracy Republiki Korei z UE w dziedzinie wspólnych zagrożeń związanych z bezpieczeństwem gospodarczym; podkreślili, że Republika Korei pozostaje kluczowym partnerem we wszelkich działaniach na rzecz ograniczania ryzyka i wybierania łańcuchów dostaw obejmujących tylko zaprzyjaźnione państwa, w szczególności w dziedzinie handlu; wezwali Specjalny Komitet ds. Pojawiających się Kwestii Handlowych i Gospodarczych, nowo utworzony na mocy umowy o wolnym handlu między UE a Republiką Korei, do przyspieszenia współpracy, w szczególności w kwestiach istotnych dla bezpieczeństwa gospodarczego, takich jak krytyczne łańcuchy dostaw i nadwyżka mocy produkcyjnych;</w:t>
      </w:r>
    </w:p>
    <w:p w14:paraId="39710A3F" w14:textId="77777777" w:rsidR="00170E90" w:rsidRPr="00766BB4" w:rsidRDefault="00170E90" w:rsidP="00170E90">
      <w:pPr>
        <w:pStyle w:val="NormalHanging12a"/>
        <w:ind w:left="1134"/>
      </w:pPr>
      <w:r w:rsidRPr="00766BB4">
        <w:t>o)</w:t>
      </w:r>
      <w:r w:rsidRPr="00766BB4">
        <w:tab/>
        <w:t>kontynuowali współprace z partnerami o zbieżnych poglądach w Azji Wschodniej nad rozwiązaniem problemu rosnącego zaangażowania Rosji w KRLD – w tym jej wsparcia dla zwiększenia zdolności KRLD w zakresie broni jądrowej i rakietowych pocisków balistycznych oraz niechęci Chin do zapobiegania temu – a także nad odpowiedzią na rosnące powiązania między programami jądrowymi KRLD i Iranu, podkreślając, że zaangażowanie to pogarsza napięte otoczenie geopolityczne na Półwyspie Koreańskim; zacieśnili współpracę z Republiką Korei nad przeciwdziałaniem kampaniom dezinformacyjnym w procesach wyborczych oraz ochroną infrastruktury wyborczej przed cyberatakami;</w:t>
      </w:r>
    </w:p>
    <w:p w14:paraId="40A2E42F" w14:textId="77777777" w:rsidR="00170E90" w:rsidRPr="00766BB4" w:rsidRDefault="00170E90" w:rsidP="00170E90">
      <w:pPr>
        <w:pStyle w:val="NormalHanging12a"/>
        <w:ind w:left="1134"/>
      </w:pPr>
      <w:r w:rsidRPr="00766BB4">
        <w:t>p)</w:t>
      </w:r>
      <w:r w:rsidRPr="00766BB4">
        <w:tab/>
        <w:t xml:space="preserve">pochwalili działania Republiki Korei na rzecz wznowienia dialogu z KRLD przez proaktywne działania na rzecz złagodzenia napięć i budowania zaufania; wezwali KRLD do natychmiastowego zaprzestania wszelkich działań wojskowych i prowokacji oraz rozwoju potencjału jądrowego oraz potencjału w zakresie pocisków balistycznych; zdecydowane potępili szkodliwe działania KRLD w cyberprzestrzeni, w tym kradzież </w:t>
      </w:r>
      <w:proofErr w:type="spellStart"/>
      <w:r w:rsidRPr="00766BB4">
        <w:t>kryptowalut</w:t>
      </w:r>
      <w:proofErr w:type="spellEnd"/>
      <w:r w:rsidRPr="00766BB4">
        <w:t xml:space="preserve"> i inne formy cyberprzestępczości, oraz skuteczne przeciwdziałali tym działaniom; zaapelowali do KRLD, by umożliwiała dostęp organizacjom pomocy humanitarnej, by szanowała prawa człowieka, a w szczególności by natychmiast rozwiązała problem uprowadzeń; wezwali Rosję i KRLD do pełnego przestrzegania Karty Narodów Zjednoczonych i rezolucji Rady Bezpieczeństwa ONZ, w tym dotyczących całkowitej </w:t>
      </w:r>
      <w:r w:rsidRPr="00766BB4">
        <w:lastRenderedPageBreak/>
        <w:t>denuklearyzacji KRLD; potępili zaangażowanie KRLD w napaść Rosji na Ukrainę, w tym wysłanie przed nią personelu i sprzętu wojskowego na terytorium Ukrainy; opracowali politykę UE wobec Korei Północnej, uwzględniającej wiedzę fachową, potrzeby w dziedzinie bezpieczeństwa oraz uzasadnione obawy partnerów o zbieżnych poglądach w regionie, w szczególności tych znajdujących się w bliskim sąsiedztwie geograficznym KRLD, zwłaszcza Korei Południowej i Japonii;</w:t>
      </w:r>
    </w:p>
    <w:p w14:paraId="4418BBFC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q)</w:t>
      </w:r>
      <w:r w:rsidRPr="00766BB4">
        <w:tab/>
        <w:t xml:space="preserve">ustanowili ustrukturyzowane i kompleksowe ramy współpracy UE–Tajwan w oparciu o istniejące mechanizmy, takie jak dialog na temat handlu i inwestycji, z silnym komponentem gospodarczym i handlowym, w których nacisk zostanie położony na technologie krytyczne takie jak półprzewodniki i sztuczna inteligencja, odporność łańcuchów dostaw, </w:t>
      </w:r>
      <w:proofErr w:type="spellStart"/>
      <w:r w:rsidRPr="00766BB4">
        <w:t>cyberbezpieczeństwo</w:t>
      </w:r>
      <w:proofErr w:type="spellEnd"/>
      <w:r w:rsidRPr="00766BB4">
        <w:t>, przeciwdziałanie dezinformacji, bezpieczeństwo morskie, zdrowie publiczne, ochronę ludności i bezpieczną łączność, a także na odporność demokratyczną, społeczną i energetyczną oraz gotowość na wypadek klęsk żywiołowych; nadal wspierali znaczący udział Tajwanu w organizacjach wielostronnych i forach technicznych, takich jak WHO, Organizacja Międzynarodowego Lotnictwa Cywilnego oraz Ramowa konwencja ONZ w sprawie zmian klimatu; zintensyfikowali regularną wymianę informacji między UE a jej tajwańskimi odpowiednikami na temat istotnych kwestii bezpieczeństwa, bezpieczeństwa gospodarczego, elastyczności łańcuchów dostaw, integralności demokracji i uczciwości wyborów, ochrony infrastruktury krytycznej oraz współpracy w dziedzinie czystych technologii; wezwali władze chińskie do ścisłej koordynacji działań z innymi podmiotami regionalnymi, w tym z Tajwanem, w przypadku poważnych globalnych wyzwań zdrowotnych; podkreślili, że wszelkie próby wywierania wpływu na stosunki między UE a Tajwanem przez reżimy autorytarne są niedopuszczalne;</w:t>
      </w:r>
    </w:p>
    <w:p w14:paraId="03F09562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r)</w:t>
      </w:r>
      <w:r w:rsidRPr="00766BB4">
        <w:tab/>
        <w:t xml:space="preserve">podkreślili, że Tajwan jest kluczowym partnerem demokratycznym UE w regionie </w:t>
      </w:r>
      <w:proofErr w:type="spellStart"/>
      <w:r w:rsidRPr="00766BB4">
        <w:t>Indo</w:t>
      </w:r>
      <w:proofErr w:type="spellEnd"/>
      <w:r w:rsidRPr="00766BB4">
        <w:t>-Pacyfiku; dodatkowo pogłębili dialog na temat handlu i inwestycji między UE a Tajwanem w celu usunięcia barier w dostępie do rynku i zwiększenia pewności prawa dla inwestorów z UE; rozważyli rozpoczęcie negocjacji w sprawie dwustronnej umowy inwestycyjnej między UE a Tajwanem lub innych umów ramowych dotyczących handlu; potwierdzili znaczenie Tajwanu dla zabezpieczania globalnych łańcuchów dostaw, zwłaszcza w sektorze zaawansowanych technologii, oraz wezwali UE i jej państwa członkowskie do ściślejszej współpracy z Tajwanem w celu dalszego zacieśniania więzi gospodarczych, handlowych i inwestycyjnych; zauważyli, że Tajwan ma doświadczenie w zarządzaniu ekspozycją gospodarczą wobec Chin, oraz dostrzegli jego mocne strony w dziedzinie demokratycznych rządów, przejrzystych standardów regulacyjnych oraz odpornych ekosystemów cyfrowych i technologicznych;</w:t>
      </w:r>
    </w:p>
    <w:p w14:paraId="3F9F741E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s)</w:t>
      </w:r>
      <w:r w:rsidRPr="00766BB4">
        <w:tab/>
        <w:t xml:space="preserve">raz jeszcze podkreślili znaczenie pokoju i stabilności w Cieśninie Tajwańskiej, nie zgadzając się na jakiekolwiek przymusowe i jednostronne zmiany status quo; zagwarantowali, za pomocą jasnych i skoordynowanych wspólnych komunikatów z państwami członkowskimi i partnerami o zbieżnych poglądach, że takie działania pociągną za sobą znaczne koszty polityczne i gospodarcze; podkreślili, że wszelkie różnice należy rozwiązywać pokojowo poprzez dialog, zgodnie z prawem międzynarodowym i z poszanowaniem woli mieszkańców Tajwanu; </w:t>
      </w:r>
      <w:r w:rsidRPr="00766BB4">
        <w:lastRenderedPageBreak/>
        <w:t xml:space="preserve">zdecydowanie przypomnieli, że w regionie </w:t>
      </w:r>
      <w:proofErr w:type="spellStart"/>
      <w:r w:rsidRPr="00766BB4">
        <w:t>Indo</w:t>
      </w:r>
      <w:proofErr w:type="spellEnd"/>
      <w:r w:rsidRPr="00766BB4">
        <w:t>-Pacyfiku, w tym na Morzu Południowochińskim i w Cieśninie Tajwańskiej, należy przestrzegać swobody żeglugi i przelotu gwarantowanych przez prawo międzynarodowe; aktywnie angażowali się w działania dyplomatyczne mające zapobiegać dalszej eskalacji sytuacji w Cieśninie Tajwańskiej oraz na Morzu Wschodniochińskim i Południowochińskim; opracowali w trybie pilnym plany awaryjne i środki łagodzące oparte na prawdopodobnych scenariuszach eskalacji, w tym blokady morskiej Tajwanu przez Chińską Republikę Ludową;</w:t>
      </w:r>
    </w:p>
    <w:p w14:paraId="6336807B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t)</w:t>
      </w:r>
      <w:r w:rsidRPr="00766BB4">
        <w:tab/>
        <w:t xml:space="preserve">podkreślili znaczenie unijnych instrumentów bezpieczeństwa gospodarczego dla przeciwdziałania przymusowym praktykom gospodarczym i ochrony uczciwej konkurencji, w tym instrumentu chroniącego przed wymuszaniem, skutecznych mechanizmów monitorowania bezpośrednich inwestycji zagranicznych i systemów kontroli wywozu, w stosownych przypadkach i zgodnie z prawem UE; połączyli środki oddziaływania </w:t>
      </w:r>
      <w:proofErr w:type="spellStart"/>
      <w:r w:rsidRPr="00766BB4">
        <w:t>geoekonomicznego</w:t>
      </w:r>
      <w:proofErr w:type="spellEnd"/>
      <w:r w:rsidRPr="00766BB4">
        <w:t xml:space="preserve"> UE, w tym przez skoordynowaną kontrolę eksportu, wspólną ocenę ryzyka oraz zbiorowe reakcje na naciski gospodarcze, a tym samym przekształcili dwustronne zależności w skuteczne środki odstraszania i zwiększyli bezpieczeństwo gospodarcze UE i jej partnerów; </w:t>
      </w:r>
    </w:p>
    <w:p w14:paraId="3CEBE9DE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u)</w:t>
      </w:r>
      <w:r w:rsidRPr="00766BB4">
        <w:tab/>
        <w:t xml:space="preserve">przyspieszyli współpracę przez negocjowanie porozumień i inicjatyw trójstronnych lub czterostronnych w kwestiach będących przedmiotem wspólnego zainteresowania, które przyczyniają się do umacniania wielostronnego porządku międzynarodowego opartego na zasadach; rozwijali istniejące partnerstwa cyfrowe między UE a Japonią i między UE a Koreą Południową dzięki wspólnym zobowiązaniom w dziedzinie sztucznej inteligencji, półprzewodników, łączności nowej generacji, obliczeń kwantowych, zarządzania danymi, </w:t>
      </w:r>
      <w:proofErr w:type="spellStart"/>
      <w:r w:rsidRPr="00766BB4">
        <w:t>cyberbezpieczeństwa</w:t>
      </w:r>
      <w:proofErr w:type="spellEnd"/>
      <w:r w:rsidRPr="00766BB4">
        <w:t>, technologii baterii, kabli podmorskich, tożsamości cyfrowej i odporności łańcucha dostaw, wzmocnili ramy współpracy na rzecz rozwoju technologii obronnych;</w:t>
      </w:r>
    </w:p>
    <w:p w14:paraId="4177B4CD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v)</w:t>
      </w:r>
      <w:r w:rsidRPr="00766BB4">
        <w:tab/>
        <w:t>w pełni i skutecznie wdrożyli umowy handlowe z Japonią i Republiką Korei, w tym w takich dziedzinach jak dostęp do rynku, bariery pozataryfowe, zrównoważony rozwój i współpraca regulacyjna, a ponadto jeśli chodzi o Republikę Korei – zagwarantowali, że kraj ten wdroży podstawowe konwencje MOP; wspierali ściślejszą współpracę między małymi i średnimi przedsiębiorstwami (MŚP) w UE i w jej krajach partnerskich w Azji Wschodniej, tak aby promować wzajemne możliwości biznesowe, zwiększać dostęp do rynku wzmacniać sieci innowacji;</w:t>
      </w:r>
    </w:p>
    <w:p w14:paraId="285FFD6E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w)</w:t>
      </w:r>
      <w:r w:rsidRPr="00766BB4">
        <w:tab/>
        <w:t>dopilnowali, by przyszłe umowy gospodarcze lub sektorowe z partnerami o zbieżnych poglądach w regionie stanowiły partnerstwa korzystne dla obu stron, wykraczające poza cele gospodarcze i bezpieczeństwa, a także obejmowały zdecydowane zobowiązania dotyczące praw pracowniczych, ochrony środowiska oraz rozwoju ekologicznych i zrównoważonych łańcuchów wartości, zgodnie z ramami UE dotyczącymi handlu i zrównoważonego rozwoju; promowali w Azji Wschodniej kompleksową kampanię informacyjną na temat polityk Unii Europejskiej dotyczących sektora stalowego i proponowanego aktu w sprawie przyspieszenia rozwoju przemysłu</w:t>
      </w:r>
      <w:r w:rsidRPr="00766BB4">
        <w:rPr>
          <w:rStyle w:val="FootnoteReference"/>
          <w:bCs/>
          <w:iCs/>
        </w:rPr>
        <w:footnoteReference w:id="11"/>
      </w:r>
      <w:r w:rsidRPr="00766BB4">
        <w:t xml:space="preserve">, mającą na celu zwiększenie przejrzystości i </w:t>
      </w:r>
      <w:r w:rsidRPr="00766BB4">
        <w:lastRenderedPageBreak/>
        <w:t>świadomości celów UE wśród partnerów międzynarodowych; podkreślali znaczenie proaktywnego angażowania się w dialog z partnerami z Azji Wschodniej w celu uwzględnienia ich obaw, wspierania dialogu oraz zapobiegania potencjalnym nieporozumieniom w stosunkach handlowych i przemysłowych;</w:t>
      </w:r>
    </w:p>
    <w:p w14:paraId="058A4074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x)</w:t>
      </w:r>
      <w:r w:rsidRPr="00766BB4">
        <w:tab/>
        <w:t xml:space="preserve">zajęli się zgłoszonymi przypadkami obchodzenia sankcji przez Rosję za pośrednictwem jurysdykcji w Azji Wschodniej, w tym przekierowywaniem handlu w celu nabywania objętych sankcjami produktów podwójnego zastosowania, </w:t>
      </w:r>
      <w:proofErr w:type="spellStart"/>
      <w:r w:rsidRPr="00766BB4">
        <w:t>mikrochipów</w:t>
      </w:r>
      <w:proofErr w:type="spellEnd"/>
      <w:r w:rsidRPr="00766BB4">
        <w:t xml:space="preserve"> i maszyn przemysłowych za pośrednictwem podmiotów w regionie;</w:t>
      </w:r>
    </w:p>
    <w:p w14:paraId="23D74D4D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y)</w:t>
      </w:r>
      <w:r w:rsidRPr="00766BB4">
        <w:tab/>
        <w:t xml:space="preserve">zwiększyli zaangażowanie polityczne, gospodarcze i w dziedzinie bezpieczeństwa UE w całym regionie </w:t>
      </w:r>
      <w:proofErr w:type="spellStart"/>
      <w:r w:rsidRPr="00766BB4">
        <w:t>Indo</w:t>
      </w:r>
      <w:proofErr w:type="spellEnd"/>
      <w:r w:rsidRPr="00766BB4">
        <w:t xml:space="preserve">-Pacyfiku dzięki wzmocnionym partnerstwom ze wszystkimi podmiotami o zbieżnych poglądach oraz inicjatywom takim jak strategia Global Gateway przez promowanie dialogów na temat praw człowieka, zrównoważonego rozwoju i łączności, równości oraz wysokich standardów pracy; dostrzegli rosnącą zbieżność interesów strategicznych między regionem euroatlantyckim a regionem </w:t>
      </w:r>
      <w:proofErr w:type="spellStart"/>
      <w:r w:rsidRPr="00766BB4">
        <w:t>Indo</w:t>
      </w:r>
      <w:proofErr w:type="spellEnd"/>
      <w:r w:rsidRPr="00766BB4">
        <w:t xml:space="preserve">-Pacyfiku, z Japonią i Republiką Korei jako partnerami NATO w ramach IP4, co na co wskazuje np. niedawne utworzenie misji Japonii przy NATO; potwierdzili, że współpraca ta zwiększa wzajemną orientację sytuacyjną w zakresie zmian zachodzących w dziedzinie bezpieczeństwa w obu regionach; poparli ramy NATO IP4 jako istotny wkład we wzmocnienie bezpieczeństwa europejskiego oraz pogłębienie współpracy międzyregionalnej w sposób komplementarny i wzajemnie się wzmacniający; wzmocnili zaangażowanie UE i koordynację z kluczowymi regionalnymi inicjatywami bezpieczeństwa w regionie </w:t>
      </w:r>
      <w:proofErr w:type="spellStart"/>
      <w:r w:rsidRPr="00766BB4">
        <w:t>Indo</w:t>
      </w:r>
      <w:proofErr w:type="spellEnd"/>
      <w:r w:rsidRPr="00766BB4">
        <w:t xml:space="preserve">-Pacyfiku, w tym z czterostronnym dialogiem na temat bezpieczeństwa pomiędzy Stanami Zjednoczonymi, Australią, Indiami oraz Japonią; opracowali nową, kompleksową, spójną i elastyczną strategię dla regionu </w:t>
      </w:r>
      <w:proofErr w:type="spellStart"/>
      <w:r w:rsidRPr="00766BB4">
        <w:t>Indo</w:t>
      </w:r>
      <w:proofErr w:type="spellEnd"/>
      <w:r w:rsidRPr="00766BB4">
        <w:t>-Pacyfiku, mocno zakorzenioną w europejskich wartościach i interesach, a także w realiach, potrzebach i priorytetach tego regionu;</w:t>
      </w:r>
    </w:p>
    <w:p w14:paraId="15BD4E6E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z)</w:t>
      </w:r>
      <w:r w:rsidRPr="00766BB4">
        <w:tab/>
        <w:t xml:space="preserve">wykorzystali strategiczne położenie KTZ w regionie </w:t>
      </w:r>
      <w:proofErr w:type="spellStart"/>
      <w:r w:rsidRPr="00766BB4">
        <w:t>Indo</w:t>
      </w:r>
      <w:proofErr w:type="spellEnd"/>
      <w:r w:rsidRPr="00766BB4">
        <w:t>-Pacyfiku, tak aby mogły one służyć jako zaawansowane platformy współpracy z partnerami regionalnymi, w szczególności w dziedzinie handlu, łączności cyfrowej, infrastruktury krytycznej i działań w przestrzeni kosmicznej;</w:t>
      </w:r>
    </w:p>
    <w:p w14:paraId="1A768211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aa)</w:t>
      </w:r>
      <w:r w:rsidRPr="00766BB4">
        <w:tab/>
        <w:t xml:space="preserve">zwrócili uwagę na znaczącą rolę ASEAN w gwarantowaniu stabilności oraz wspieraniu integracji społecznej i gospodarczej; z zadowoleniem przyjęli rosnące zaangażowanie Japonii i Republiki Korei w prace ASEAN, w tym za pośrednictwem regularnych szczytów dwustronnych i wielostronnych; podkreślili kluczowe znaczenie ASEAM dla zapewnienia pokoju i dobrobytu regionu </w:t>
      </w:r>
      <w:proofErr w:type="spellStart"/>
      <w:r w:rsidRPr="00766BB4">
        <w:t>Indo</w:t>
      </w:r>
      <w:proofErr w:type="spellEnd"/>
      <w:r w:rsidRPr="00766BB4">
        <w:t xml:space="preserve">-Pacyfiku; zintensyfikowali zorganizowaną współpracę z ASEAN nad budowaniem integracyjnych regionalnych struktur bezpieczeństwa, koordynowania wielostronnych reakcji politycznych oraz dalszego umacniania obecności UE w regionie dzięki pogłębianiu współpracy z ASEAN i jego państwami członkowskimi, w tym za pomocą wzmocnionego dialogu w dziedzinie bezpieczeństwa i obrony z Wietnamem i Filipinami; zachęcali do wzmacniania roli i widoczności Unii w formatach regionalnych, w szczególności w ramach współpracy z ASEAN, oraz do uznania bezpieczeństwa morskiego, </w:t>
      </w:r>
      <w:proofErr w:type="spellStart"/>
      <w:r w:rsidRPr="00766BB4">
        <w:lastRenderedPageBreak/>
        <w:t>cyberbezpieczeństwa</w:t>
      </w:r>
      <w:proofErr w:type="spellEnd"/>
      <w:r w:rsidRPr="00766BB4">
        <w:t xml:space="preserve"> i zarządzania kryzysowego za priorytetowe obszary rozszerzonej współpracy, z wykorzystaniem takich inicjatyw jak ESIWA+, CRIMARIO II i projekty dotyczące globalnego bezpieczeństwa portów;</w:t>
      </w:r>
    </w:p>
    <w:p w14:paraId="4F68912E" w14:textId="77777777" w:rsidR="00170E90" w:rsidRPr="00766BB4" w:rsidRDefault="00170E90" w:rsidP="00170E90">
      <w:pPr>
        <w:pStyle w:val="NormalHanging12a"/>
        <w:ind w:left="1134"/>
      </w:pPr>
      <w:r w:rsidRPr="00766BB4">
        <w:t>ab)</w:t>
      </w:r>
      <w:r w:rsidRPr="00766BB4">
        <w:tab/>
        <w:t>rozszerzyli wspólne działania w zakresie nietradycyjnych zagrożeń bezpieczeństwach, takie jak poszukiwania i ratownictwo, reagowanie na katastrofy i incydenty środowiskowe; uruchomili ustrukturyzowaną inicjatywę na rzecz wzmocnienia ochrony i odporności krytycznej infrastruktury morskiej, w tym kabli podmorskich, rurociągów i portów; zwiększali morską orientacją sytuacyjną za pomocą ukierunkowanych działań na rzecz budowania zdolności, szkoleń, wykorzystania czujników i wymiany danych we współpracy ze strażą przybrzeżną ASEAN i regionalnymi ośrodkami syntezy informacji;</w:t>
      </w:r>
    </w:p>
    <w:p w14:paraId="799664BA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proofErr w:type="spellStart"/>
      <w:r w:rsidRPr="00766BB4">
        <w:t>ac</w:t>
      </w:r>
      <w:proofErr w:type="spellEnd"/>
      <w:r w:rsidRPr="00766BB4">
        <w:t>)</w:t>
      </w:r>
      <w:r w:rsidRPr="00766BB4">
        <w:tab/>
        <w:t xml:space="preserve">wspierali wzmacnianie kontaktów międzyludzkich za pośrednictwem ukierunkowanych programów mobilności dla naukowców, inżynierów i specjalistów w dziedzinie </w:t>
      </w:r>
      <w:proofErr w:type="spellStart"/>
      <w:r w:rsidRPr="00766BB4">
        <w:t>cyberbezpieczeństwa</w:t>
      </w:r>
      <w:proofErr w:type="spellEnd"/>
      <w:r w:rsidRPr="00766BB4">
        <w:t>, a także przez zorganizowane inicjatywy partnerstwa między europejskimi i wschodnioazjatyckimi ośrodkami innowacji; promowali lepsze wzajemne zrozumienie wspólnych wartości wśród studentów z obu regionów przez pogłębianie, rozszerzanie i wzmacnianie programów edukacyjnych, np. Erasmus+, we współpracy z partnerami o zbieżnych poglądach w regionie; pogłębili kontakty między parlamentami, urzędnikami służby cywilnej, władzami lokalnymi i społeczeństwem obywatelskim; zwiększyli wsparcie dla nauki języków, wymiany kulturalnej oraz inicjatyw młodzieżowych w celu zbudowania długoterminowej odporności społecznej i zaufania między obydwoma regionami;</w:t>
      </w:r>
    </w:p>
    <w:p w14:paraId="19A33DAA" w14:textId="77777777" w:rsidR="00170E90" w:rsidRPr="00766BB4" w:rsidRDefault="00170E90" w:rsidP="00170E90">
      <w:pPr>
        <w:pStyle w:val="NormalHanging12a"/>
        <w:ind w:left="1134"/>
        <w:rPr>
          <w:bCs/>
          <w:iCs/>
        </w:rPr>
      </w:pPr>
      <w:r w:rsidRPr="00766BB4">
        <w:t>ad)</w:t>
      </w:r>
      <w:r w:rsidRPr="00766BB4">
        <w:tab/>
        <w:t>rozszerzyli współpracę w ramach programu „Horyzont Europa” w celu wzmocnienia wzajemnie korzystnej współpracy w dziedzinie nauki i technologii, z zadowoleniem odnotowując fakt, że Republika Korei stała się pierwszym krajem azjatyckim, który w lipcu 2025 r. przystąpił do filaru II programu „Horyzont Europa”, oraz że w grudniu 2025 r. UE pomyślnie zakończyła negocjacje z Japonią w sprawie jej przystąpienia do programu „Horyzont Europa”; rozważyli rozpoczęcie negocjacji z Tajwanem w ramach programu „Horyzont Europa”; wzmacniali widoczność UE w całym regionie przez znaczącą dyplomację kulturową i publiczną;</w:t>
      </w:r>
    </w:p>
    <w:p w14:paraId="2681739B" w14:textId="77777777" w:rsidR="00170E90" w:rsidRPr="00766BB4" w:rsidRDefault="00170E90" w:rsidP="00170E90">
      <w:pPr>
        <w:pStyle w:val="NormalHanging12a"/>
        <w:rPr>
          <w:bCs/>
          <w:iCs/>
        </w:rPr>
      </w:pPr>
      <w:r w:rsidRPr="00766BB4">
        <w:t>2.</w:t>
      </w:r>
      <w:r w:rsidRPr="00766BB4">
        <w:tab/>
        <w:t xml:space="preserve">oczekuje pogłębienia dyplomacji parlamentarnej i wymiany międzyparlamentarnej ze Zgromadzeniem Narodowym Japonii, Zgromadzeniem Narodowym Republiki Korei i członkami tajwańskiego </w:t>
      </w:r>
      <w:proofErr w:type="spellStart"/>
      <w:r w:rsidRPr="00766BB4">
        <w:t>Yuanu</w:t>
      </w:r>
      <w:proofErr w:type="spellEnd"/>
      <w:r w:rsidRPr="00766BB4">
        <w:t xml:space="preserve"> Ustawodawczego w kwestiach będących przedmiotem wspólnego zainteresowania; jest głęboko przekonany, że wzmocnienie partnerstw strategicznych z Japonią i Republiką Korei w ostatnich latach powinno znaleźć odzwierciedlenie w zacieśnieniu więzi na poziomie międzyparlamentarnym; uważa, że na kompleksowy program współpracy z tymi dwoma krajami korzystnie wypłynęłyby regularne i ustrukturyzowane kontakty między parlamentarzystami; uważa ponadto, że należy rozważyć utworzenie wspólnej komisji parlamentarnej UE–Japonia oraz wspólnej komisji parlamentarnej UE–Republika Korei;</w:t>
      </w:r>
    </w:p>
    <w:p w14:paraId="4F3CDAC6" w14:textId="36528126" w:rsidR="00766BB4" w:rsidRPr="00766BB4" w:rsidRDefault="00170E90" w:rsidP="00766BB4">
      <w:pPr>
        <w:pStyle w:val="NormalHanging12a"/>
      </w:pPr>
      <w:r w:rsidRPr="00766BB4">
        <w:t>3.</w:t>
      </w:r>
      <w:r w:rsidRPr="00766BB4">
        <w:tab/>
        <w:t xml:space="preserve">zobowiązuje swoją przewodniczącą do przekazania niniejszego zalecenia Radzie, Komisji, wiceprzewodniczącej Komisji / wysokiej przedstawicielce Unii do spraw zagranicznych i polityki bezpieczeństwa, rządom i parlamentom państw członkowskich, rządom i parlamentom Japonii, Republiki Korei i Tajwanu, a także sekretariatowi i </w:t>
      </w:r>
      <w:r w:rsidRPr="00766BB4">
        <w:lastRenderedPageBreak/>
        <w:t>państwom członkowskim Stowarzyszenia Narodów Azji Południowo-Wschodniej.</w:t>
      </w:r>
    </w:p>
    <w:p w14:paraId="51C6548E" w14:textId="231BE81C" w:rsidR="00E365E1" w:rsidRPr="00766BB4" w:rsidRDefault="00E365E1" w:rsidP="00017CCB"/>
    <w:sectPr w:rsidR="00E365E1" w:rsidRPr="00766BB4" w:rsidSect="00766B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9A55" w14:textId="77777777" w:rsidR="00017CCB" w:rsidRPr="00766BB4" w:rsidRDefault="00017CCB">
      <w:r w:rsidRPr="00766BB4">
        <w:separator/>
      </w:r>
    </w:p>
  </w:endnote>
  <w:endnote w:type="continuationSeparator" w:id="0">
    <w:p w14:paraId="7B520462" w14:textId="77777777" w:rsidR="00017CCB" w:rsidRPr="00766BB4" w:rsidRDefault="00017CCB">
      <w:r w:rsidRPr="00766B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14F6" w14:textId="77777777" w:rsidR="00064002" w:rsidRPr="00766B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05980" w14:textId="77777777" w:rsidR="00064002" w:rsidRPr="00766B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77B3" w14:textId="77777777" w:rsidR="00064002" w:rsidRPr="00766B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220AE" w14:textId="77777777" w:rsidR="00017CCB" w:rsidRPr="00766BB4" w:rsidRDefault="00017CCB">
      <w:r w:rsidRPr="00766BB4">
        <w:separator/>
      </w:r>
    </w:p>
  </w:footnote>
  <w:footnote w:type="continuationSeparator" w:id="0">
    <w:p w14:paraId="6EF999E6" w14:textId="77777777" w:rsidR="00017CCB" w:rsidRPr="00766BB4" w:rsidRDefault="00017CCB">
      <w:r w:rsidRPr="00766BB4">
        <w:continuationSeparator/>
      </w:r>
    </w:p>
  </w:footnote>
  <w:footnote w:id="1">
    <w:p w14:paraId="4567A254" w14:textId="744A59A9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>Dz.U. L 216, 24.8.2018, s. 4, ELI: </w:t>
      </w:r>
      <w:hyperlink r:id="rId1" w:tooltip="Dostęp do dokumentu poprzez identyfikator URI w systemie ELI." w:history="1">
        <w:r w:rsidRPr="00766BB4">
          <w:rPr>
            <w:rStyle w:val="Hyperlink"/>
            <w:sz w:val="24"/>
            <w:lang w:val="pl-PL"/>
          </w:rPr>
          <w:t>http://data.europa.eu/eli/agree_internation/2018/1197/oj</w:t>
        </w:r>
      </w:hyperlink>
      <w:r w:rsidRPr="00766BB4">
        <w:rPr>
          <w:sz w:val="24"/>
          <w:lang w:val="pl-PL"/>
        </w:rPr>
        <w:t>.</w:t>
      </w:r>
    </w:p>
  </w:footnote>
  <w:footnote w:id="2">
    <w:p w14:paraId="33CB4DE1" w14:textId="410C6C30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>Dz.U. L 20 z 23.1.2013, s. 2.</w:t>
      </w:r>
    </w:p>
  </w:footnote>
  <w:footnote w:id="3">
    <w:p w14:paraId="197770A8" w14:textId="3F5E4ADE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 xml:space="preserve">Dz.U L 330 z 27.12.2018, s. 3, ELI: </w:t>
      </w:r>
      <w:r>
        <w:fldChar w:fldCharType="begin"/>
      </w:r>
      <w:r w:rsidRPr="001D72C1">
        <w:rPr>
          <w:lang w:val="pl-PL"/>
        </w:rPr>
        <w:instrText>HYPERLINK "http://data.europa.eu/eli/agree_internation/2018/1907/oj"</w:instrText>
      </w:r>
      <w:r>
        <w:fldChar w:fldCharType="separate"/>
      </w:r>
      <w:r w:rsidRPr="00766BB4">
        <w:rPr>
          <w:rStyle w:val="Hyperlink"/>
          <w:sz w:val="24"/>
          <w:lang w:val="pl-PL"/>
        </w:rPr>
        <w:t>http://data.europa.eu/eli/agree_internation/2018/1907/oj</w:t>
      </w:r>
      <w:r>
        <w:fldChar w:fldCharType="end"/>
      </w:r>
      <w:r w:rsidRPr="00766BB4">
        <w:rPr>
          <w:sz w:val="24"/>
          <w:lang w:val="pl-PL"/>
        </w:rPr>
        <w:t>.</w:t>
      </w:r>
    </w:p>
  </w:footnote>
  <w:footnote w:id="4">
    <w:p w14:paraId="16298E30" w14:textId="674669D9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>Dz.U. L 127 z 14.5.2011, s. 6, ELI: </w:t>
      </w:r>
      <w:r>
        <w:fldChar w:fldCharType="begin"/>
      </w:r>
      <w:r w:rsidRPr="001D72C1">
        <w:rPr>
          <w:lang w:val="pl-PL"/>
        </w:rPr>
        <w:instrText>HYPERLINK "http://data.europa.eu/eli/agree_internation/2011/265/oj" \o "Dostęp do dokumentu poprzez identyfikator URI w systemie ELI."</w:instrText>
      </w:r>
      <w:r>
        <w:fldChar w:fldCharType="separate"/>
      </w:r>
      <w:r w:rsidRPr="00766BB4">
        <w:rPr>
          <w:rStyle w:val="Hyperlink"/>
          <w:sz w:val="24"/>
          <w:lang w:val="pl-PL"/>
        </w:rPr>
        <w:t>http://data.europa.eu/eli/agree_internation/2011/265/oj</w:t>
      </w:r>
      <w:r>
        <w:fldChar w:fldCharType="end"/>
      </w:r>
      <w:r w:rsidRPr="00766BB4">
        <w:rPr>
          <w:sz w:val="24"/>
          <w:lang w:val="pl-PL"/>
        </w:rPr>
        <w:t>.</w:t>
      </w:r>
    </w:p>
  </w:footnote>
  <w:footnote w:id="5">
    <w:p w14:paraId="534080E8" w14:textId="2120BB1D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>Dz.U. C 493 z 27.12.2022, s. 32.</w:t>
      </w:r>
    </w:p>
  </w:footnote>
  <w:footnote w:id="6">
    <w:p w14:paraId="6C9E2A55" w14:textId="2BB9BD64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 xml:space="preserve">Dz.U. C, C/2024/4167, 2.8.2024, ELI: </w:t>
      </w:r>
      <w:r>
        <w:fldChar w:fldCharType="begin"/>
      </w:r>
      <w:r w:rsidRPr="001D72C1">
        <w:rPr>
          <w:lang w:val="pl-PL"/>
        </w:rPr>
        <w:instrText>HYPERLINK "http://data.europa.eu/eli/C/2024/4167/oj"</w:instrText>
      </w:r>
      <w:r>
        <w:fldChar w:fldCharType="separate"/>
      </w:r>
      <w:r w:rsidRPr="00766BB4">
        <w:rPr>
          <w:rStyle w:val="Hyperlink"/>
          <w:sz w:val="24"/>
          <w:lang w:val="pl-PL"/>
        </w:rPr>
        <w:t>http://data.europa.eu/eli/C/2024/4167/oj</w:t>
      </w:r>
      <w:r>
        <w:fldChar w:fldCharType="end"/>
      </w:r>
      <w:r w:rsidRPr="00766BB4">
        <w:rPr>
          <w:sz w:val="24"/>
          <w:lang w:val="pl-PL"/>
        </w:rPr>
        <w:t>.</w:t>
      </w:r>
    </w:p>
  </w:footnote>
  <w:footnote w:id="7">
    <w:p w14:paraId="0ACAE7DB" w14:textId="0AE88D9D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>Teksty przyjęte, P10_TA(2026)0012.</w:t>
      </w:r>
    </w:p>
  </w:footnote>
  <w:footnote w:id="8">
    <w:p w14:paraId="252D8278" w14:textId="498A11CC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 xml:space="preserve">Dz.U. C, C/2025/1809, 4.4.2025, ELI: </w:t>
      </w:r>
      <w:r>
        <w:fldChar w:fldCharType="begin"/>
      </w:r>
      <w:r w:rsidRPr="001D72C1">
        <w:rPr>
          <w:lang w:val="pl-PL"/>
        </w:rPr>
        <w:instrText>HYPERLINK "http://data.europa.eu/eli/C/2025/1809/oj"</w:instrText>
      </w:r>
      <w:r>
        <w:fldChar w:fldCharType="separate"/>
      </w:r>
      <w:r w:rsidRPr="00766BB4">
        <w:rPr>
          <w:rStyle w:val="Hyperlink"/>
          <w:sz w:val="24"/>
          <w:lang w:val="pl-PL"/>
        </w:rPr>
        <w:t>http://data.europa.eu/eli/C/2025/1809/oj</w:t>
      </w:r>
      <w:r>
        <w:fldChar w:fldCharType="end"/>
      </w:r>
      <w:r w:rsidRPr="00766BB4">
        <w:rPr>
          <w:sz w:val="24"/>
          <w:lang w:val="pl-PL"/>
        </w:rPr>
        <w:t>.</w:t>
      </w:r>
    </w:p>
  </w:footnote>
  <w:footnote w:id="9">
    <w:p w14:paraId="5DF2FB20" w14:textId="49E6D041" w:rsidR="00170E90" w:rsidRPr="001D72C1" w:rsidRDefault="00170E90" w:rsidP="00766BB4">
      <w:pPr>
        <w:pStyle w:val="FootnoteText"/>
        <w:ind w:left="567" w:hanging="567"/>
        <w:rPr>
          <w:sz w:val="24"/>
          <w:lang w:val="fi-FI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1D72C1">
        <w:rPr>
          <w:sz w:val="24"/>
          <w:lang w:val="fi-FI"/>
        </w:rPr>
        <w:t xml:space="preserve"> </w:t>
      </w:r>
      <w:r w:rsidR="00766BB4" w:rsidRPr="001D72C1">
        <w:rPr>
          <w:sz w:val="24"/>
          <w:lang w:val="fi-FI"/>
        </w:rPr>
        <w:tab/>
      </w:r>
      <w:r w:rsidRPr="001D72C1">
        <w:rPr>
          <w:sz w:val="24"/>
          <w:lang w:val="fi-FI"/>
        </w:rPr>
        <w:t xml:space="preserve">Dz.U. C, C/2025/487, 29.1.2025, ELI: </w:t>
      </w:r>
      <w:hyperlink r:id="rId2" w:history="1">
        <w:r w:rsidRPr="001D72C1">
          <w:rPr>
            <w:rStyle w:val="Hyperlink"/>
            <w:sz w:val="24"/>
            <w:lang w:val="fi-FI"/>
          </w:rPr>
          <w:t>http://data.europa.eu/eli/C/2025/487/oj</w:t>
        </w:r>
      </w:hyperlink>
      <w:r w:rsidRPr="001D72C1">
        <w:rPr>
          <w:sz w:val="24"/>
          <w:lang w:val="fi-FI"/>
        </w:rPr>
        <w:t>.</w:t>
      </w:r>
    </w:p>
  </w:footnote>
  <w:footnote w:id="10">
    <w:p w14:paraId="4D98EA0B" w14:textId="6C7A884F" w:rsidR="00170E90" w:rsidRPr="001D72C1" w:rsidRDefault="00170E90" w:rsidP="00766BB4">
      <w:pPr>
        <w:pStyle w:val="FootnoteText"/>
        <w:ind w:left="567" w:hanging="567"/>
        <w:rPr>
          <w:sz w:val="24"/>
          <w:lang w:val="fi-FI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1D72C1">
        <w:rPr>
          <w:sz w:val="24"/>
          <w:lang w:val="fi-FI"/>
        </w:rPr>
        <w:t xml:space="preserve"> </w:t>
      </w:r>
      <w:r w:rsidR="00766BB4" w:rsidRPr="001D72C1">
        <w:rPr>
          <w:sz w:val="24"/>
          <w:lang w:val="fi-FI"/>
        </w:rPr>
        <w:tab/>
      </w:r>
      <w:r w:rsidRPr="001D72C1">
        <w:rPr>
          <w:sz w:val="24"/>
          <w:lang w:val="fi-FI"/>
        </w:rPr>
        <w:t xml:space="preserve">Dz.U. C, C/2024/4174, 2.8.2024, ELI: </w:t>
      </w:r>
      <w:hyperlink r:id="rId3" w:history="1">
        <w:r w:rsidRPr="001D72C1">
          <w:rPr>
            <w:rStyle w:val="Hyperlink"/>
            <w:sz w:val="24"/>
            <w:lang w:val="fi-FI"/>
          </w:rPr>
          <w:t>http://data.europa.eu/eli/C/2024/4174/oj</w:t>
        </w:r>
      </w:hyperlink>
      <w:r w:rsidRPr="001D72C1">
        <w:rPr>
          <w:sz w:val="24"/>
          <w:lang w:val="fi-FI"/>
        </w:rPr>
        <w:t>.</w:t>
      </w:r>
    </w:p>
  </w:footnote>
  <w:footnote w:id="11">
    <w:p w14:paraId="7E5785A7" w14:textId="398B2439" w:rsidR="00170E90" w:rsidRPr="00766BB4" w:rsidRDefault="00170E90" w:rsidP="00766BB4">
      <w:pPr>
        <w:pStyle w:val="FootnoteText"/>
        <w:ind w:left="567" w:hanging="567"/>
        <w:rPr>
          <w:sz w:val="24"/>
          <w:lang w:val="pl-PL"/>
        </w:rPr>
      </w:pPr>
      <w:r w:rsidRPr="00766BB4">
        <w:rPr>
          <w:rStyle w:val="FootnoteReference"/>
          <w:sz w:val="24"/>
          <w:lang w:val="pl-PL"/>
        </w:rPr>
        <w:footnoteRef/>
      </w:r>
      <w:r w:rsidR="00766BB4" w:rsidRPr="00766BB4">
        <w:rPr>
          <w:sz w:val="24"/>
          <w:lang w:val="pl-PL"/>
        </w:rPr>
        <w:t xml:space="preserve"> </w:t>
      </w:r>
      <w:r w:rsidR="00766BB4" w:rsidRPr="00766BB4">
        <w:rPr>
          <w:sz w:val="24"/>
          <w:lang w:val="pl-PL"/>
        </w:rPr>
        <w:tab/>
      </w:r>
      <w:r w:rsidRPr="00766BB4">
        <w:rPr>
          <w:sz w:val="24"/>
          <w:lang w:val="pl-PL"/>
        </w:rPr>
        <w:t>COM(2026)0100.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4FAC" w14:textId="77777777" w:rsidR="00064002" w:rsidRPr="00766B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29A9" w14:textId="77777777" w:rsidR="00064002" w:rsidRPr="00766B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AD96" w14:textId="77777777" w:rsidR="00064002" w:rsidRPr="00766B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3892291">
    <w:abstractNumId w:val="9"/>
  </w:num>
  <w:num w:numId="2" w16cid:durableId="936863789">
    <w:abstractNumId w:val="9"/>
  </w:num>
  <w:num w:numId="3" w16cid:durableId="369846438">
    <w:abstractNumId w:val="7"/>
  </w:num>
  <w:num w:numId="4" w16cid:durableId="156725318">
    <w:abstractNumId w:val="7"/>
  </w:num>
  <w:num w:numId="5" w16cid:durableId="2010521653">
    <w:abstractNumId w:val="6"/>
  </w:num>
  <w:num w:numId="6" w16cid:durableId="229972821">
    <w:abstractNumId w:val="6"/>
  </w:num>
  <w:num w:numId="7" w16cid:durableId="1696151024">
    <w:abstractNumId w:val="5"/>
  </w:num>
  <w:num w:numId="8" w16cid:durableId="944312252">
    <w:abstractNumId w:val="5"/>
  </w:num>
  <w:num w:numId="9" w16cid:durableId="416560917">
    <w:abstractNumId w:val="4"/>
  </w:num>
  <w:num w:numId="10" w16cid:durableId="1832864920">
    <w:abstractNumId w:val="4"/>
  </w:num>
  <w:num w:numId="11" w16cid:durableId="2110545539">
    <w:abstractNumId w:val="8"/>
  </w:num>
  <w:num w:numId="12" w16cid:durableId="535315268">
    <w:abstractNumId w:val="8"/>
  </w:num>
  <w:num w:numId="13" w16cid:durableId="996113163">
    <w:abstractNumId w:val="3"/>
  </w:num>
  <w:num w:numId="14" w16cid:durableId="1938324768">
    <w:abstractNumId w:val="3"/>
  </w:num>
  <w:num w:numId="15" w16cid:durableId="561717483">
    <w:abstractNumId w:val="2"/>
  </w:num>
  <w:num w:numId="16" w16cid:durableId="468597139">
    <w:abstractNumId w:val="2"/>
  </w:num>
  <w:num w:numId="17" w16cid:durableId="1163622707">
    <w:abstractNumId w:val="1"/>
  </w:num>
  <w:num w:numId="18" w16cid:durableId="827786743">
    <w:abstractNumId w:val="1"/>
  </w:num>
  <w:num w:numId="19" w16cid:durableId="708146251">
    <w:abstractNumId w:val="0"/>
  </w:num>
  <w:num w:numId="20" w16cid:durableId="1821968755">
    <w:abstractNumId w:val="0"/>
  </w:num>
  <w:num w:numId="21" w16cid:durableId="292367174">
    <w:abstractNumId w:val="9"/>
  </w:num>
  <w:num w:numId="22" w16cid:durableId="1138911584">
    <w:abstractNumId w:val="7"/>
  </w:num>
  <w:num w:numId="23" w16cid:durableId="103308414">
    <w:abstractNumId w:val="6"/>
  </w:num>
  <w:num w:numId="24" w16cid:durableId="1778133034">
    <w:abstractNumId w:val="5"/>
  </w:num>
  <w:num w:numId="25" w16cid:durableId="816066390">
    <w:abstractNumId w:val="4"/>
  </w:num>
  <w:num w:numId="26" w16cid:durableId="709307035">
    <w:abstractNumId w:val="8"/>
  </w:num>
  <w:num w:numId="27" w16cid:durableId="1889761570">
    <w:abstractNumId w:val="3"/>
  </w:num>
  <w:num w:numId="28" w16cid:durableId="747851361">
    <w:abstractNumId w:val="2"/>
  </w:num>
  <w:num w:numId="29" w16cid:durableId="136188750">
    <w:abstractNumId w:val="1"/>
  </w:num>
  <w:num w:numId="30" w16cid:durableId="1512206">
    <w:abstractNumId w:val="0"/>
  </w:num>
  <w:num w:numId="31" w16cid:durableId="1553348701">
    <w:abstractNumId w:val="9"/>
  </w:num>
  <w:num w:numId="32" w16cid:durableId="1412656770">
    <w:abstractNumId w:val="7"/>
  </w:num>
  <w:num w:numId="33" w16cid:durableId="1594583298">
    <w:abstractNumId w:val="6"/>
  </w:num>
  <w:num w:numId="34" w16cid:durableId="440295710">
    <w:abstractNumId w:val="5"/>
  </w:num>
  <w:num w:numId="35" w16cid:durableId="581069215">
    <w:abstractNumId w:val="4"/>
  </w:num>
  <w:num w:numId="36" w16cid:durableId="119962025">
    <w:abstractNumId w:val="8"/>
  </w:num>
  <w:num w:numId="37" w16cid:durableId="1391345152">
    <w:abstractNumId w:val="3"/>
  </w:num>
  <w:num w:numId="38" w16cid:durableId="507064077">
    <w:abstractNumId w:val="2"/>
  </w:num>
  <w:num w:numId="39" w16cid:durableId="77606211">
    <w:abstractNumId w:val="1"/>
  </w:num>
  <w:num w:numId="40" w16cid:durableId="2096508515">
    <w:abstractNumId w:val="0"/>
  </w:num>
  <w:num w:numId="41" w16cid:durableId="996034684">
    <w:abstractNumId w:val="10"/>
  </w:num>
  <w:num w:numId="42" w16cid:durableId="1284728817">
    <w:abstractNumId w:val="10"/>
  </w:num>
  <w:num w:numId="43" w16cid:durableId="1737823056">
    <w:abstractNumId w:val="10"/>
  </w:num>
  <w:num w:numId="44" w16cid:durableId="1297864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PL"/>
    <w:docVar w:name="dvnumam" w:val="39"/>
    <w:docVar w:name="dvpe" w:val="776.904"/>
    <w:docVar w:name="dvrapporteur" w:val="Sprawozdawca: "/>
    <w:docVar w:name="dvtitre" w:val="Zalecenie Parlamentu Europejskiego dla Rady w sprawie zalecenia Parlamentu Europejskiego dla Rady, Komisji i Wiceprzewodniczącego Komisji / Wysokiego Przedstawiciela Unii do Spraw Zagranicznych i Polityki Bezpieczeństwa w sprawie zmieniającej się sytuacji geopolitycznej w Azji Wschodniej i potrzeby ściślejszej współpracy z partnerami o zbieżnych poglądach w regionie(2025/2169(INI))"/>
  </w:docVars>
  <w:rsids>
    <w:rsidRoot w:val="00017CCB"/>
    <w:rsid w:val="00002272"/>
    <w:rsid w:val="00017CCB"/>
    <w:rsid w:val="000440BE"/>
    <w:rsid w:val="00064002"/>
    <w:rsid w:val="000677B9"/>
    <w:rsid w:val="000831BA"/>
    <w:rsid w:val="000A42CC"/>
    <w:rsid w:val="000E7DD9"/>
    <w:rsid w:val="0010095E"/>
    <w:rsid w:val="00125B37"/>
    <w:rsid w:val="00170E90"/>
    <w:rsid w:val="00187494"/>
    <w:rsid w:val="001D72C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553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BB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EE1E92"/>
  <w15:chartTrackingRefBased/>
  <w15:docId w15:val="{AC1444F8-3F91-40A2-A91B-B4513EB2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0E90"/>
    <w:pPr>
      <w:spacing w:before="480" w:after="240"/>
    </w:pPr>
  </w:style>
  <w:style w:type="paragraph" w:customStyle="1" w:styleId="NormalHanging12a">
    <w:name w:val="NormalHanging12a"/>
    <w:basedOn w:val="Normal"/>
    <w:rsid w:val="00170E90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170E90"/>
    <w:pPr>
      <w:spacing w:after="240"/>
      <w:ind w:left="1134" w:hanging="567"/>
    </w:pPr>
  </w:style>
  <w:style w:type="character" w:styleId="Hyperlink">
    <w:name w:val="Hyperlink"/>
    <w:basedOn w:val="DefaultParagraphFont"/>
    <w:rsid w:val="00170E9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5553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74/oj" TargetMode="External"/><Relationship Id="rId2" Type="http://schemas.openxmlformats.org/officeDocument/2006/relationships/hyperlink" Target="http://data.europa.eu/eli/C/2025/487/oj" TargetMode="External"/><Relationship Id="rId1" Type="http://schemas.openxmlformats.org/officeDocument/2006/relationships/hyperlink" Target="http://data.europa.eu/eli/agree_internation/2018/1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6356</Words>
  <Characters>42636</Characters>
  <Application>Microsoft Office Word</Application>
  <DocSecurity>0</DocSecurity>
  <Lines>355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2004-11-19T15:42:00Z</cp:lastPrinted>
  <dcterms:created xsi:type="dcterms:W3CDTF">2026-07-07T15:34:00Z</dcterms:created>
  <dcterms:modified xsi:type="dcterms:W3CDTF">2026-07-07T16:06:00Z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