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E0EE6" w14:paraId="1D7E9E34" w14:textId="77777777" w:rsidTr="0010095E">
        <w:trPr>
          <w:trHeight w:hRule="exact" w:val="1418"/>
        </w:trPr>
        <w:tc>
          <w:tcPr>
            <w:tcW w:w="6804" w:type="dxa"/>
            <w:shd w:val="clear" w:color="auto" w:fill="auto"/>
            <w:vAlign w:val="center"/>
          </w:tcPr>
          <w:p w14:paraId="3B7329F4" w14:textId="77777777" w:rsidR="00751A4A" w:rsidRPr="006E0EE6" w:rsidRDefault="00016E5B" w:rsidP="0010095E">
            <w:pPr>
              <w:pStyle w:val="EPName"/>
            </w:pPr>
            <w:r w:rsidRPr="006E0EE6">
              <w:t>Parlamentul European</w:t>
            </w:r>
          </w:p>
          <w:p w14:paraId="4C1D5313" w14:textId="77777777" w:rsidR="00751A4A" w:rsidRPr="006E0EE6" w:rsidRDefault="005F1B17" w:rsidP="005F1B17">
            <w:pPr>
              <w:pStyle w:val="EPTerm"/>
              <w:rPr>
                <w:rStyle w:val="HideTWBExt"/>
                <w:noProof w:val="0"/>
                <w:vanish w:val="0"/>
                <w:color w:val="auto"/>
              </w:rPr>
            </w:pPr>
            <w:r w:rsidRPr="006E0EE6">
              <w:t>2024</w:t>
            </w:r>
            <w:r w:rsidR="00817416" w:rsidRPr="006E0EE6">
              <w:t>-202</w:t>
            </w:r>
            <w:r w:rsidRPr="006E0EE6">
              <w:t>9</w:t>
            </w:r>
          </w:p>
        </w:tc>
        <w:tc>
          <w:tcPr>
            <w:tcW w:w="2268" w:type="dxa"/>
            <w:shd w:val="clear" w:color="auto" w:fill="auto"/>
          </w:tcPr>
          <w:p w14:paraId="1C08ED26" w14:textId="77777777" w:rsidR="00751A4A" w:rsidRPr="006E0EE6" w:rsidRDefault="00187494" w:rsidP="0010095E">
            <w:pPr>
              <w:pStyle w:val="EPLogo"/>
            </w:pPr>
            <w:r w:rsidRPr="006E0EE6">
              <w:rPr>
                <w:noProof/>
                <w:lang w:eastAsia="ja-JP"/>
              </w:rPr>
              <w:drawing>
                <wp:inline distT="0" distB="0" distL="0" distR="0" wp14:anchorId="70C6E527" wp14:editId="1951ED0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D87EABD" w14:textId="77777777" w:rsidR="00D058B8" w:rsidRPr="006E0EE6" w:rsidRDefault="00D058B8" w:rsidP="004C5D52">
      <w:pPr>
        <w:pStyle w:val="LineTop"/>
      </w:pPr>
    </w:p>
    <w:p w14:paraId="024510D5" w14:textId="77777777" w:rsidR="00680577" w:rsidRPr="006E0EE6" w:rsidRDefault="00016E5B" w:rsidP="00680577">
      <w:pPr>
        <w:pStyle w:val="EPBodyTA1"/>
      </w:pPr>
      <w:r w:rsidRPr="006E0EE6">
        <w:t>TEXTE ADOPTATE</w:t>
      </w:r>
    </w:p>
    <w:p w14:paraId="2EA36963" w14:textId="77777777" w:rsidR="00D058B8" w:rsidRPr="006E0EE6" w:rsidRDefault="00D058B8" w:rsidP="00D058B8">
      <w:pPr>
        <w:pStyle w:val="LineBottom"/>
      </w:pPr>
    </w:p>
    <w:p w14:paraId="4E0EC2AC" w14:textId="62BE2C22" w:rsidR="00016E5B" w:rsidRPr="006E0EE6" w:rsidRDefault="00016E5B" w:rsidP="00016E5B">
      <w:pPr>
        <w:pStyle w:val="ATHeading1"/>
      </w:pPr>
      <w:bookmarkStart w:id="0" w:name="TANumber"/>
      <w:r w:rsidRPr="006E0EE6">
        <w:t>P10_TA(2026)0</w:t>
      </w:r>
      <w:bookmarkEnd w:id="0"/>
      <w:r w:rsidR="00E816B9" w:rsidRPr="006E0EE6">
        <w:t>246</w:t>
      </w:r>
    </w:p>
    <w:p w14:paraId="274F2ACF" w14:textId="77777777" w:rsidR="00016E5B" w:rsidRPr="006E0EE6" w:rsidRDefault="00016E5B" w:rsidP="00016E5B">
      <w:pPr>
        <w:pStyle w:val="ATHeading2"/>
      </w:pPr>
      <w:bookmarkStart w:id="1" w:name="title"/>
      <w:r w:rsidRPr="006E0EE6">
        <w:t>Recomandare privind situația geopolitică în schimbare din Asia de Est și necesitatea unei cooperări mai strânse cu partenerii regionali cu aceeași viziune</w:t>
      </w:r>
      <w:bookmarkEnd w:id="1"/>
    </w:p>
    <w:p w14:paraId="232A1760" w14:textId="77777777" w:rsidR="00016E5B" w:rsidRPr="006E0EE6" w:rsidRDefault="00016E5B" w:rsidP="00016E5B">
      <w:pPr>
        <w:rPr>
          <w:i/>
          <w:vanish/>
        </w:rPr>
      </w:pPr>
      <w:r w:rsidRPr="006E0EE6">
        <w:rPr>
          <w:i/>
        </w:rPr>
        <w:fldChar w:fldCharType="begin"/>
      </w:r>
      <w:r w:rsidRPr="006E0EE6">
        <w:rPr>
          <w:i/>
        </w:rPr>
        <w:instrText xml:space="preserve"> TC"(</w:instrText>
      </w:r>
      <w:bookmarkStart w:id="2" w:name="DocNumber"/>
      <w:r w:rsidRPr="006E0EE6">
        <w:rPr>
          <w:i/>
        </w:rPr>
        <w:instrText>A10-0189/2026</w:instrText>
      </w:r>
      <w:bookmarkEnd w:id="2"/>
      <w:r w:rsidRPr="006E0EE6">
        <w:rPr>
          <w:i/>
        </w:rPr>
        <w:instrText xml:space="preserve"> - Raportor: Adam Bielan)"\l3 \n&gt; \* MERGEFORMAT </w:instrText>
      </w:r>
      <w:r w:rsidRPr="006E0EE6">
        <w:rPr>
          <w:i/>
        </w:rPr>
        <w:fldChar w:fldCharType="end"/>
      </w:r>
    </w:p>
    <w:p w14:paraId="20CF7EFD" w14:textId="77777777" w:rsidR="00016E5B" w:rsidRPr="006E0EE6" w:rsidRDefault="00016E5B" w:rsidP="00016E5B">
      <w:pPr>
        <w:rPr>
          <w:vanish/>
        </w:rPr>
      </w:pPr>
      <w:bookmarkStart w:id="3" w:name="Commission"/>
      <w:r w:rsidRPr="006E0EE6">
        <w:rPr>
          <w:vanish/>
        </w:rPr>
        <w:t>Comisia pentru afaceri externe</w:t>
      </w:r>
      <w:bookmarkEnd w:id="3"/>
    </w:p>
    <w:p w14:paraId="534783D4" w14:textId="77777777" w:rsidR="00016E5B" w:rsidRPr="006E0EE6" w:rsidRDefault="00016E5B" w:rsidP="00016E5B">
      <w:pPr>
        <w:rPr>
          <w:vanish/>
        </w:rPr>
      </w:pPr>
      <w:bookmarkStart w:id="4" w:name="PE"/>
      <w:r w:rsidRPr="006E0EE6">
        <w:rPr>
          <w:vanish/>
        </w:rPr>
        <w:t>PE776.904</w:t>
      </w:r>
      <w:bookmarkEnd w:id="4"/>
    </w:p>
    <w:p w14:paraId="799946A3" w14:textId="2628C182" w:rsidR="00016E5B" w:rsidRPr="006E0EE6" w:rsidRDefault="00016E5B" w:rsidP="00016E5B">
      <w:pPr>
        <w:pStyle w:val="ATHeading3"/>
      </w:pPr>
      <w:bookmarkStart w:id="5" w:name="Sujet"/>
      <w:r w:rsidRPr="006E0EE6">
        <w:t xml:space="preserve">Recomandarea Parlamentului European </w:t>
      </w:r>
      <w:r w:rsidR="003028C2" w:rsidRPr="006E0EE6">
        <w:t xml:space="preserve">din 7 iulie 2026 </w:t>
      </w:r>
      <w:r w:rsidRPr="006E0EE6">
        <w:t>adresată Consiliului, Comisiei și Vicepreședintei Comisiei/Înaltei Reprezentante a Uniunii pentru afaceri externe și politica de securitate privind situația geopolitică în schimbare din Asia de Est și necesitatea unei cooperări mai strânse cu partenerii regionali cu aceeași viziune</w:t>
      </w:r>
      <w:bookmarkEnd w:id="5"/>
      <w:r w:rsidRPr="006E0EE6">
        <w:t xml:space="preserve"> </w:t>
      </w:r>
      <w:bookmarkStart w:id="6" w:name="References"/>
      <w:r w:rsidRPr="006E0EE6">
        <w:t>(2025/2169(INI))</w:t>
      </w:r>
      <w:bookmarkEnd w:id="6"/>
    </w:p>
    <w:p w14:paraId="2EB93718" w14:textId="77777777" w:rsidR="00527B8F" w:rsidRPr="006E0EE6" w:rsidRDefault="00527B8F" w:rsidP="00527B8F">
      <w:pPr>
        <w:pStyle w:val="EPComma"/>
      </w:pPr>
      <w:r w:rsidRPr="006E0EE6">
        <w:rPr>
          <w:i/>
          <w:iCs/>
        </w:rPr>
        <w:t>Parlamentul European</w:t>
      </w:r>
      <w:r w:rsidRPr="006E0EE6">
        <w:t>,</w:t>
      </w:r>
    </w:p>
    <w:p w14:paraId="12835B81" w14:textId="77777777" w:rsidR="00527B8F" w:rsidRPr="006E0EE6" w:rsidRDefault="00527B8F" w:rsidP="00527B8F">
      <w:pPr>
        <w:pStyle w:val="NormalHanging12a"/>
      </w:pPr>
      <w:r w:rsidRPr="006E0EE6">
        <w:t>–</w:t>
      </w:r>
      <w:r w:rsidRPr="006E0EE6">
        <w:tab/>
        <w:t>având în vedere titlul V din Tratatul privind Uniunea Europeană,</w:t>
      </w:r>
    </w:p>
    <w:p w14:paraId="545A17CA" w14:textId="77777777" w:rsidR="00527B8F" w:rsidRPr="006E0EE6" w:rsidRDefault="00527B8F" w:rsidP="00527B8F">
      <w:pPr>
        <w:pStyle w:val="NormalHanging12a"/>
      </w:pPr>
      <w:r w:rsidRPr="006E0EE6">
        <w:t>–</w:t>
      </w:r>
      <w:r w:rsidRPr="006E0EE6">
        <w:tab/>
        <w:t>având în vedere comunicarea comună a Comisiei și a Înaltului Reprezentant al Uniunii pentru afaceri externe și politica de securitate din 16 septembrie 2021 intitulată „Strategia UE pentru cooperare în regiunea indo-pacifică” (JOIN(2021)0024),</w:t>
      </w:r>
    </w:p>
    <w:p w14:paraId="1F4F7581" w14:textId="77777777" w:rsidR="00527B8F" w:rsidRPr="006E0EE6" w:rsidRDefault="00527B8F" w:rsidP="00527B8F">
      <w:pPr>
        <w:pStyle w:val="NormalHanging12a"/>
      </w:pPr>
      <w:r w:rsidRPr="006E0EE6">
        <w:t>–</w:t>
      </w:r>
      <w:r w:rsidRPr="006E0EE6">
        <w:tab/>
        <w:t>având în vedere Busola strategică pentru securitate și apărare aprobată de Consiliu la 21 martie 2022, care subliniază rolul parteneriatelor pentru securitatea și reziliența Uniunii, inclusiv în regiunea indo-pacifică,</w:t>
      </w:r>
    </w:p>
    <w:p w14:paraId="465B9687" w14:textId="77777777" w:rsidR="00527B8F" w:rsidRPr="006E0EE6" w:rsidRDefault="00527B8F" w:rsidP="00527B8F">
      <w:pPr>
        <w:pStyle w:val="NormalHanging12a"/>
        <w:rPr>
          <w:bCs/>
          <w:iCs/>
        </w:rPr>
      </w:pPr>
      <w:r w:rsidRPr="006E0EE6">
        <w:t>–</w:t>
      </w:r>
      <w:r w:rsidRPr="006E0EE6">
        <w:tab/>
        <w:t>având în vedere comunicarea comună a Comisiei și a Înaltului Reprezentant al Uniunii pentru afaceri externe și politica de securitate din 1 decembrie 2021 intitulată „Inițiativa «Global Gateway»” (JOIN(2021)0030),</w:t>
      </w:r>
    </w:p>
    <w:p w14:paraId="42AA8984" w14:textId="77777777" w:rsidR="00527B8F" w:rsidRPr="006E0EE6" w:rsidRDefault="00527B8F" w:rsidP="00527B8F">
      <w:pPr>
        <w:pStyle w:val="NormalHanging12a"/>
        <w:rPr>
          <w:bCs/>
          <w:iCs/>
        </w:rPr>
      </w:pPr>
      <w:r w:rsidRPr="006E0EE6">
        <w:t>–</w:t>
      </w:r>
      <w:r w:rsidRPr="006E0EE6">
        <w:tab/>
        <w:t xml:space="preserve">având în vedere comunicarea comună a Comisiei și a Înaltului Reprezentant al Uniunii pentru afaceri externe și politica de securitate din 20 iunie 2023 privind „Strategia europeană pentru securitate economică”, </w:t>
      </w:r>
    </w:p>
    <w:p w14:paraId="236A69F1" w14:textId="77777777" w:rsidR="00527B8F" w:rsidRPr="006E0EE6" w:rsidRDefault="00527B8F" w:rsidP="00527B8F">
      <w:pPr>
        <w:pStyle w:val="NormalHanging12a"/>
        <w:rPr>
          <w:bCs/>
          <w:iCs/>
        </w:rPr>
      </w:pPr>
      <w:r w:rsidRPr="006E0EE6">
        <w:t>–</w:t>
      </w:r>
      <w:r w:rsidRPr="006E0EE6">
        <w:tab/>
        <w:t xml:space="preserve">având în vedere comunicarea comună a Comisiei și a Înaltei Reprezentante a Uniunii pentru afaceri externe și politica de securitate din 12 noiembrie 2025 intitulată „Scutul european pentru democrație: consolidarea democrațiilor puternice și </w:t>
      </w:r>
      <w:proofErr w:type="spellStart"/>
      <w:r w:rsidRPr="006E0EE6">
        <w:t>reziliente</w:t>
      </w:r>
      <w:proofErr w:type="spellEnd"/>
      <w:r w:rsidRPr="006E0EE6">
        <w:t>” (JOIN(2025)0791),</w:t>
      </w:r>
    </w:p>
    <w:p w14:paraId="446F05FC" w14:textId="77777777" w:rsidR="00527B8F" w:rsidRPr="006E0EE6" w:rsidRDefault="00527B8F" w:rsidP="00527B8F">
      <w:pPr>
        <w:pStyle w:val="NormalHanging12a"/>
        <w:rPr>
          <w:bCs/>
          <w:iCs/>
        </w:rPr>
      </w:pPr>
      <w:r w:rsidRPr="006E0EE6">
        <w:t>–</w:t>
      </w:r>
      <w:r w:rsidRPr="006E0EE6">
        <w:tab/>
        <w:t xml:space="preserve">având în vedere comunicarea comună a Comisiei și a Înaltului Reprezentant al Uniunii pentru afaceri externe și politica de securitate din 16 decembrie 2020 intitulată </w:t>
      </w:r>
      <w:r w:rsidRPr="006E0EE6">
        <w:lastRenderedPageBreak/>
        <w:t>„Strategia de securitate cibernetică a UE pentru deceniul digital” (JOIN(2020)0018),</w:t>
      </w:r>
    </w:p>
    <w:p w14:paraId="724580AA" w14:textId="77777777" w:rsidR="00527B8F" w:rsidRPr="006E0EE6" w:rsidRDefault="00527B8F" w:rsidP="00527B8F">
      <w:pPr>
        <w:pStyle w:val="NormalHanging12a"/>
      </w:pPr>
      <w:r w:rsidRPr="006E0EE6">
        <w:t>–</w:t>
      </w:r>
      <w:r w:rsidRPr="006E0EE6">
        <w:tab/>
        <w:t>având în vedere parteneriatul în materie de securitate și apărare dintre Uniunea Europeană și Japonia, stabilit la 1 noiembrie 2024,</w:t>
      </w:r>
    </w:p>
    <w:p w14:paraId="6F65FE14" w14:textId="77777777" w:rsidR="00527B8F" w:rsidRPr="006E0EE6" w:rsidRDefault="00527B8F" w:rsidP="00527B8F">
      <w:pPr>
        <w:pStyle w:val="NormalHanging12a"/>
      </w:pPr>
      <w:r w:rsidRPr="006E0EE6">
        <w:t>–</w:t>
      </w:r>
      <w:r w:rsidRPr="006E0EE6">
        <w:tab/>
        <w:t>având în vedere parteneriatul în materie de securitate și apărare dintre Uniunea Europeană și Republica Coreea, stabilit la 4 noiembrie 2024,</w:t>
      </w:r>
    </w:p>
    <w:p w14:paraId="36D13D14" w14:textId="77777777" w:rsidR="00527B8F" w:rsidRPr="006E0EE6" w:rsidRDefault="00527B8F" w:rsidP="00527B8F">
      <w:pPr>
        <w:pStyle w:val="NormalHanging12a"/>
      </w:pPr>
      <w:r w:rsidRPr="006E0EE6">
        <w:t>–</w:t>
      </w:r>
      <w:r w:rsidRPr="006E0EE6">
        <w:tab/>
        <w:t>având în vedere Acordul de parteneriat strategic dintre Uniunea Europeană și statele sale membre, pe de o parte, și Japonia, pe de altă parte</w:t>
      </w:r>
      <w:r w:rsidRPr="006E0EE6">
        <w:rPr>
          <w:rStyle w:val="FootnoteReference"/>
        </w:rPr>
        <w:footnoteReference w:id="1"/>
      </w:r>
      <w:r w:rsidRPr="006E0EE6">
        <w:t>,</w:t>
      </w:r>
    </w:p>
    <w:p w14:paraId="1420ECD4" w14:textId="77777777" w:rsidR="00527B8F" w:rsidRPr="006E0EE6" w:rsidRDefault="00527B8F" w:rsidP="00527B8F">
      <w:pPr>
        <w:pStyle w:val="NormalHanging12a"/>
      </w:pPr>
      <w:r w:rsidRPr="006E0EE6">
        <w:t>–</w:t>
      </w:r>
      <w:r w:rsidRPr="006E0EE6">
        <w:tab/>
        <w:t>având în vedere Acordul-cadru între Uniunea Europeană și statele sale membre, pe de o parte, și Republica Coreea, pe de altă parte</w:t>
      </w:r>
      <w:r w:rsidRPr="006E0EE6">
        <w:rPr>
          <w:rStyle w:val="FootnoteReference"/>
        </w:rPr>
        <w:footnoteReference w:id="2"/>
      </w:r>
      <w:r w:rsidRPr="006E0EE6">
        <w:t>,</w:t>
      </w:r>
    </w:p>
    <w:p w14:paraId="4E2A3C35" w14:textId="77777777" w:rsidR="00527B8F" w:rsidRPr="006E0EE6" w:rsidRDefault="00527B8F" w:rsidP="00527B8F">
      <w:pPr>
        <w:pStyle w:val="NormalHanging12a"/>
        <w:rPr>
          <w:b/>
          <w:i/>
        </w:rPr>
      </w:pPr>
      <w:r w:rsidRPr="006E0EE6">
        <w:t>–</w:t>
      </w:r>
      <w:r w:rsidRPr="006E0EE6">
        <w:tab/>
        <w:t>având în vedere Acordul între Uniunea Europeană și Japonia pentru un parteneriat economic</w:t>
      </w:r>
      <w:r w:rsidRPr="006E0EE6">
        <w:rPr>
          <w:rStyle w:val="FootnoteReference"/>
          <w:bCs/>
          <w:iCs/>
        </w:rPr>
        <w:footnoteReference w:id="3"/>
      </w:r>
      <w:r w:rsidRPr="006E0EE6">
        <w:t>,</w:t>
      </w:r>
    </w:p>
    <w:p w14:paraId="4554AA20" w14:textId="77777777" w:rsidR="00527B8F" w:rsidRPr="006E0EE6" w:rsidRDefault="00527B8F" w:rsidP="00527B8F">
      <w:pPr>
        <w:pStyle w:val="NormalHanging12a"/>
        <w:rPr>
          <w:bCs/>
          <w:iCs/>
        </w:rPr>
      </w:pPr>
      <w:r w:rsidRPr="006E0EE6">
        <w:t>–</w:t>
      </w:r>
      <w:r w:rsidRPr="006E0EE6">
        <w:tab/>
        <w:t>având în vedere Acordul de liber schimb dintre Uniunea Europeană și statele membre ale acesteia, pe de o parte, și Republica Coreea, pe de altă parte</w:t>
      </w:r>
      <w:r w:rsidRPr="006E0EE6">
        <w:rPr>
          <w:rStyle w:val="FootnoteReference"/>
          <w:bCs/>
          <w:iCs/>
        </w:rPr>
        <w:footnoteReference w:id="4"/>
      </w:r>
      <w:r w:rsidRPr="006E0EE6">
        <w:t>,</w:t>
      </w:r>
    </w:p>
    <w:p w14:paraId="5C0F648A" w14:textId="77777777" w:rsidR="00527B8F" w:rsidRPr="006E0EE6" w:rsidRDefault="00527B8F" w:rsidP="00527B8F">
      <w:pPr>
        <w:pStyle w:val="NormalHanging12a"/>
        <w:rPr>
          <w:bCs/>
          <w:iCs/>
        </w:rPr>
      </w:pPr>
      <w:r w:rsidRPr="006E0EE6">
        <w:t>–</w:t>
      </w:r>
      <w:r w:rsidRPr="006E0EE6">
        <w:tab/>
        <w:t>având în vedere Convenția ONU asupra dreptului mării (UNCLOS),</w:t>
      </w:r>
    </w:p>
    <w:p w14:paraId="5590F6F2" w14:textId="77777777" w:rsidR="00527B8F" w:rsidRPr="006E0EE6" w:rsidRDefault="00527B8F" w:rsidP="00527B8F">
      <w:pPr>
        <w:pStyle w:val="NormalHanging12a"/>
      </w:pPr>
      <w:r w:rsidRPr="006E0EE6">
        <w:t>–</w:t>
      </w:r>
      <w:r w:rsidRPr="006E0EE6">
        <w:tab/>
        <w:t>având în vedere declarația comună adoptată la cel de al 30-lea summit UE-Japonia, care a avut loc la Tokyo, la 23 iulie 2025,</w:t>
      </w:r>
    </w:p>
    <w:p w14:paraId="355E8293" w14:textId="77777777" w:rsidR="00527B8F" w:rsidRPr="006E0EE6" w:rsidRDefault="00527B8F" w:rsidP="00527B8F">
      <w:pPr>
        <w:pStyle w:val="NormalHanging12a"/>
      </w:pPr>
      <w:r w:rsidRPr="006E0EE6">
        <w:t>–</w:t>
      </w:r>
      <w:r w:rsidRPr="006E0EE6">
        <w:tab/>
        <w:t>având în vedere cea de a 42-a reuniune interparlamentară UE-Japonia, care a avut loc la Tokyo, la 28 și 29 mai 2025,</w:t>
      </w:r>
    </w:p>
    <w:p w14:paraId="05C40105" w14:textId="185240F5" w:rsidR="00527B8F" w:rsidRPr="006E0EE6" w:rsidRDefault="00527B8F" w:rsidP="00527B8F">
      <w:pPr>
        <w:pStyle w:val="NormalHanging12a"/>
        <w:rPr>
          <w:bCs/>
          <w:iCs/>
        </w:rPr>
      </w:pPr>
      <w:r w:rsidRPr="006E0EE6">
        <w:t>–</w:t>
      </w:r>
      <w:r w:rsidRPr="006E0EE6">
        <w:tab/>
        <w:t xml:space="preserve">având în vedere cel de al </w:t>
      </w:r>
      <w:r w:rsidR="00077496" w:rsidRPr="006E0EE6">
        <w:t>3</w:t>
      </w:r>
      <w:r w:rsidRPr="006E0EE6">
        <w:t xml:space="preserve">-lea dialog strategic UE-Japonia, care a avut loc la </w:t>
      </w:r>
      <w:r w:rsidR="00077496" w:rsidRPr="006E0EE6">
        <w:t>26 martie 2026</w:t>
      </w:r>
      <w:r w:rsidRPr="006E0EE6">
        <w:t xml:space="preserve"> la </w:t>
      </w:r>
      <w:proofErr w:type="spellStart"/>
      <w:r w:rsidR="00077496" w:rsidRPr="006E0EE6">
        <w:t>Vaux</w:t>
      </w:r>
      <w:proofErr w:type="spellEnd"/>
      <w:r w:rsidR="00077496" w:rsidRPr="006E0EE6">
        <w:t>-de-</w:t>
      </w:r>
      <w:proofErr w:type="spellStart"/>
      <w:r w:rsidR="00077496" w:rsidRPr="006E0EE6">
        <w:t>Cernay</w:t>
      </w:r>
      <w:proofErr w:type="spellEnd"/>
      <w:r w:rsidRPr="006E0EE6">
        <w:t xml:space="preserve">, </w:t>
      </w:r>
    </w:p>
    <w:p w14:paraId="4B67D875" w14:textId="67437895" w:rsidR="00527B8F" w:rsidRPr="006E0EE6" w:rsidRDefault="00527B8F" w:rsidP="00527B8F">
      <w:pPr>
        <w:pStyle w:val="NormalHanging12a"/>
        <w:rPr>
          <w:bCs/>
          <w:iCs/>
        </w:rPr>
      </w:pPr>
      <w:r w:rsidRPr="006E0EE6">
        <w:t>–</w:t>
      </w:r>
      <w:r w:rsidRPr="006E0EE6">
        <w:tab/>
        <w:t xml:space="preserve">având în vedere cel de al </w:t>
      </w:r>
      <w:r w:rsidR="00E747C0" w:rsidRPr="006E0EE6">
        <w:t>9</w:t>
      </w:r>
      <w:r w:rsidRPr="006E0EE6">
        <w:t xml:space="preserve">-lea dialog UE-Japonia privind politica digitală, care a avut loc la </w:t>
      </w:r>
      <w:r w:rsidR="00E747C0" w:rsidRPr="006E0EE6">
        <w:t>25 martie 2026 la Tokyo</w:t>
      </w:r>
      <w:r w:rsidRPr="006E0EE6">
        <w:t>,</w:t>
      </w:r>
    </w:p>
    <w:p w14:paraId="69E7F0D2" w14:textId="77777777" w:rsidR="00527B8F" w:rsidRPr="006E0EE6" w:rsidRDefault="00527B8F" w:rsidP="00527B8F">
      <w:pPr>
        <w:pStyle w:val="NormalHanging12a"/>
        <w:rPr>
          <w:bCs/>
          <w:iCs/>
        </w:rPr>
      </w:pPr>
      <w:r w:rsidRPr="006E0EE6">
        <w:t>–</w:t>
      </w:r>
      <w:r w:rsidRPr="006E0EE6">
        <w:tab/>
        <w:t>având în vedere scrisoarea de intenție semnată la 13 martie 2025 de UE și Japonia privind consolidarea cooperării în domeniul științei și tehnologiei cuantice, în vederea aprofundării cercetării comune, a schimburilor și a dezvoltării ecosistemului,</w:t>
      </w:r>
    </w:p>
    <w:p w14:paraId="020E8CD9" w14:textId="77777777" w:rsidR="00527B8F" w:rsidRPr="006E0EE6" w:rsidRDefault="00527B8F" w:rsidP="00527B8F">
      <w:pPr>
        <w:pStyle w:val="NormalHanging12a"/>
        <w:rPr>
          <w:bCs/>
          <w:iCs/>
        </w:rPr>
      </w:pPr>
      <w:r w:rsidRPr="006E0EE6">
        <w:t>–</w:t>
      </w:r>
      <w:r w:rsidRPr="006E0EE6">
        <w:tab/>
        <w:t>având în vedere angajamentul luat de UE, Japonia și Statele Unite, în cadrul reuniunii ministeriale privind mineralele critice din 4 februarie 2026, de a consolida cooperarea privind materiile prime critice,</w:t>
      </w:r>
    </w:p>
    <w:p w14:paraId="033E0B2C" w14:textId="77777777" w:rsidR="00527B8F" w:rsidRPr="006E0EE6" w:rsidRDefault="00527B8F" w:rsidP="00527B8F">
      <w:pPr>
        <w:pStyle w:val="NormalHanging12a"/>
        <w:rPr>
          <w:bCs/>
          <w:iCs/>
        </w:rPr>
      </w:pPr>
      <w:r w:rsidRPr="006E0EE6">
        <w:t>–</w:t>
      </w:r>
      <w:r w:rsidRPr="006E0EE6">
        <w:tab/>
        <w:t>având în vedere Alianța verde UE-Japonia din 27 mai 2021,</w:t>
      </w:r>
    </w:p>
    <w:p w14:paraId="7E3F3C26" w14:textId="77777777" w:rsidR="00527B8F" w:rsidRPr="006E0EE6" w:rsidRDefault="00527B8F" w:rsidP="00527B8F">
      <w:pPr>
        <w:pStyle w:val="NormalHanging12a"/>
      </w:pPr>
      <w:r w:rsidRPr="006E0EE6">
        <w:t>–</w:t>
      </w:r>
      <w:r w:rsidRPr="006E0EE6">
        <w:tab/>
        <w:t>având în vedere declarația comună adoptată la cel de al 11-lea summit UE-Republica Coreea, care a avut loc la Bruxelles, la 10 iunie 2026,</w:t>
      </w:r>
    </w:p>
    <w:p w14:paraId="5AF3723D" w14:textId="77777777" w:rsidR="00527B8F" w:rsidRPr="006E0EE6" w:rsidRDefault="00527B8F" w:rsidP="00527B8F">
      <w:pPr>
        <w:pStyle w:val="NormalHanging12a"/>
      </w:pPr>
      <w:r w:rsidRPr="006E0EE6">
        <w:lastRenderedPageBreak/>
        <w:t>–</w:t>
      </w:r>
      <w:r w:rsidRPr="006E0EE6">
        <w:tab/>
        <w:t>având în vedere cea de a 23-a reuniune interparlamentară UE-Republica Coreea, care avut loc la Bruxelles, la 18 noiembrie 2025,</w:t>
      </w:r>
    </w:p>
    <w:p w14:paraId="48726AD9" w14:textId="77777777" w:rsidR="00527B8F" w:rsidRPr="006E0EE6" w:rsidRDefault="00527B8F" w:rsidP="00527B8F">
      <w:pPr>
        <w:pStyle w:val="NormalHanging12a"/>
        <w:rPr>
          <w:bCs/>
          <w:iCs/>
        </w:rPr>
      </w:pPr>
      <w:r w:rsidRPr="006E0EE6">
        <w:t>–</w:t>
      </w:r>
      <w:r w:rsidRPr="006E0EE6">
        <w:tab/>
        <w:t>având în vedere cel de al doilea dialog strategic UE-Republica Coreea, care a avut loc la 22 ianuarie 2026 la Bruxelles,</w:t>
      </w:r>
    </w:p>
    <w:p w14:paraId="6879D4C1" w14:textId="77777777" w:rsidR="00527B8F" w:rsidRPr="006E0EE6" w:rsidRDefault="00527B8F" w:rsidP="00527B8F">
      <w:pPr>
        <w:pStyle w:val="NormalHanging12a"/>
        <w:rPr>
          <w:bCs/>
          <w:iCs/>
        </w:rPr>
      </w:pPr>
      <w:r w:rsidRPr="006E0EE6">
        <w:t>–</w:t>
      </w:r>
      <w:r w:rsidRPr="006E0EE6">
        <w:tab/>
        <w:t>având în vedere Parteneriatul verde UE-Republica Coreea din 22 mai 2023,</w:t>
      </w:r>
    </w:p>
    <w:p w14:paraId="24E3ECB9" w14:textId="77777777" w:rsidR="00527B8F" w:rsidRPr="006E0EE6" w:rsidRDefault="00527B8F" w:rsidP="00527B8F">
      <w:pPr>
        <w:pStyle w:val="NormalHanging12a"/>
      </w:pPr>
      <w:r w:rsidRPr="006E0EE6">
        <w:t>–</w:t>
      </w:r>
      <w:r w:rsidRPr="006E0EE6">
        <w:tab/>
        <w:t>având în vedere cel de al 4-lea forum ministerial UE‑regiunea indo‑pacifică, care a avut loc la Bruxelles, la 20 și 21 noiembrie 2025,</w:t>
      </w:r>
    </w:p>
    <w:p w14:paraId="56FD2B4E" w14:textId="77777777" w:rsidR="00527B8F" w:rsidRPr="006E0EE6" w:rsidRDefault="00527B8F" w:rsidP="00527B8F">
      <w:pPr>
        <w:pStyle w:val="NormalHanging12a"/>
        <w:rPr>
          <w:bCs/>
          <w:iCs/>
        </w:rPr>
      </w:pPr>
      <w:r w:rsidRPr="006E0EE6">
        <w:t>–</w:t>
      </w:r>
      <w:r w:rsidRPr="006E0EE6">
        <w:tab/>
        <w:t>având în vedere declarația emisă în urma recentei vizite efectuate de o delegație a Comisiei pentru afaceri externe în Republica Coreea și în Japonia, în perioada 31 martie-2 aprilie 2026,</w:t>
      </w:r>
    </w:p>
    <w:p w14:paraId="49732EB8" w14:textId="77777777" w:rsidR="00527B8F" w:rsidRPr="006E0EE6" w:rsidRDefault="00527B8F" w:rsidP="00527B8F">
      <w:pPr>
        <w:pStyle w:val="NormalHanging12a"/>
      </w:pPr>
      <w:r w:rsidRPr="006E0EE6">
        <w:t>–</w:t>
      </w:r>
      <w:r w:rsidRPr="006E0EE6">
        <w:tab/>
        <w:t>având în vedere rezoluția sa din 7 iunie 2022 referitoare la UE și provocările la adresa securității din regiunea indo-pacifică</w:t>
      </w:r>
      <w:r w:rsidRPr="006E0EE6">
        <w:rPr>
          <w:rStyle w:val="FootnoteReference"/>
        </w:rPr>
        <w:footnoteReference w:id="5"/>
      </w:r>
      <w:r w:rsidRPr="006E0EE6">
        <w:t>,</w:t>
      </w:r>
    </w:p>
    <w:p w14:paraId="62D42B73" w14:textId="77777777" w:rsidR="00527B8F" w:rsidRPr="006E0EE6" w:rsidRDefault="00527B8F" w:rsidP="00527B8F">
      <w:pPr>
        <w:pStyle w:val="NormalHanging12a"/>
      </w:pPr>
      <w:r w:rsidRPr="006E0EE6">
        <w:t>–</w:t>
      </w:r>
      <w:r w:rsidRPr="006E0EE6">
        <w:tab/>
        <w:t>având în vedere rezoluția sa din 13 decembrie 2023 referitoare la relațiile UE-Japonia</w:t>
      </w:r>
      <w:r w:rsidRPr="006E0EE6">
        <w:rPr>
          <w:rStyle w:val="FootnoteReference"/>
        </w:rPr>
        <w:footnoteReference w:id="6"/>
      </w:r>
      <w:r w:rsidRPr="006E0EE6">
        <w:t>,</w:t>
      </w:r>
    </w:p>
    <w:p w14:paraId="0093B61E" w14:textId="77777777" w:rsidR="00527B8F" w:rsidRPr="006E0EE6" w:rsidRDefault="00527B8F" w:rsidP="00527B8F">
      <w:pPr>
        <w:pStyle w:val="NormalHanging12a"/>
      </w:pPr>
      <w:r w:rsidRPr="006E0EE6">
        <w:t>–</w:t>
      </w:r>
      <w:r w:rsidRPr="006E0EE6">
        <w:tab/>
        <w:t>având în vedere rezoluția sa din 21 ianuarie 2026 referitoare la punerea în aplicare a politicii externe și de securitate comune – raportul anual pe 2025</w:t>
      </w:r>
      <w:r w:rsidRPr="006E0EE6">
        <w:rPr>
          <w:rStyle w:val="FootnoteReference"/>
        </w:rPr>
        <w:footnoteReference w:id="7"/>
      </w:r>
      <w:r w:rsidRPr="006E0EE6">
        <w:t>,</w:t>
      </w:r>
    </w:p>
    <w:p w14:paraId="3DBE607C" w14:textId="77777777" w:rsidR="00527B8F" w:rsidRPr="006E0EE6" w:rsidRDefault="00527B8F" w:rsidP="00527B8F">
      <w:pPr>
        <w:pStyle w:val="NormalHanging12a"/>
        <w:rPr>
          <w:bCs/>
          <w:iCs/>
        </w:rPr>
      </w:pPr>
      <w:r w:rsidRPr="006E0EE6">
        <w:t>–</w:t>
      </w:r>
      <w:r w:rsidRPr="006E0EE6">
        <w:tab/>
        <w:t>având în vedere rezoluția sa din 28 noiembrie 2024 referitoare la întărirea sprijinului de neclintit al UE pentru Ucraina împotriva războiului de agresiune al Rusiei și intensificarea cooperării militare dintre Coreea de Nord și Rusia</w:t>
      </w:r>
      <w:r w:rsidRPr="006E0EE6">
        <w:rPr>
          <w:rStyle w:val="FootnoteReference"/>
          <w:bCs/>
          <w:iCs/>
        </w:rPr>
        <w:footnoteReference w:id="8"/>
      </w:r>
      <w:r w:rsidRPr="006E0EE6">
        <w:t>,</w:t>
      </w:r>
    </w:p>
    <w:p w14:paraId="4B8848BE" w14:textId="77777777" w:rsidR="00527B8F" w:rsidRPr="006E0EE6" w:rsidRDefault="00527B8F" w:rsidP="00527B8F">
      <w:pPr>
        <w:pStyle w:val="NormalHanging12a"/>
        <w:rPr>
          <w:b/>
          <w:i/>
        </w:rPr>
      </w:pPr>
      <w:r w:rsidRPr="006E0EE6">
        <w:t>–</w:t>
      </w:r>
      <w:r w:rsidRPr="006E0EE6">
        <w:tab/>
        <w:t>având în vedere rezoluția sa din 24 octombrie 2024 referitoare la interpretarea greșită de către Republica Populară Chineză a Rezoluției 2758 a ONU și provocările sale militare continue în jurul Taiwanului</w:t>
      </w:r>
      <w:r w:rsidRPr="006E0EE6">
        <w:rPr>
          <w:rStyle w:val="FootnoteReference"/>
          <w:bCs/>
          <w:iCs/>
        </w:rPr>
        <w:footnoteReference w:id="9"/>
      </w:r>
      <w:r w:rsidRPr="006E0EE6">
        <w:t>,</w:t>
      </w:r>
    </w:p>
    <w:p w14:paraId="465B8235" w14:textId="77777777" w:rsidR="00527B8F" w:rsidRPr="006E0EE6" w:rsidRDefault="00527B8F" w:rsidP="00527B8F">
      <w:pPr>
        <w:pStyle w:val="NormalHanging12a"/>
        <w:rPr>
          <w:bCs/>
          <w:iCs/>
        </w:rPr>
      </w:pPr>
      <w:r w:rsidRPr="006E0EE6">
        <w:t>–</w:t>
      </w:r>
      <w:r w:rsidRPr="006E0EE6">
        <w:tab/>
        <w:t>având în vedere rezoluția sa din 13 decembrie 2023 referitoare la relațiile comerciale și de investiții dintre UE și Taiwan</w:t>
      </w:r>
      <w:r w:rsidRPr="006E0EE6">
        <w:rPr>
          <w:rStyle w:val="FootnoteReference"/>
          <w:bCs/>
          <w:iCs/>
        </w:rPr>
        <w:footnoteReference w:id="10"/>
      </w:r>
      <w:r w:rsidRPr="006E0EE6">
        <w:t xml:space="preserve">, </w:t>
      </w:r>
    </w:p>
    <w:p w14:paraId="3F9EF549" w14:textId="77777777" w:rsidR="00527B8F" w:rsidRPr="006E0EE6" w:rsidRDefault="00527B8F" w:rsidP="00527B8F">
      <w:pPr>
        <w:pStyle w:val="NormalHanging12a"/>
      </w:pPr>
      <w:r w:rsidRPr="006E0EE6">
        <w:t>–</w:t>
      </w:r>
      <w:r w:rsidRPr="006E0EE6">
        <w:tab/>
        <w:t>având în vedere pozițiile și recomandările sale privind cooperarea indo-pacifică, inclusiv apelurile de a colabora cu parteneri cu aceeași viziune pentru a susține libertatea de navigație și stabilitatea în strâmtoarea Taiwan, în Marea Chinei de Est și în Marea Chinei de Sud,</w:t>
      </w:r>
    </w:p>
    <w:p w14:paraId="5034B6AD" w14:textId="77777777" w:rsidR="00527B8F" w:rsidRPr="006E0EE6" w:rsidRDefault="00527B8F" w:rsidP="00527B8F">
      <w:pPr>
        <w:pStyle w:val="NormalHanging12a"/>
      </w:pPr>
      <w:r w:rsidRPr="006E0EE6">
        <w:t>–</w:t>
      </w:r>
      <w:r w:rsidRPr="006E0EE6">
        <w:tab/>
        <w:t>având în vedere articolul 121 din Regulamentul său de procedură,</w:t>
      </w:r>
    </w:p>
    <w:p w14:paraId="1150FDCA" w14:textId="77777777" w:rsidR="00527B8F" w:rsidRPr="006E0EE6" w:rsidRDefault="00527B8F" w:rsidP="00527B8F">
      <w:pPr>
        <w:pStyle w:val="NormalHanging12a"/>
      </w:pPr>
      <w:r w:rsidRPr="006E0EE6">
        <w:t>–</w:t>
      </w:r>
      <w:r w:rsidRPr="006E0EE6">
        <w:tab/>
        <w:t>având în vedere raportul Comisiei pentru afaceri externe (A10-0189/2026),</w:t>
      </w:r>
    </w:p>
    <w:p w14:paraId="6B24FA48" w14:textId="77777777" w:rsidR="00527B8F" w:rsidRPr="006E0EE6" w:rsidRDefault="00527B8F" w:rsidP="00527B8F">
      <w:pPr>
        <w:pStyle w:val="NormalHanging12a"/>
      </w:pPr>
      <w:r w:rsidRPr="006E0EE6">
        <w:t>A.</w:t>
      </w:r>
      <w:r w:rsidRPr="006E0EE6">
        <w:tab/>
        <w:t xml:space="preserve">întrucât schimbările geopolitice actuale și importanța strategică tot mai mare a regiunii indo-pacifice remodelează ordinea mondială; întrucât Asia de Est și regiunea indo-pacifică în sens larg sunt esențiale pentru prosperitatea și securitatea mondială, </w:t>
      </w:r>
      <w:r w:rsidRPr="006E0EE6">
        <w:lastRenderedPageBreak/>
        <w:t>securitatea energetică și reziliența democratică, deoarece cuprind culoare maritime cruciale, ecosisteme tehnologice avansate, rute comerciale majore, peste jumătate din populația lumii și lanțuri de aprovizionare critice fundamentale pentru competitivitatea economică și reziliența industrială pe termen lung a UE în sectoare strategice, precum și influența sa geopolitică;</w:t>
      </w:r>
    </w:p>
    <w:p w14:paraId="04A29C70" w14:textId="77777777" w:rsidR="00527B8F" w:rsidRPr="006E0EE6" w:rsidRDefault="00527B8F" w:rsidP="00527B8F">
      <w:pPr>
        <w:pStyle w:val="NormalHanging12a"/>
        <w:rPr>
          <w:bCs/>
          <w:iCs/>
        </w:rPr>
      </w:pPr>
      <w:r w:rsidRPr="006E0EE6">
        <w:t>B.</w:t>
      </w:r>
      <w:r w:rsidRPr="006E0EE6">
        <w:tab/>
        <w:t xml:space="preserve">întrucât securitatea economică, inclusiv lanțurile de aprovizionare </w:t>
      </w:r>
      <w:proofErr w:type="spellStart"/>
      <w:r w:rsidRPr="006E0EE6">
        <w:t>reziliente</w:t>
      </w:r>
      <w:proofErr w:type="spellEnd"/>
      <w:r w:rsidRPr="006E0EE6">
        <w:t xml:space="preserve"> și diversificate pentru materiile prime critice, semiconductori și tehnologiile curate, face parte integrantă din politica comercială, externă și de securitate; întrucât reducerea dependențelor strategice și creșterea nivelului de reziliență și diversificare al lanțurilor de aprovizionare în sectoare critice sunt esențiale pentru securitatea economică și competitivitatea UE, în conformitate cu strategia sa de reducere a riscurilor, evitând, în același timp, decuplarea economică inutilă;</w:t>
      </w:r>
    </w:p>
    <w:p w14:paraId="6D5826F6" w14:textId="77777777" w:rsidR="00527B8F" w:rsidRPr="006E0EE6" w:rsidRDefault="00527B8F" w:rsidP="00527B8F">
      <w:pPr>
        <w:pStyle w:val="NormalHanging12a"/>
      </w:pPr>
      <w:r w:rsidRPr="006E0EE6">
        <w:t>C.</w:t>
      </w:r>
      <w:r w:rsidRPr="006E0EE6">
        <w:tab/>
        <w:t>întrucât peisajul geopolitic al Asiei de Est a devenit din ce în ce mai instabil în ultimii ani, iar dinamica puterii în regiune este modelată tot mai mult de rivalități sistemice, dispute maritime, concentrări militare și influența tot mai mare a modelelor de guvernare autoritare care recurg la practici economice coercitive, inclusiv accesul discriminatoriu pe piață, amenințări hibride, inclusiv acțiuni străine de manipulare a informațiilor și ingerințe străine, precum și spionaj comercial și politic, care pun sub semnul întrebării pacea, stabilitatea și ordinea internațională bazată pe norme și necesită răspunsuri coordonate împreună cu parteneri care împărtășesc valorile democratice și standarde de reglementare ridicate;</w:t>
      </w:r>
    </w:p>
    <w:p w14:paraId="2F8B6137" w14:textId="441F6138" w:rsidR="00272A78" w:rsidRPr="006E0EE6" w:rsidRDefault="00B328E4" w:rsidP="00527B8F">
      <w:pPr>
        <w:pStyle w:val="NormalHanging12a"/>
        <w:rPr>
          <w:bCs/>
          <w:iCs/>
        </w:rPr>
      </w:pPr>
      <w:r w:rsidRPr="006E0EE6">
        <w:rPr>
          <w:bCs/>
          <w:iCs/>
        </w:rPr>
        <w:t>D</w:t>
      </w:r>
      <w:r w:rsidR="00272A78" w:rsidRPr="006E0EE6">
        <w:rPr>
          <w:bCs/>
          <w:iCs/>
        </w:rPr>
        <w:t>.</w:t>
      </w:r>
      <w:r w:rsidR="00272A78" w:rsidRPr="006E0EE6">
        <w:rPr>
          <w:bCs/>
          <w:iCs/>
        </w:rPr>
        <w:tab/>
        <w:t>întrucât securitatea Japoniei, a Coreei de Sud și a Taiwanului rămâne în mare măsură dependentă de Statele Unite; întrucât acești parteneri sunt din ce în ce mai afectați de imprevizibilitatea Statelor Unite și de presiunile economice pe care acestea le exercită, uneori chiar împotriva celor mai apropiați aliați ai lor; întrucât acești parteneri democratici trebuie, prin urmare, să își consolideze și să își diversifice parteneriatele cu alți actori, în special cu UE, pentru a consolida reziliența și interesele comune în materie de securitate;</w:t>
      </w:r>
    </w:p>
    <w:p w14:paraId="69DBA6FF" w14:textId="2275D122" w:rsidR="00527B8F" w:rsidRPr="006E0EE6" w:rsidRDefault="00B328E4" w:rsidP="00527B8F">
      <w:pPr>
        <w:pStyle w:val="NormalHanging12a"/>
        <w:rPr>
          <w:bCs/>
          <w:iCs/>
        </w:rPr>
      </w:pPr>
      <w:r w:rsidRPr="006E0EE6">
        <w:t>E</w:t>
      </w:r>
      <w:r w:rsidR="00527B8F" w:rsidRPr="006E0EE6">
        <w:t>.</w:t>
      </w:r>
      <w:r w:rsidR="00527B8F" w:rsidRPr="006E0EE6">
        <w:tab/>
        <w:t>întrucât strategia UE pentru cooperare în regiunea indo-pacifică se bazează pe convingerea că securitatea și prosperitatea UE și ale regiunii indo-pacifice sunt indisolubil legate; întrucât strategia subliniază cât de important este să se consolideze angajamentul UE în regiune prin intermediul unui dialog politic mai aprofundat, al unei cooperări economice sporite și al unor parteneriate de securitate extinse; întrucât destrămarea ordinii bazate pe norme și a alianțelor tradiționale, precum și apariția unor actori agresivi mânați de ambiții imperialiste, justifică consolidarea legăturilor dintre UE și partenerii cu viziuni similare din regiune, în vederea sporirii reciproce a securității și prosperității;</w:t>
      </w:r>
    </w:p>
    <w:p w14:paraId="2AA279C0" w14:textId="1CE4D980" w:rsidR="00527B8F" w:rsidRPr="006E0EE6" w:rsidRDefault="00B328E4" w:rsidP="00527B8F">
      <w:pPr>
        <w:pStyle w:val="NormalHanging12a"/>
        <w:rPr>
          <w:bCs/>
          <w:iCs/>
        </w:rPr>
      </w:pPr>
      <w:r w:rsidRPr="006E0EE6">
        <w:t>F</w:t>
      </w:r>
      <w:r w:rsidR="00527B8F" w:rsidRPr="006E0EE6">
        <w:t>.</w:t>
      </w:r>
      <w:r w:rsidR="00527B8F" w:rsidRPr="006E0EE6">
        <w:tab/>
        <w:t>întrucât libertatea de navigație și de survolare sunt principii fundamentale ale dreptului internațional, astfel cum sunt consacrate, în special, în UNCLOS, și au o importanță majoră pentru securitatea economică a Uniunii;</w:t>
      </w:r>
    </w:p>
    <w:p w14:paraId="362590EB" w14:textId="1278B64E" w:rsidR="00527B8F" w:rsidRPr="006E0EE6" w:rsidRDefault="00B328E4" w:rsidP="00527B8F">
      <w:pPr>
        <w:pStyle w:val="NormalHanging12a"/>
      </w:pPr>
      <w:r w:rsidRPr="006E0EE6">
        <w:t>G</w:t>
      </w:r>
      <w:r w:rsidR="00527B8F" w:rsidRPr="006E0EE6">
        <w:t>.</w:t>
      </w:r>
      <w:r w:rsidR="00527B8F" w:rsidRPr="006E0EE6">
        <w:tab/>
        <w:t xml:space="preserve">întrucât provocările din ce în ce mai complexe în materie de securitate au un impact profund asupra stabilității și a prosperității atât în cazul Europei, cât și al regiunii indo-pacifice, stabilitatea celor două regiuni fiind mai interconectată ca niciodată; întrucât ambele sunt direct afectate de invadarea ilegală pe scară largă a Ucrainei de către Rusia și de sprijinul țărilor terțe, de exemplu China și Coreea de Nord, care fac posibilă agresiunea Rusiei; întrucât o cooperare industrială solidă în domeniul apărării între UE </w:t>
      </w:r>
      <w:r w:rsidR="00527B8F" w:rsidRPr="006E0EE6">
        <w:lastRenderedPageBreak/>
        <w:t>și Japonia, respectiv UE și Republica Coreea este indispensabilă; întrucât Japonia și Republica Coreea se remarcă prin asistența financiară și umanitară substanțială acordată Ucrainei; întrucât Japonia a acordat și s-a angajat să acorde Ucrainei asistență financiară și militară în valoare de 20 de miliarde de dolari începând din 2022; întrucât instabilitatea din Orientul Mijlociu are repercusiuni semnificative pentru Europa și Asia de Est în ceea ce privește securitatea energetică și perturbările lanțului de aprovizionare;</w:t>
      </w:r>
    </w:p>
    <w:p w14:paraId="5A355CDD" w14:textId="3BF687A8" w:rsidR="00527B8F" w:rsidRPr="006E0EE6" w:rsidRDefault="00B328E4" w:rsidP="00527B8F">
      <w:pPr>
        <w:pStyle w:val="NormalHanging12a"/>
        <w:rPr>
          <w:bCs/>
          <w:iCs/>
        </w:rPr>
      </w:pPr>
      <w:r w:rsidRPr="006E0EE6">
        <w:t>H</w:t>
      </w:r>
      <w:r w:rsidR="00527B8F" w:rsidRPr="006E0EE6">
        <w:t>.</w:t>
      </w:r>
      <w:r w:rsidR="00527B8F" w:rsidRPr="006E0EE6">
        <w:tab/>
        <w:t>întrucât „Busola strategică pentru securitate și apărare” menționează că anumiți actori, precum Republica Populară Democrată Coreeană (RPDC), continuă să pună în pericol pacea și securitatea regională și internațională; întrucât programele nucleare și de rachete ale RPDC constituie amenințări grave la adresa ordinii internaționale bazate pe norme, la fel ca posibilul transfer de tehnologie nucleară sau legată de rachetele balistice și de aeronave fără pilot la bord (UAV) către Rusia, în schimbul unor arme și al personalului militar; întrucât RPDC a încălcat în mod repetat rezoluțiile Consiliului de Securitate al Organizației Națiunilor Unite prin lansările continue de rachete, inclusiv prin testele efectuate deasupra Japoniei;</w:t>
      </w:r>
    </w:p>
    <w:p w14:paraId="4C386DCA" w14:textId="7BBF1025" w:rsidR="00527B8F" w:rsidRPr="006E0EE6" w:rsidRDefault="00B328E4" w:rsidP="00527B8F">
      <w:pPr>
        <w:pStyle w:val="NormalHanging12a"/>
        <w:rPr>
          <w:bCs/>
          <w:iCs/>
        </w:rPr>
      </w:pPr>
      <w:r w:rsidRPr="006E0EE6">
        <w:t>I</w:t>
      </w:r>
      <w:r w:rsidR="00527B8F" w:rsidRPr="006E0EE6">
        <w:t>.</w:t>
      </w:r>
      <w:r w:rsidR="00527B8F" w:rsidRPr="006E0EE6">
        <w:tab/>
        <w:t>întrucât importanța tot mai mare a spațiului digital pentru funcționarea societăților și economiilor noastre a dus la creșterea numărului și a amplorii atacurilor cibernetice; întrucât comunicarea comună privind Strategia de securitate cibernetică a UE pentru deceniul digital prevede că combaterea acestor amenințări și vulnerabilități necesită cooperarea cu parteneri care respectă statul de drept, libertățile fundamentale, democrația și drepturile omului;</w:t>
      </w:r>
    </w:p>
    <w:p w14:paraId="2BD8C09E" w14:textId="6BDB4CA8" w:rsidR="00527B8F" w:rsidRPr="006E0EE6" w:rsidRDefault="00B328E4" w:rsidP="00527B8F">
      <w:pPr>
        <w:pStyle w:val="NormalHanging12a"/>
      </w:pPr>
      <w:r w:rsidRPr="006E0EE6">
        <w:t>J</w:t>
      </w:r>
      <w:r w:rsidR="00527B8F" w:rsidRPr="006E0EE6">
        <w:t>.</w:t>
      </w:r>
      <w:r w:rsidR="00527B8F" w:rsidRPr="006E0EE6">
        <w:tab/>
        <w:t>întrucât interesele UE și securitatea mondială sunt cel mai bine protejate prin aprofundarea cooperării practice cu parteneri din regiune care au aceeași viziune, în special Japonia, Republica Coreea și Taiwan, urmărind în același timp un dialog bazat pe principii și constructiv cu actorii regionali, și prin implicarea Asociației Națiunilor din Asia de Sud-Est (ASEAN) ca actor central al colaborării; întrucât aceste parteneriate ar trebui să contribuie la întărirea autonomiei strategice a UE prin consolidarea unei baze industriale și tehnologice solide de apărare europeană, fără ca UE să depindă prea mult de puteri din afară; întrucât UE ar trebui să evite o dinamică a confruntărilor bazată pe blocuri și să promoveze, în schimb, multilateralismul bazat pe cooperare și dialogul fundamentat pe dreptul internațional;</w:t>
      </w:r>
    </w:p>
    <w:p w14:paraId="356225E5" w14:textId="5718B48D" w:rsidR="00527B8F" w:rsidRPr="006E0EE6" w:rsidRDefault="00B328E4" w:rsidP="00527B8F">
      <w:pPr>
        <w:pStyle w:val="NormalHanging12a"/>
      </w:pPr>
      <w:r w:rsidRPr="006E0EE6">
        <w:t>K</w:t>
      </w:r>
      <w:r w:rsidR="00527B8F" w:rsidRPr="006E0EE6">
        <w:t>.</w:t>
      </w:r>
      <w:r w:rsidR="00527B8F" w:rsidRPr="006E0EE6">
        <w:tab/>
        <w:t>întrucât parteneriatul strategic dintre UE și Japonia servește drept model pentru o cooperare bilaterală eficace care consolidează elaborarea politicilor în forurile multilaterale; întrucât intrarea în vigoare a Acordului de parteneriat strategic UE-Japonia la 1 ianuarie 2025 face posibilă o colaborare mai strânsă, inclusiv în domenii precum securitatea și apărarea, amenințările hibride, securitatea maritimă, securitatea cibernetică, spațiul și neproliferarea, pe lângă demersuri comune concrete în cadrul Alianței pentru competitivitate, al Alianței verzi, al parteneriatului digital și al dialogului privind energia;</w:t>
      </w:r>
    </w:p>
    <w:p w14:paraId="11549A63" w14:textId="69D3783C" w:rsidR="00527B8F" w:rsidRPr="006E0EE6" w:rsidRDefault="00B328E4" w:rsidP="00527B8F">
      <w:pPr>
        <w:pStyle w:val="NormalHanging12a"/>
        <w:rPr>
          <w:bCs/>
          <w:iCs/>
        </w:rPr>
      </w:pPr>
      <w:r w:rsidRPr="006E0EE6">
        <w:t>L</w:t>
      </w:r>
      <w:r w:rsidR="00527B8F" w:rsidRPr="006E0EE6">
        <w:t>.</w:t>
      </w:r>
      <w:r w:rsidR="00527B8F" w:rsidRPr="006E0EE6">
        <w:tab/>
        <w:t xml:space="preserve">întrucât Japonia este cel mai apropiat partener strategic al UE în regiunea indo-pacifică; întrucât provocările globale și, în special, tensiunile tot mai mari din regiunea indo-pacifică necesită un parteneriat din ce în ce mai strâns între UE și Japonia; întrucât o regiune indo-pacifică liberă și deschisă reprezintă un interes fundamental urmărit atât de Japonia, cât și de UE, în special prin promovarea unei ordini internaționale bazate pe norme în care toate țările aderă la dreptul internațional și la principiul soluționării pașnice a conflictelor; întrucât Japonia este un actor important în cadrul mai multor forumuri din regiunea indo-pacifică, precum </w:t>
      </w:r>
      <w:proofErr w:type="spellStart"/>
      <w:r w:rsidR="00527B8F" w:rsidRPr="006E0EE6">
        <w:t>Summitul</w:t>
      </w:r>
      <w:proofErr w:type="spellEnd"/>
      <w:r w:rsidR="00527B8F" w:rsidRPr="006E0EE6">
        <w:t xml:space="preserve"> Asiei de Est; întrucât UE și </w:t>
      </w:r>
      <w:r w:rsidR="00527B8F" w:rsidRPr="006E0EE6">
        <w:lastRenderedPageBreak/>
        <w:t>Japonia caută abordări comune la nivel bilateral și în forumuri multilaterale, cum ar fi G7, G20, ONU, Organizația Mondială a Comerțului (OMC), Organizația Mondială a Sănătății (OMS) și Organizația pentru Cooperare și Dezvoltare Economică (OCDE), precum și o aliniere ca donatori care împărtășesc aceeași viziune;</w:t>
      </w:r>
    </w:p>
    <w:p w14:paraId="75B3736C" w14:textId="70B88F07" w:rsidR="00527B8F" w:rsidRPr="006E0EE6" w:rsidRDefault="00B328E4" w:rsidP="00527B8F">
      <w:pPr>
        <w:pStyle w:val="NormalHanging12a"/>
        <w:rPr>
          <w:bCs/>
          <w:iCs/>
        </w:rPr>
      </w:pPr>
      <w:r w:rsidRPr="006E0EE6">
        <w:t>M</w:t>
      </w:r>
      <w:r w:rsidR="00527B8F" w:rsidRPr="006E0EE6">
        <w:t>.</w:t>
      </w:r>
      <w:r w:rsidR="00527B8F" w:rsidRPr="006E0EE6">
        <w:tab/>
        <w:t>întrucât Acordul de parteneriat economic UE-Japonia a intrat în vigoare în 2019 și a fost modificat în 2024 astfel încât să includă dispoziții privind libera circulație a datelor; întrucât Japonia este al șaptelea partener comercial ca mărime al UE;</w:t>
      </w:r>
    </w:p>
    <w:p w14:paraId="005FDD91" w14:textId="313BD138" w:rsidR="00527B8F" w:rsidRPr="006E0EE6" w:rsidRDefault="00B328E4" w:rsidP="00527B8F">
      <w:pPr>
        <w:pStyle w:val="NormalHanging12a"/>
        <w:rPr>
          <w:bCs/>
          <w:iCs/>
        </w:rPr>
      </w:pPr>
      <w:r w:rsidRPr="006E0EE6">
        <w:t>N</w:t>
      </w:r>
      <w:r w:rsidR="00527B8F" w:rsidRPr="006E0EE6">
        <w:t>.</w:t>
      </w:r>
      <w:r w:rsidR="00527B8F" w:rsidRPr="006E0EE6">
        <w:tab/>
      </w:r>
      <w:bookmarkStart w:id="7" w:name="_Hlk233719618"/>
      <w:r w:rsidR="00527B8F" w:rsidRPr="006E0EE6">
        <w:t>întrucât, în mai </w:t>
      </w:r>
      <w:r w:rsidR="00E747C0" w:rsidRPr="006E0EE6">
        <w:t>2026</w:t>
      </w:r>
      <w:r w:rsidR="00527B8F" w:rsidRPr="006E0EE6">
        <w:t xml:space="preserve">, cel de-al </w:t>
      </w:r>
      <w:r w:rsidR="00E747C0" w:rsidRPr="006E0EE6">
        <w:t xml:space="preserve">patrulea </w:t>
      </w:r>
      <w:r w:rsidR="00527B8F" w:rsidRPr="006E0EE6">
        <w:t>Consiliu al Parteneriatului Digital UE-Japonia a extins cooperarea în domeniul inteligenței artificiale (IA), al tehnologiilor 5G/6G, al semiconductorilor, al securității cibernetice și al guvernanței datelor și a</w:t>
      </w:r>
      <w:r w:rsidR="00E747C0" w:rsidRPr="006E0EE6">
        <w:t xml:space="preserve"> salutat progresele înregistrate de proiectul</w:t>
      </w:r>
      <w:r w:rsidR="00527B8F" w:rsidRPr="006E0EE6">
        <w:t xml:space="preserve"> comun de cercetare „6G MIRAI-HARMONY”</w:t>
      </w:r>
      <w:bookmarkEnd w:id="7"/>
      <w:r w:rsidR="00527B8F" w:rsidRPr="006E0EE6">
        <w:t>;</w:t>
      </w:r>
    </w:p>
    <w:p w14:paraId="78C3A35E" w14:textId="7F898CAA" w:rsidR="00527B8F" w:rsidRPr="006E0EE6" w:rsidRDefault="00B328E4" w:rsidP="00527B8F">
      <w:pPr>
        <w:pStyle w:val="NormalHanging12a"/>
        <w:rPr>
          <w:bCs/>
          <w:iCs/>
        </w:rPr>
      </w:pPr>
      <w:r w:rsidRPr="006E0EE6">
        <w:t>O</w:t>
      </w:r>
      <w:r w:rsidR="00527B8F" w:rsidRPr="006E0EE6">
        <w:t>.</w:t>
      </w:r>
      <w:r w:rsidR="00527B8F" w:rsidRPr="006E0EE6">
        <w:tab/>
        <w:t>întrucât Dialogul UE-Japonia privind energia din 2025 a subliniat cât de importantă este colaborarea în domeniul lanțurilor de aprovizionare cu energie curată, al securității aprovizionării cu GNL și al cooperării în domeniul hidrogenului pentru sprijinirea neutralității climatice;</w:t>
      </w:r>
    </w:p>
    <w:p w14:paraId="045F46FD" w14:textId="5AE64BB2" w:rsidR="00527B8F" w:rsidRPr="006E0EE6" w:rsidRDefault="00B328E4" w:rsidP="00527B8F">
      <w:pPr>
        <w:pStyle w:val="NormalHanging12a"/>
        <w:rPr>
          <w:b/>
          <w:bCs/>
          <w:i/>
          <w:iCs/>
          <w:szCs w:val="24"/>
        </w:rPr>
      </w:pPr>
      <w:r w:rsidRPr="006E0EE6">
        <w:t>P</w:t>
      </w:r>
      <w:r w:rsidR="00527B8F" w:rsidRPr="006E0EE6">
        <w:t>.</w:t>
      </w:r>
      <w:r w:rsidR="00527B8F" w:rsidRPr="006E0EE6">
        <w:tab/>
        <w:t xml:space="preserve">întrucât parteneriatul strategic dintre UE și Republica Coreea, un aliat esențial din regiunea indo-pacifică, include dialogul politic, comerțul și cooperarea în materie de securitate; întrucât Acordul de liber schimb UE-Republica Coreea a contribuit la o creștere substanțială a comerțului bilateral de la intrarea sa în vigoare; întrucât </w:t>
      </w:r>
      <w:bookmarkStart w:id="8" w:name="_Hlk233719710"/>
      <w:r w:rsidR="00527B8F" w:rsidRPr="006E0EE6">
        <w:t>Acordul-cadru dintre UE și Republica Coreea</w:t>
      </w:r>
      <w:bookmarkEnd w:id="8"/>
      <w:r w:rsidR="00527B8F" w:rsidRPr="006E0EE6">
        <w:t xml:space="preserve"> consolidează legăturile politice, economice și instituționale, inclusiv în domeniul securității; întrucât Acordul-cadru de participare consolidează relațiile politice și de securitate dintre UE și Republica Coreea și subliniază valorile și interesele comune; întrucât, cu ocazia </w:t>
      </w:r>
      <w:proofErr w:type="spellStart"/>
      <w:r w:rsidR="00527B8F" w:rsidRPr="006E0EE6">
        <w:t>summitului</w:t>
      </w:r>
      <w:proofErr w:type="spellEnd"/>
      <w:r w:rsidR="00527B8F" w:rsidRPr="006E0EE6">
        <w:t xml:space="preserve"> UE-Republica Coreea din 2023, liderii au convenit să instituie un parteneriat în domeniul securității și un dialog strategic la nivel de miniștri ai afacerilor externe pentru a consolida cooperarea în materie de pace și securitate la nivel mondial; întrucât parteneriatul în materie de securitate și apărare dintre UE și Republica Coreea oferă un cadru structurat pentru dialog în toate domeniile de securitate; întrucât Acordul în domeniul comerțului digital dintre UE și Republica Coreea stabilește norme reciproc avantajoase în domeniul datelor și al tehnologiilor digitale; întrucât Republica Coreea joacă un rol esențial în stabilitatea regională;</w:t>
      </w:r>
    </w:p>
    <w:p w14:paraId="563300BF" w14:textId="4FF2C1E8" w:rsidR="00527B8F" w:rsidRPr="006E0EE6" w:rsidRDefault="00B328E4" w:rsidP="00527B8F">
      <w:pPr>
        <w:pStyle w:val="NormalHanging12a"/>
        <w:rPr>
          <w:szCs w:val="24"/>
        </w:rPr>
      </w:pPr>
      <w:r w:rsidRPr="006E0EE6">
        <w:t>Q</w:t>
      </w:r>
      <w:r w:rsidR="00527B8F" w:rsidRPr="006E0EE6">
        <w:t>.</w:t>
      </w:r>
      <w:r w:rsidR="00527B8F" w:rsidRPr="006E0EE6">
        <w:tab/>
        <w:t>întrucât Acordul de liber schimb UE–Republica Coreea a fost primul dintr-o nouă generație de acorduri de liber schimb ale UE; întrucât punerea în aplicare integrală a capitolului privind comerțul și dezvoltarea durabilă din Acordul de liber schimb UE-Republica Coreea, inclusiv înregistrarea de progrese continue în domeniul drepturilor lucrătorilor și ratificarea Convenției privind abolirea muncii forțate a Organizației Internaționale a Muncii (OIM) din 1957 (nr. 105), rămâne un aspect important; întrucât Republica Coreea este al optulea partener comercial ca mărime al UE;</w:t>
      </w:r>
    </w:p>
    <w:p w14:paraId="7DB078FF" w14:textId="2F05BDBE" w:rsidR="00527B8F" w:rsidRPr="006E0EE6" w:rsidRDefault="00B328E4" w:rsidP="00527B8F">
      <w:pPr>
        <w:pStyle w:val="NormalHanging12a"/>
      </w:pPr>
      <w:r w:rsidRPr="006E0EE6">
        <w:t>R</w:t>
      </w:r>
      <w:r w:rsidR="00527B8F" w:rsidRPr="006E0EE6">
        <w:t>.</w:t>
      </w:r>
      <w:r w:rsidR="00527B8F" w:rsidRPr="006E0EE6">
        <w:tab/>
        <w:t xml:space="preserve">întrucât UE a stabilit deja parteneriate strategice cu Japonia și Republica Coreea, ca parteneri cu viziuni comune în regiune; întrucât Japonia și Republica Coreea alocă resurse substanțiale pentru accelerarea tranziției lor energetice, inclusiv în contextul ratificării de către acestea a Acordului de la Paris din 2015 și al investițiilor considerabile în energia solară și eoliană </w:t>
      </w:r>
      <w:proofErr w:type="spellStart"/>
      <w:r w:rsidR="00527B8F" w:rsidRPr="006E0EE6">
        <w:t>offshore</w:t>
      </w:r>
      <w:proofErr w:type="spellEnd"/>
      <w:r w:rsidR="00527B8F" w:rsidRPr="006E0EE6">
        <w:t>; întrucât UE își propune să își aprofundeze parteneriatele strategice și să își consolideze cooperarea cu Japonia și Republica Coreea în domeniul energiilor din surse regenerabile pentru a atinge neutralitatea emisiilor de dioxid de carbon până în 2050;</w:t>
      </w:r>
    </w:p>
    <w:p w14:paraId="761ED821" w14:textId="0A4D0169" w:rsidR="00527B8F" w:rsidRPr="006E0EE6" w:rsidRDefault="00B328E4" w:rsidP="00527B8F">
      <w:pPr>
        <w:pStyle w:val="NormalHanging12a"/>
      </w:pPr>
      <w:r w:rsidRPr="006E0EE6">
        <w:lastRenderedPageBreak/>
        <w:t>S</w:t>
      </w:r>
      <w:r w:rsidR="00527B8F" w:rsidRPr="006E0EE6">
        <w:t>.</w:t>
      </w:r>
      <w:r w:rsidR="00527B8F" w:rsidRPr="006E0EE6">
        <w:tab/>
        <w:t>întrucât Republica Coreea și Japonia sunt actori tehnologici de prim rang, a căror dezvoltare în domeniul inteligenței artificiale, inclusiv în sectorul apărării, modelează răspunsurile la amenințările cibernetice și militare, în special având în vedere amenințările constante din partea Republicii Populare Democrate Coreene;</w:t>
      </w:r>
    </w:p>
    <w:p w14:paraId="18564FD2" w14:textId="473BD563" w:rsidR="00527B8F" w:rsidRPr="006E0EE6" w:rsidRDefault="00B328E4" w:rsidP="00527B8F">
      <w:pPr>
        <w:pStyle w:val="NormalHanging12a"/>
      </w:pPr>
      <w:r w:rsidRPr="006E0EE6">
        <w:t>T</w:t>
      </w:r>
      <w:r w:rsidR="00527B8F" w:rsidRPr="006E0EE6">
        <w:t>.</w:t>
      </w:r>
      <w:r w:rsidR="00527B8F" w:rsidRPr="006E0EE6">
        <w:tab/>
        <w:t>întrucât Australia, Japonia și Republica Coreea își intensifică cooperarea trilaterală pentru a consolida securitatea și stabilitatea în regiunea indo-pacifică, inclusiv prin exerciții militare comune și o cooperare mai strânsă în domeniul tehnologiei de apărare și al rezilienței lanțului de aprovizionare; întrucât această coordonare trilaterală tot mai strânsă se bazează pe impulsul generat de Parteneriatul strategic cuprinzător al Australiei cu Republica Coreea și de Parteneriatul strategic special al acesteia cu Japonia;</w:t>
      </w:r>
    </w:p>
    <w:p w14:paraId="4240D912" w14:textId="5D76124D" w:rsidR="00527B8F" w:rsidRPr="006E0EE6" w:rsidRDefault="00B328E4" w:rsidP="00527B8F">
      <w:pPr>
        <w:pStyle w:val="NormalHanging12a"/>
      </w:pPr>
      <w:r w:rsidRPr="006E0EE6">
        <w:t>U</w:t>
      </w:r>
      <w:r w:rsidR="00527B8F" w:rsidRPr="006E0EE6">
        <w:t>.</w:t>
      </w:r>
      <w:r w:rsidR="00527B8F" w:rsidRPr="006E0EE6">
        <w:tab/>
        <w:t xml:space="preserve">întrucât, la 1 ianuarie 2025, Republica Coreea a devenit prima țară asiatică care a aderat la programul Orizont Europa, urmată de </w:t>
      </w:r>
      <w:r w:rsidR="0031333F" w:rsidRPr="006E0EE6">
        <w:t xml:space="preserve">finalizarea negocierilor cu </w:t>
      </w:r>
      <w:r w:rsidR="00527B8F" w:rsidRPr="006E0EE6">
        <w:t>Japonia la 22 decembrie 2025; întrucât aderarea ambelor țări la program demonstrează angajamentul lor ferm față de cooperarea cu UE în domeniul cercetării și inovării;</w:t>
      </w:r>
    </w:p>
    <w:p w14:paraId="4CD460B4" w14:textId="15A8FDED" w:rsidR="00527B8F" w:rsidRPr="006E0EE6" w:rsidRDefault="00B328E4" w:rsidP="00527B8F">
      <w:pPr>
        <w:pStyle w:val="NormalHanging12a"/>
        <w:rPr>
          <w:bCs/>
          <w:iCs/>
        </w:rPr>
      </w:pPr>
      <w:r w:rsidRPr="006E0EE6">
        <w:t>V</w:t>
      </w:r>
      <w:r w:rsidR="00527B8F" w:rsidRPr="006E0EE6">
        <w:t>.</w:t>
      </w:r>
      <w:r w:rsidR="00527B8F" w:rsidRPr="006E0EE6">
        <w:tab/>
        <w:t>întrucât Taiwanul este un partener democratic de încredere fundamental pentru UE în regiunea Asiei de Est; întrucât UE și Taiwan împărtășesc valori comune, precum democrația, statul de drept și drepturile omului, ambele angajându-se să susțină multilateralismul și ordinea internațională bazată pe norme; întrucât în Cartea albă comună privind pregătirea pentru apărare a Europei 2030 (JOIN(2025)0120) se exprimă îngrijorarea cu privire la constrângerile impuse de China Taiwanului prin intensificarea măsurilor politice, economice, militare și cibernetice; întrucât pacea și stabilitatea în strâmtoarea Taiwan și în Marea Chinei de Sud prezintă un interes strategic vital pentru UE și sunt esențiale pentru securitatea și prosperitatea mondială, inclusiv pentru fluxurile comerciale internaționale, securitatea investițiilor și funcționarea lanțurilor de aprovizionare la nivel global;</w:t>
      </w:r>
    </w:p>
    <w:p w14:paraId="0A8EB914" w14:textId="0F221A6F" w:rsidR="00527B8F" w:rsidRPr="006E0EE6" w:rsidRDefault="00B328E4" w:rsidP="00527B8F">
      <w:pPr>
        <w:pStyle w:val="NormalHanging12a"/>
        <w:rPr>
          <w:bCs/>
          <w:iCs/>
        </w:rPr>
      </w:pPr>
      <w:r w:rsidRPr="006E0EE6">
        <w:t>W</w:t>
      </w:r>
      <w:r w:rsidR="00527B8F" w:rsidRPr="006E0EE6">
        <w:t>.</w:t>
      </w:r>
      <w:r w:rsidR="00527B8F" w:rsidRPr="006E0EE6">
        <w:tab/>
        <w:t>întrucât Taiwanul este al 13-lea partener comercial ca mărime al UE și un partener economic esențial, clasându-se printre cei mai importanți parteneri comerciali și de investiții ai UE din Asia, și joacă un rol fundamental în lanțurile valorice globale, în special în producția de semiconductori, sănătatea publică, reziliența democratică și pregătirea pentru dezastre;</w:t>
      </w:r>
    </w:p>
    <w:p w14:paraId="205EE605" w14:textId="2A5CC3AE" w:rsidR="00527B8F" w:rsidRPr="006E0EE6" w:rsidRDefault="00B328E4" w:rsidP="00527B8F">
      <w:pPr>
        <w:pStyle w:val="NormalHanging12a"/>
        <w:rPr>
          <w:bCs/>
          <w:iCs/>
        </w:rPr>
      </w:pPr>
      <w:r w:rsidRPr="006E0EE6">
        <w:t>X</w:t>
      </w:r>
      <w:r w:rsidR="00527B8F" w:rsidRPr="006E0EE6">
        <w:t>.</w:t>
      </w:r>
      <w:r w:rsidR="00527B8F" w:rsidRPr="006E0EE6">
        <w:tab/>
        <w:t>întrucât Taiwanul se află într-o poziție strategică din punct de vedere comercial; întrucât strâmtoarea Taiwan este ruta principală pentru navele care călătoresc din China, Japonia, Republica Coreea și Taiwan către Europa; întrucât Taiwanul este lider pe piața producției de semiconductori, producătorii săi realizând aproximativ 50 % din producția mondială de semiconductori; întrucât strategia UE pentru regiunea indo-pacifică pledează pentru intensificarea cooperării comerciale și de investiții cu Taiwanul și susține stabilizarea tensiunilor din Marea Chinei de Sud și din strâmtoarea Taiwan;</w:t>
      </w:r>
    </w:p>
    <w:p w14:paraId="73AB18AB" w14:textId="43CBBC42" w:rsidR="00527B8F" w:rsidRPr="006E0EE6" w:rsidRDefault="00B328E4" w:rsidP="00527B8F">
      <w:pPr>
        <w:pStyle w:val="NormalHanging12a"/>
        <w:rPr>
          <w:bCs/>
          <w:iCs/>
        </w:rPr>
      </w:pPr>
      <w:r w:rsidRPr="006E0EE6">
        <w:t>Y</w:t>
      </w:r>
      <w:r w:rsidR="00527B8F" w:rsidRPr="006E0EE6">
        <w:t>.</w:t>
      </w:r>
      <w:r w:rsidR="00527B8F" w:rsidRPr="006E0EE6">
        <w:tab/>
        <w:t>întrucât cooperarea dintre UE, Japonia, Republica Coreea și Taiwan contribuie la promovarea stabilității, a piețelor deschise și a ordinii internaționale bazate pe norme; întrucât acești parteneri au interese comune în abordarea provocărilor globale, inclusiv în ceea ce privește securitatea economică și dezvoltarea tehnologică; întrucât o coordonare sporită între UE, Japonia și Republica Coreea poate contribui la o mai mare coerență a politicilor în abordarea provocărilor regionale și globale;</w:t>
      </w:r>
    </w:p>
    <w:p w14:paraId="05DE4392" w14:textId="7A0205D7" w:rsidR="00527B8F" w:rsidRPr="006E0EE6" w:rsidRDefault="00B328E4" w:rsidP="00527B8F">
      <w:pPr>
        <w:pStyle w:val="NormalHanging12a"/>
        <w:rPr>
          <w:bCs/>
          <w:iCs/>
        </w:rPr>
      </w:pPr>
      <w:r w:rsidRPr="006E0EE6">
        <w:t>Z</w:t>
      </w:r>
      <w:r w:rsidR="00527B8F" w:rsidRPr="006E0EE6">
        <w:t>.</w:t>
      </w:r>
      <w:r w:rsidR="00527B8F" w:rsidRPr="006E0EE6">
        <w:tab/>
        <w:t xml:space="preserve">întrucât cooperarea trilaterală dintre UE, Japonia, Republica Coreea și Taiwan poate </w:t>
      </w:r>
      <w:r w:rsidR="00527B8F" w:rsidRPr="006E0EE6">
        <w:lastRenderedPageBreak/>
        <w:t xml:space="preserve">contribui la elaborarea de norme și standarde internaționale, în special în domeniul guvernanței digitale și al lanțurilor de aprovizionare; întrucât UE, Japonia și Republica Coreea sunt parteneri cu viziuni similare. care împărtășesc aceleași obiective; întrucât parteneriatul lor strategic în domeniul IA constituie un mecanism de promovare a schimburilor în comerțul digital și de adaptare la schimbările din contextul global; </w:t>
      </w:r>
    </w:p>
    <w:p w14:paraId="3AD2FDCC" w14:textId="3AA70F74" w:rsidR="00527B8F" w:rsidRPr="006E0EE6" w:rsidRDefault="00B328E4" w:rsidP="00527B8F">
      <w:pPr>
        <w:pStyle w:val="NormalHanging12a"/>
        <w:rPr>
          <w:bCs/>
          <w:iCs/>
        </w:rPr>
      </w:pPr>
      <w:r w:rsidRPr="006E0EE6">
        <w:t>AA</w:t>
      </w:r>
      <w:r w:rsidR="00527B8F" w:rsidRPr="006E0EE6">
        <w:t>.</w:t>
      </w:r>
      <w:r w:rsidR="00527B8F" w:rsidRPr="006E0EE6">
        <w:tab/>
        <w:t>întrucât Alianța verde UE-Japonia și Parteneriatul verde UE-Republica Coreea oferă cadre concrete de cooperare în domeniul acțiunilor climatice, al energiei curate, al decarbonizării industriale, al economiei circulare și al altor elemente ale tranziției verzi; întrucât o cooperare structurată mai aprofundată cu Taiwanul în domeniul tehnologiilor curate și al rezilienței lanțurilor de aprovizionare este și în interesul UE;</w:t>
      </w:r>
    </w:p>
    <w:p w14:paraId="4B5F5912" w14:textId="3608A2D8" w:rsidR="00527B8F" w:rsidRPr="006E0EE6" w:rsidRDefault="00B328E4" w:rsidP="00527B8F">
      <w:pPr>
        <w:pStyle w:val="NormalHanging12a"/>
        <w:rPr>
          <w:bCs/>
          <w:iCs/>
        </w:rPr>
      </w:pPr>
      <w:r w:rsidRPr="006E0EE6">
        <w:t>AB</w:t>
      </w:r>
      <w:r w:rsidR="00527B8F" w:rsidRPr="006E0EE6">
        <w:t>.</w:t>
      </w:r>
      <w:r w:rsidR="00527B8F" w:rsidRPr="006E0EE6">
        <w:tab/>
        <w:t>întrucât pacea și stabilitatea în strâmtoarea Taiwan și în Marea Chinei de Sud au o importanță strategică pentru securitatea regională și mondială; întrucât unele state membre ale UE au o prezență navală în regiunea indo-pacifică, iar UE în ansamblu are un interes direct în menținerea statu-quoului;</w:t>
      </w:r>
    </w:p>
    <w:p w14:paraId="23E8D8D7" w14:textId="045BF9CF" w:rsidR="00527B8F" w:rsidRPr="006E0EE6" w:rsidRDefault="00B328E4" w:rsidP="00527B8F">
      <w:pPr>
        <w:pStyle w:val="NormalHanging12a"/>
        <w:rPr>
          <w:bCs/>
          <w:iCs/>
        </w:rPr>
      </w:pPr>
      <w:r w:rsidRPr="006E0EE6">
        <w:t>AC</w:t>
      </w:r>
      <w:r w:rsidR="00527B8F" w:rsidRPr="006E0EE6">
        <w:t>.</w:t>
      </w:r>
      <w:r w:rsidR="00527B8F" w:rsidRPr="006E0EE6">
        <w:tab/>
        <w:t>întrucât, în noiembrie 2025, UE și Filipine au instituit un dialog privind securitatea și apărarea pentru a face față complexității din ce în ce mai mari a amenințărilor la adresa securității și pentru a promova schimburile și cooperarea legate de aspecte precum securitatea maritimă, stabilitatea regională și conectivitatea; întrucât, în ianuarie 2026, UE și Vietnamul și-au consolidat relațiile, transformându-le într-un parteneriat strategic cuprinzător, pentru a aprofunda cooperarea într-o gamă largă de domenii, inclusiv în ceea ce privește securitatea maritimă, reziliența lanțurilor de aprovizionare și consolidarea conectivității între Europa și Asia de Sud-Est;</w:t>
      </w:r>
    </w:p>
    <w:p w14:paraId="36D366A7" w14:textId="578B3CA9" w:rsidR="00527B8F" w:rsidRPr="006E0EE6" w:rsidRDefault="00B328E4" w:rsidP="00527B8F">
      <w:pPr>
        <w:pStyle w:val="NormalHanging12a"/>
        <w:rPr>
          <w:bCs/>
          <w:iCs/>
        </w:rPr>
      </w:pPr>
      <w:r w:rsidRPr="006E0EE6">
        <w:t>AD</w:t>
      </w:r>
      <w:r w:rsidR="00527B8F" w:rsidRPr="006E0EE6">
        <w:t>.</w:t>
      </w:r>
      <w:r w:rsidR="00527B8F" w:rsidRPr="006E0EE6">
        <w:tab/>
        <w:t>întrucât situația drepturilor omului în RPDC continuă să fie caracterizată de încălcări sistematice, pe scară largă și grave, inclusiv restricții privind libertatea de exprimare, de circulație și accesul la informații, existența lagărelor de deținuți politici și cazuri documentate de muncă forțată și tortură, precum și absența standardelor juridice minime în cadrul procedurii penale; întrucât aceste încălcări au fost semnalate constant de instituțiile internaționale și necesită o atenție și o acțiune susținută din partea comunității internaționale;</w:t>
      </w:r>
    </w:p>
    <w:p w14:paraId="6715F77F" w14:textId="13A2FDA8" w:rsidR="00527B8F" w:rsidRPr="006E0EE6" w:rsidRDefault="00B328E4" w:rsidP="00527B8F">
      <w:pPr>
        <w:pStyle w:val="NormalHanging12a"/>
      </w:pPr>
      <w:r w:rsidRPr="006E0EE6">
        <w:t>AE</w:t>
      </w:r>
      <w:r w:rsidR="00527B8F" w:rsidRPr="006E0EE6">
        <w:t>.</w:t>
      </w:r>
      <w:r w:rsidR="00527B8F" w:rsidRPr="006E0EE6">
        <w:tab/>
        <w:t>întrucât prezența UE în regiunea Asiei de Est și cooperarea cu aceasta sunt extrem de importante pentru a promova pacea și stabilitatea în regiune, pentru a proteja securitatea economică și pentru a consolida ordinea internațională bazată pe norme, deoarece provocările în materie de securitate din regiune au implicații directe pentru pacea mondială și interesele UE; întrucât partenerii din Asia de Est, printre care Japonia, Republica Coreea, Taiwan și statele membre ale ASEAN, întrețin relații complexe și multidimensionale cu China, caracterizate de o interdependență economică semnificativă;</w:t>
      </w:r>
    </w:p>
    <w:p w14:paraId="50C4B361" w14:textId="6EE9DCD6" w:rsidR="00527B8F" w:rsidRPr="006E0EE6" w:rsidRDefault="00B328E4" w:rsidP="00527B8F">
      <w:pPr>
        <w:pStyle w:val="NormalHanging12a"/>
        <w:rPr>
          <w:bCs/>
          <w:iCs/>
        </w:rPr>
      </w:pPr>
      <w:r w:rsidRPr="006E0EE6">
        <w:t>AF</w:t>
      </w:r>
      <w:r w:rsidR="00527B8F" w:rsidRPr="006E0EE6">
        <w:t>.</w:t>
      </w:r>
      <w:r w:rsidR="00527B8F" w:rsidRPr="006E0EE6">
        <w:tab/>
        <w:t>întrucât țările și teritoriile de peste mări (TTPM) reprezintă singurele teritorii europene situate în Oceanul Pacific și în regiunea indo-pacifică; întrucât acestea constituie puncte de sprijin strategice unice pentru prezența, influența și cooperarea Uniunii în aceste regiuni, în special în domeniile apărării, comerțului, tehnologiei digitale, spațiului și cooperării culturale;</w:t>
      </w:r>
    </w:p>
    <w:p w14:paraId="25226DD3" w14:textId="1CC9F089" w:rsidR="00527B8F" w:rsidRPr="006E0EE6" w:rsidRDefault="00B328E4" w:rsidP="00527B8F">
      <w:pPr>
        <w:pStyle w:val="NormalHanging12a"/>
        <w:rPr>
          <w:bCs/>
          <w:iCs/>
        </w:rPr>
      </w:pPr>
      <w:r w:rsidRPr="006E0EE6">
        <w:t>AG</w:t>
      </w:r>
      <w:r w:rsidR="00527B8F" w:rsidRPr="006E0EE6">
        <w:t>.</w:t>
      </w:r>
      <w:r w:rsidR="00527B8F" w:rsidRPr="006E0EE6">
        <w:tab/>
        <w:t xml:space="preserve">întrucât UE este sursa celui mai mare stoc de investiții străine directe în Japonia, Republica Coreea și Taiwan; </w:t>
      </w:r>
    </w:p>
    <w:p w14:paraId="34DC0C79" w14:textId="0A1D75BD" w:rsidR="00527B8F" w:rsidRPr="006E0EE6" w:rsidRDefault="00B328E4" w:rsidP="00527B8F">
      <w:pPr>
        <w:pStyle w:val="NormalHanging12a"/>
        <w:rPr>
          <w:bCs/>
          <w:iCs/>
        </w:rPr>
      </w:pPr>
      <w:r w:rsidRPr="006E0EE6">
        <w:lastRenderedPageBreak/>
        <w:t>AH</w:t>
      </w:r>
      <w:r w:rsidR="00527B8F" w:rsidRPr="006E0EE6">
        <w:t>.</w:t>
      </w:r>
      <w:r w:rsidR="00527B8F" w:rsidRPr="006E0EE6">
        <w:tab/>
        <w:t>întrucât Acordul de parteneriat transpacific cuprinzător și progresiv (CPTPP) a devenit un cadru comercial major bazat pe norme în regiunea indo-pacifică; întrucât Japonia este membră a CPTPP, iar Republica Coreea și Taiwan au depus cereri de aderare; întrucât UE a lansat în noiembrie 2025 un dialog privind comerțul și investițiile cu țările din CPTPP,</w:t>
      </w:r>
    </w:p>
    <w:p w14:paraId="78D7491B" w14:textId="77777777" w:rsidR="00527B8F" w:rsidRPr="006E0EE6" w:rsidRDefault="00527B8F" w:rsidP="00527B8F">
      <w:pPr>
        <w:pStyle w:val="NormalHanging12a"/>
      </w:pPr>
      <w:r w:rsidRPr="006E0EE6">
        <w:t>1.</w:t>
      </w:r>
      <w:r w:rsidRPr="006E0EE6">
        <w:tab/>
        <w:t>recomandă Consiliului, Comisiei și Vicepreședintei Comisiei/Înaltei Reprezentante a Uniunii pentru afaceri externe și politica de securitate:</w:t>
      </w:r>
    </w:p>
    <w:p w14:paraId="761C9820" w14:textId="77777777" w:rsidR="00527B8F" w:rsidRPr="006E0EE6" w:rsidRDefault="00527B8F" w:rsidP="00527B8F">
      <w:pPr>
        <w:pStyle w:val="NormalHangingLeft12a"/>
        <w:rPr>
          <w:bCs/>
          <w:iCs/>
        </w:rPr>
      </w:pPr>
      <w:r w:rsidRPr="006E0EE6">
        <w:t>(a)</w:t>
      </w:r>
      <w:r w:rsidRPr="006E0EE6">
        <w:tab/>
        <w:t>să intensifice orientarea strategică, prezența și vizibilitatea UE în Asia de Est, precum și dialogul și cooperarea cu aceasta, inclusiv prin intermediul dialogului diplomatic, al cooperării în domeniul securității, al contactelor interpersonale și al parteneriatelor economice, cu scopul de a evita dinamica confruntărilor bazate pe blocuri și a contribui la pace, dezvoltarea durabilă, stabilitatea, securitatea și prosperitatea regiunii, bazându-se pe promovarea democrației, a multilateralismului, a statului de drept, a drepturilor omului, a unui sistem comercial bazat pe norme, a integrității teritoriale și a dreptului internațional; în acest context, să coopereze cu Japonia în legătură cu conceptul său actualizat privind o regiune indo-pacifică liberă și deschisă; să consolideze cooperarea, coordonarea și dialogul cu parteneri din Asia de Est cu viziuni similare, valorificând pe deplin cunoștințele și experiența lor la nivel regional, pentru a asigura o abordare mai eficace, mai coerentă și mai bine adaptată contextului în ceea ce privește pacea, securitatea și stabilitatea în Asia de Est;</w:t>
      </w:r>
    </w:p>
    <w:p w14:paraId="420505A0" w14:textId="77777777" w:rsidR="00527B8F" w:rsidRPr="006E0EE6" w:rsidRDefault="00527B8F" w:rsidP="00527B8F">
      <w:pPr>
        <w:pStyle w:val="NormalHangingLeft12a"/>
        <w:rPr>
          <w:bCs/>
          <w:iCs/>
        </w:rPr>
      </w:pPr>
      <w:r w:rsidRPr="006E0EE6">
        <w:t>(b)</w:t>
      </w:r>
      <w:r w:rsidRPr="006E0EE6">
        <w:tab/>
        <w:t xml:space="preserve">să consolideze previziunile strategice și planurile pentru situații neprevăzute între UE și partenerii săi din Asia de Est cu scopul de a elabora o evaluare comună a riscurilor la adresa securității regionale și să coordoneze măsurile de descurajare pentru a proteja pacea și stabilitatea în regiune și a contribui la acestea și pentru a descuraja în mod </w:t>
      </w:r>
      <w:proofErr w:type="spellStart"/>
      <w:r w:rsidRPr="006E0EE6">
        <w:t>proactiv</w:t>
      </w:r>
      <w:proofErr w:type="spellEnd"/>
      <w:r w:rsidRPr="006E0EE6">
        <w:t xml:space="preserve"> încercările unilaterale de modificare a statu-quo-ului regional prin forță sau constrângere;</w:t>
      </w:r>
    </w:p>
    <w:p w14:paraId="55B5AAA8" w14:textId="77777777" w:rsidR="00527B8F" w:rsidRPr="006E0EE6" w:rsidRDefault="00527B8F" w:rsidP="00527B8F">
      <w:pPr>
        <w:pStyle w:val="NormalHangingLeft12a"/>
        <w:rPr>
          <w:bCs/>
          <w:iCs/>
        </w:rPr>
      </w:pPr>
      <w:r w:rsidRPr="006E0EE6">
        <w:t>(c)</w:t>
      </w:r>
      <w:r w:rsidRPr="006E0EE6">
        <w:tab/>
        <w:t xml:space="preserve">să salute progresele diplomatice semnificative înregistrate de guvernele Japoniei și Republicii Coreea în crearea unui parteneriat orientat spre viitor și </w:t>
      </w:r>
      <w:proofErr w:type="spellStart"/>
      <w:r w:rsidRPr="006E0EE6">
        <w:t>rezilient</w:t>
      </w:r>
      <w:proofErr w:type="spellEnd"/>
      <w:r w:rsidRPr="006E0EE6">
        <w:t xml:space="preserve">, deoarece această cooperare consolidată între Japonia și Republica Coreea este vitală pentru a menține o ordine internațională bazată pe norme și a asigura stabilitatea în întreaga regiune indo-pacifică; </w:t>
      </w:r>
    </w:p>
    <w:p w14:paraId="3560DF93" w14:textId="77777777" w:rsidR="00527B8F" w:rsidRPr="006E0EE6" w:rsidRDefault="00527B8F" w:rsidP="00527B8F">
      <w:pPr>
        <w:pStyle w:val="NormalHangingLeft12a"/>
        <w:rPr>
          <w:bCs/>
          <w:iCs/>
        </w:rPr>
      </w:pPr>
      <w:r w:rsidRPr="006E0EE6">
        <w:t>(d)</w:t>
      </w:r>
      <w:r w:rsidRPr="006E0EE6">
        <w:tab/>
        <w:t>să consolideze autonomia strategică a UE și securitatea sa economică prin diversificarea comerțului și a investițiilor, lanțuri de aprovizionare sigure și previzibile, piețe și fluxuri comerciale deschise și o cooperare mai strânsă cu parteneri care împărtășesc aceeași viziune din Asia de Est, garantând totodată beneficii reciproce și crearea de valoare la nivel local și susținând angajamentul UE față de un comerț echitabil și sustenabil;</w:t>
      </w:r>
    </w:p>
    <w:p w14:paraId="606DDD7F" w14:textId="77777777" w:rsidR="00527B8F" w:rsidRPr="006E0EE6" w:rsidRDefault="00527B8F" w:rsidP="00527B8F">
      <w:pPr>
        <w:pStyle w:val="NormalHanging12a"/>
        <w:ind w:left="1134"/>
        <w:rPr>
          <w:bCs/>
          <w:iCs/>
        </w:rPr>
      </w:pPr>
      <w:r w:rsidRPr="006E0EE6">
        <w:t>(e)</w:t>
      </w:r>
      <w:r w:rsidRPr="006E0EE6">
        <w:tab/>
        <w:t xml:space="preserve">să aprofundeze cooperarea cu partenerii regionali care împărtășesc aceeași viziune, în special Japonia, Republica Coreea și Taiwanul, precum și cu țările ASEAN, pentru a face față dificultăților comune în domenii precum coerciția economică, măsurile arbitrare de control al exporturilor, inclusiv restricțiile la exportul de produse cu dublă utilizare care vizează Japonia, politicile și practicile neconforme cu principiile pieței, reziliența democratică, tranziția ecologică, securitatea cibernetică, amenințările hibride, inclusiv acțiunile străine de manipulare a informațiilor și ingerințele străine, protecția infrastructurilor critice, </w:t>
      </w:r>
      <w:r w:rsidRPr="006E0EE6">
        <w:lastRenderedPageBreak/>
        <w:t xml:space="preserve">inclusiv a cablurilor submarine și a nodurilor portuare și logistice, securitatea maritimă și spațială, neproliferarea și tehnologiile emergente de apărare, inclusiv tehnologia avansată a </w:t>
      </w:r>
      <w:proofErr w:type="spellStart"/>
      <w:r w:rsidRPr="006E0EE6">
        <w:t>dronelor</w:t>
      </w:r>
      <w:proofErr w:type="spellEnd"/>
      <w:r w:rsidRPr="006E0EE6">
        <w:t xml:space="preserve">, consolidând în același timp </w:t>
      </w:r>
      <w:proofErr w:type="spellStart"/>
      <w:r w:rsidRPr="006E0EE6">
        <w:t>sinergiile</w:t>
      </w:r>
      <w:proofErr w:type="spellEnd"/>
      <w:r w:rsidRPr="006E0EE6">
        <w:t xml:space="preserve"> cu partenerii-cheie și organizațiile regionale, respectând pe deplin Carta ONU; să exploreze și să pună în aplicare inițiative comune pentru a consolida autonomia strategică a părților și a reduce dependența de China; să sublinieze importanța instituțiilor solide și a democrațiilor dinamice ale Japoniei, Republicii Coreea și Taiwanului în contextul regional mai larg, care constituie o contrapondere decisivă în regiune; </w:t>
      </w:r>
    </w:p>
    <w:p w14:paraId="71D73BD5" w14:textId="77777777" w:rsidR="00527B8F" w:rsidRPr="006E0EE6" w:rsidRDefault="00527B8F" w:rsidP="00527B8F">
      <w:pPr>
        <w:pStyle w:val="NormalHanging12a"/>
        <w:ind w:left="1134"/>
      </w:pPr>
      <w:r w:rsidRPr="006E0EE6">
        <w:t>(f)</w:t>
      </w:r>
      <w:r w:rsidRPr="006E0EE6">
        <w:tab/>
        <w:t>să mențină, în coordonare cu partenerii care împărtășesc aceeași viziune, canale deschise de dialog și de colaborare bazată pe principii cu alți actori globali din Asia de Est, pentru a face față provocărilor comune de pe plan mondial;</w:t>
      </w:r>
    </w:p>
    <w:p w14:paraId="691F4D64" w14:textId="77777777" w:rsidR="00527B8F" w:rsidRPr="006E0EE6" w:rsidRDefault="00527B8F" w:rsidP="00527B8F">
      <w:pPr>
        <w:pStyle w:val="NormalHanging12a"/>
        <w:ind w:left="1134"/>
      </w:pPr>
      <w:r w:rsidRPr="006E0EE6">
        <w:t>(g)</w:t>
      </w:r>
      <w:r w:rsidRPr="006E0EE6">
        <w:tab/>
        <w:t xml:space="preserve">să reafirme că este important este să se respecte dreptul internațional pentru a promova pacea și prosperitatea într-o regiune indo-pacifică liberă și deschisă; să promoveze activ respectarea și aplicarea universală a Convenției Organizației Națiunilor Unite privind dreptul mării (UNCLOS) drept cadru juridic universal care reglementează activitățile maritime, inclusiv hotărârea arbitrală din 2016 privind Marea Chinei de Sud, și să se opună acțiunilor sau pretențiilor unilaterale care nu respectă dreptul internațional; </w:t>
      </w:r>
    </w:p>
    <w:p w14:paraId="70E8EEA2" w14:textId="77777777" w:rsidR="00527B8F" w:rsidRPr="006E0EE6" w:rsidRDefault="00527B8F" w:rsidP="00527B8F">
      <w:pPr>
        <w:pStyle w:val="NormalHanging12a"/>
        <w:ind w:left="1134"/>
      </w:pPr>
      <w:r w:rsidRPr="006E0EE6">
        <w:t>(h)</w:t>
      </w:r>
      <w:r w:rsidRPr="006E0EE6">
        <w:tab/>
        <w:t>să faciliteze cooperarea militar-industrială structurată cu parteneri care împărtășesc aceeași viziune și să stabilească parteneriate de securitate în acest sens, axate pe interoperabilitate, dezvoltarea și achiziționarea în comun a tehnologiilor de apărare, securitatea lanțurilor de aprovizionare, precum și activități comune de cercetare și dezvoltare în domeniul aviației, ținând seama și de contribuția sistemelor bazate pe inteligența artificială;</w:t>
      </w:r>
    </w:p>
    <w:p w14:paraId="3317BFFA" w14:textId="77777777" w:rsidR="00527B8F" w:rsidRPr="006E0EE6" w:rsidRDefault="00527B8F" w:rsidP="00527B8F">
      <w:pPr>
        <w:pStyle w:val="NormalHanging12a"/>
        <w:ind w:left="1134"/>
      </w:pPr>
      <w:r w:rsidRPr="006E0EE6">
        <w:t>(i)</w:t>
      </w:r>
      <w:r w:rsidRPr="006E0EE6">
        <w:tab/>
        <w:t>să continue să colaboreze în mod pragmatic cu China în ceea ce privește provocările de la nivel mondial, consolidând în același timp coordonarea cu partenerii care împărtășesc aceeași viziune în materie de securitate, având în vedere rolul din ce în ce mai important al Chinei în asigurarea păcii și stabilității mondiale, în special în contextul războiului de agresiune al Rusiei împotriva Ucrainei și al instabilității actuale din Orientul Mijlociu;</w:t>
      </w:r>
    </w:p>
    <w:p w14:paraId="312CAEDD" w14:textId="77777777" w:rsidR="00527B8F" w:rsidRPr="006E0EE6" w:rsidRDefault="00527B8F" w:rsidP="00527B8F">
      <w:pPr>
        <w:pStyle w:val="NormalHanging12a"/>
        <w:ind w:left="1134"/>
        <w:rPr>
          <w:bCs/>
          <w:iCs/>
        </w:rPr>
      </w:pPr>
      <w:r w:rsidRPr="006E0EE6">
        <w:t>(j)</w:t>
      </w:r>
      <w:r w:rsidRPr="006E0EE6">
        <w:tab/>
        <w:t xml:space="preserve">să intensifice cooperarea în ceea ce privește lanțurile de aprovizionare sigure, sustenabile și diversificate pentru semiconductori, baterii și materii prime critice, inclusiv prin trasabilitate, reciclare, circularitate și standarde înalte în materie de mediu și de muncă, precum și în coordonare cu partenerii care împărtășesc aceeași viziune în cadrul inițiativelor multilaterale relevante; </w:t>
      </w:r>
    </w:p>
    <w:p w14:paraId="1A3D3459" w14:textId="77777777" w:rsidR="00527B8F" w:rsidRPr="006E0EE6" w:rsidRDefault="00527B8F" w:rsidP="00527B8F">
      <w:pPr>
        <w:pStyle w:val="NormalHanging12a"/>
        <w:ind w:left="1134"/>
      </w:pPr>
      <w:r w:rsidRPr="006E0EE6">
        <w:t>(k)</w:t>
      </w:r>
      <w:r w:rsidRPr="006E0EE6">
        <w:tab/>
        <w:t xml:space="preserve">să consolideze Acordul de parteneriat strategic UE-Japonia și parteneriatul în materie de securitate și apărare al celor două părți; să încurajeze o colaborare mai strânsă referitoare la aspecte legate de industria apărării, inclusiv implicarea reciprocă în inițiative din domeniul apărării, realizarea unor progrese în favoarea unui acord privind securitatea informațiilor și aprofundarea dialogului UE-Japonia privind industria apărării pentru a consolida reziliența, interoperabilitatea și inovarea lanțului de aprovizionare; să intensifice activitățile comune concrete din cadrul Alianței pentru competitivitate, al Alianței verzi, al Parteneriatului digital și al dialogurilor privind energia și să continue să extindă dialogul economic la nivel înalt UE-Japonia și să consolideze cooperarea economică strategică dintre cele </w:t>
      </w:r>
      <w:r w:rsidRPr="006E0EE6">
        <w:lastRenderedPageBreak/>
        <w:t>două părți; să accelereze punerea în aplicare a Alianței pentru competitivitate UE-Japonia;</w:t>
      </w:r>
    </w:p>
    <w:p w14:paraId="390DE890" w14:textId="77777777" w:rsidR="00527B8F" w:rsidRPr="006E0EE6" w:rsidRDefault="00527B8F" w:rsidP="00527B8F">
      <w:pPr>
        <w:pStyle w:val="NormalHanging12a"/>
        <w:ind w:left="1134"/>
      </w:pPr>
      <w:r w:rsidRPr="006E0EE6">
        <w:t>(l)</w:t>
      </w:r>
      <w:r w:rsidRPr="006E0EE6">
        <w:tab/>
        <w:t>să sublinieze că parteneriatul UE-Japonia este unul dintre cele mai strânse, bazat pe valori comune, democrație, comerț liber și interese reciproc compatibile; să accentueze cât de importante sunt aprofundarea și extinderea în continuare a acestui parteneriat atât în context bilateral, cât și în context multilateral; să evidențieze că UE și Japonia reprezintă împreună aproape 25 % din produsul intern brut (PIB-ul) mondial și că acest parteneriat poate și ar trebui să joace un rol-cheie în modelarea unei ordini internaționale pașnice, bazate pe norme, incluzive, juste, durabile și prospere; să salute asistența financiară, tehnică, umanitară și în materie de securitate acordată de Japonia Ucrainei încă de la începutul invaziei pe scară largă a Rusiei din 2022;</w:t>
      </w:r>
    </w:p>
    <w:p w14:paraId="659FB8EC" w14:textId="77777777" w:rsidR="00527B8F" w:rsidRPr="006E0EE6" w:rsidRDefault="00527B8F" w:rsidP="00527B8F">
      <w:pPr>
        <w:pStyle w:val="NormalHanging12a"/>
        <w:ind w:left="1134"/>
      </w:pPr>
      <w:r w:rsidRPr="006E0EE6">
        <w:t>(m)</w:t>
      </w:r>
      <w:r w:rsidRPr="006E0EE6">
        <w:tab/>
        <w:t>să promoveze punerea în aplicare a parteneriatului în materie de securitate și apărare dintre Uniunea Europeană și Republica Coreea, promovând cooperarea practică în domeniul securității maritime, al neproliferării, al securității cibernetice, al combaterii terorismului și al gestionării crizelor, bazându-se pe operațiunile comune existente și explorând posibilitatea de a continua colaborarea în cadrul instrumentului pentru prezențe maritime coordonate al UE; să lanseze un dialog comun între UE și Republica Coreea privind industria de apărare și să consolideze coordonarea în forumurile multilaterale pentru a susține pacea, a descuraja provocările și a promova denuclearizarea; să consolideze în continuare cooperarea fructuoasă și reciproc avantajoasă în domeniul produselor de apărare dintre Republica Coreea și mai multe state membre ale UE; să intensifice cooperarea dintre UE și Republica Coreea pentru a consolida sprijinul militar și financiar trimis Ucrainei;</w:t>
      </w:r>
    </w:p>
    <w:p w14:paraId="3B86230E" w14:textId="77777777" w:rsidR="00527B8F" w:rsidRPr="006E0EE6" w:rsidRDefault="00527B8F" w:rsidP="00527B8F">
      <w:pPr>
        <w:pStyle w:val="NormalHanging12a"/>
        <w:ind w:left="1134"/>
      </w:pPr>
      <w:r w:rsidRPr="006E0EE6">
        <w:t>(n)</w:t>
      </w:r>
      <w:r w:rsidRPr="006E0EE6">
        <w:tab/>
        <w:t xml:space="preserve">să salute cooperarea Republicii Coreea cu UE în ceea ce privește preocupările comune legate de securitatea economică; să evidențieze că Republica Coreea rămâne un partener principal în orice eforturi de reducere a riscurilor și de relocare în țări prietene, în special în domeniul comerțului; să îndemne Comitetul specializat privind problemele economice și comerciale emergente, nou-creat în cadrul Acordului de liber schimb UE-Republica Coreea, să accelereze cooperarea, în special pe teme de interes pentru securitatea economică, cum ar fi lanțurile de aprovizionare critice și </w:t>
      </w:r>
      <w:proofErr w:type="spellStart"/>
      <w:r w:rsidRPr="006E0EE6">
        <w:t>supracapacitatea</w:t>
      </w:r>
      <w:proofErr w:type="spellEnd"/>
      <w:r w:rsidRPr="006E0EE6">
        <w:t>;</w:t>
      </w:r>
    </w:p>
    <w:p w14:paraId="23FBAA74" w14:textId="77777777" w:rsidR="00527B8F" w:rsidRPr="006E0EE6" w:rsidRDefault="00527B8F" w:rsidP="00527B8F">
      <w:pPr>
        <w:pStyle w:val="NormalHanging12a"/>
        <w:ind w:left="1134"/>
      </w:pPr>
      <w:r w:rsidRPr="006E0EE6">
        <w:t>(o)</w:t>
      </w:r>
      <w:r w:rsidRPr="006E0EE6">
        <w:tab/>
        <w:t>să intensifice eforturile comune cu partenerii din Asia de Est care împărtășesc aceeași viziune pentru a contracara implicarea tot mai mare a Rusiei în RPDC, inclusiv sprijinul acordat de aceasta pentru consolidarea capacităților nucleare și balistice ale RPDC și refuzul Chinei de a împiedica acest lucru, precum și pentru a aborda legătura dintre programele nucleare ale RPDC și ale Iranului, subliniind că această implicare agravează climatul geopolitic tensionat din Peninsula Coreeană; să intensifice cooperarea cu Republica Coreea în ceea ce privește combaterea campaniilor de dezinformare în cadrul proceselor electorale și protejarea infrastructurii electorale împotriva atacurilor cibernetice;</w:t>
      </w:r>
    </w:p>
    <w:p w14:paraId="08C6D9DE" w14:textId="77777777" w:rsidR="00527B8F" w:rsidRPr="006E0EE6" w:rsidRDefault="00527B8F" w:rsidP="00527B8F">
      <w:pPr>
        <w:pStyle w:val="NormalHanging12a"/>
        <w:ind w:left="1134"/>
      </w:pPr>
      <w:r w:rsidRPr="006E0EE6">
        <w:t>(p)</w:t>
      </w:r>
      <w:r w:rsidRPr="006E0EE6">
        <w:tab/>
        <w:t xml:space="preserve">să salute eforturile Republicii Coreea de a relua dialogul cu Republica Populară Democrată Coreeană prin măsuri </w:t>
      </w:r>
      <w:proofErr w:type="spellStart"/>
      <w:r w:rsidRPr="006E0EE6">
        <w:t>proactive</w:t>
      </w:r>
      <w:proofErr w:type="spellEnd"/>
      <w:r w:rsidRPr="006E0EE6">
        <w:t xml:space="preserve"> de dezamorsare a conflictului și de consolidare a încrederii; să solicite Republicii Populare Democrate Coreene să înceteze imediat toate acțiunile militare și provocările, precum și dezvoltarea capacităților sale nucleare și balistice; să condamne ferm și să combată în mod </w:t>
      </w:r>
      <w:r w:rsidRPr="006E0EE6">
        <w:lastRenderedPageBreak/>
        <w:t xml:space="preserve">eficace activitățile cibernetice răuvoitoare ale RPDC, inclusiv furtul de </w:t>
      </w:r>
      <w:proofErr w:type="spellStart"/>
      <w:r w:rsidRPr="006E0EE6">
        <w:t>criptomonede</w:t>
      </w:r>
      <w:proofErr w:type="spellEnd"/>
      <w:r w:rsidRPr="006E0EE6">
        <w:t xml:space="preserve"> și alte forme de criminalitate informatică; să îndemne RPDC să permită accesul organizațiilor de ajutor umanitar, să respecte drepturile omului și, în special, să rezolve de îndată problema răpirilor; să îndemne Rusia și RPDC să respecte pe deplin Carta ONU și rezoluțiile Consiliului de Securitate al ONU, inclusiv în ceea ce privește denuclearizarea completă a RPDC; să condamne contribuția RPDC la agresiunea Rusiei împotriva Ucrainei, inclusiv implicarea sa prin trimiterea de personal militar și echipamente; să dezvolte politica UE privind Coreea de Nord, ținând seama în mod corespunzător de expertiza, de nevoile în materie de securitate și de preocupările legitime ale partenerilor cu viziuni similare din regiune, în special ale celor aflați în imediata vecinătate geografică a RPDC, în special Republica Coreea și Japonia;</w:t>
      </w:r>
    </w:p>
    <w:p w14:paraId="4FA0D631" w14:textId="77777777" w:rsidR="00527B8F" w:rsidRPr="006E0EE6" w:rsidRDefault="00527B8F" w:rsidP="00527B8F">
      <w:pPr>
        <w:pStyle w:val="NormalHanging12a"/>
        <w:ind w:left="1134"/>
        <w:rPr>
          <w:bCs/>
          <w:iCs/>
        </w:rPr>
      </w:pPr>
      <w:r w:rsidRPr="006E0EE6">
        <w:t>(q)</w:t>
      </w:r>
      <w:r w:rsidRPr="006E0EE6">
        <w:tab/>
        <w:t>să instituie un cadru de cooperare UE-Taiwan structurat și cuprinzător, întemeiat pe mecanisme existente precum dialogul privind comerțul și investițiile, însoțit de o componentă comercială și economică puternică și axat pe tehnologiile critice, cum ar fi semiconductorii și inteligența artificială, reziliența lanțurilor de aprovizionare, securitatea cibernetică, măsurile de combatere a dezinformării, securitatea maritimă, sănătatea publică, protecția civilă și conectivitatea securizată, precum și reziliența democratică, socială și energetică și pregătirea pentru situații de urgență; să sprijine în continuare participarea semnificativă a Taiwanului la forumurile tehnice și organismele internaționale pertinente, cum ar fi OMS, Organizația Aviației Civile Internaționale și Convenția-cadru a Națiunilor Unite asupra schimbărilor climatice; să intensifice schimburile regulate dintre UE și omologii săi taiwanezi cu privire la chestiunile de securitate relevante, securitatea economică, flexibilitatea lanțurilor de aprovizionare, integritatea democrației și a alegerilor, protecția infrastructurilor critice și cooperarea în domeniul tehnologiilor curate; să îndemne autoritățile chineze să se coordoneze îndeaproape cu alți actori regionali, inclusiv cu Taiwanul, atunci când se confruntă cu probleme majore la nivel mondial în domeniul sănătății; să sublinieze că orice încercare a regimurilor autoritare de a influența relațiile dintre UE și Taiwan este inacceptabilă;</w:t>
      </w:r>
    </w:p>
    <w:p w14:paraId="6845E6A5" w14:textId="77777777" w:rsidR="00527B8F" w:rsidRPr="006E0EE6" w:rsidRDefault="00527B8F" w:rsidP="00527B8F">
      <w:pPr>
        <w:pStyle w:val="NormalHanging12a"/>
        <w:ind w:left="1134"/>
        <w:rPr>
          <w:bCs/>
          <w:iCs/>
        </w:rPr>
      </w:pPr>
      <w:r w:rsidRPr="006E0EE6">
        <w:t>(r)</w:t>
      </w:r>
      <w:r w:rsidRPr="006E0EE6">
        <w:tab/>
        <w:t xml:space="preserve">să accentueze că Taiwanul este un partener democratic esențial pentru UE în regiunea indo-pacifică; să aprofundeze în continuare dialogul UE-Taiwan privind comerțul și investițiile pentru a elimina barierele din calea accesului pe piață și a consolida securitatea juridică pentru investitorii din UE; să analizeze posibilitate de a lansa negocierile privind un acord bilateral de investiții UE-Taiwan sau alte cadre legate de comerț; să recunoască importanța Taiwanului în securizarea lanțurilor de aprovizionare mondiale, în special în sectorul înaltei tehnologii, și să îndemne UE și statele sale membre să se angajeze într-o cooperare mai strânsă cu Taiwanul pentru a stimula și mai mult legăturile economice, comerciale și de investiții; să recunoască experiența Taiwanului în gestionarea expunerii economice la China și punctele sale forte în ceea ce privește guvernanța democratică, standardele de reglementare transparente și ecosistemele digitale și tehnologice </w:t>
      </w:r>
      <w:proofErr w:type="spellStart"/>
      <w:r w:rsidRPr="006E0EE6">
        <w:t>reziliente</w:t>
      </w:r>
      <w:proofErr w:type="spellEnd"/>
      <w:r w:rsidRPr="006E0EE6">
        <w:t>;</w:t>
      </w:r>
    </w:p>
    <w:p w14:paraId="5CAE47C5" w14:textId="77777777" w:rsidR="00527B8F" w:rsidRPr="006E0EE6" w:rsidRDefault="00527B8F" w:rsidP="00527B8F">
      <w:pPr>
        <w:pStyle w:val="NormalHanging12a"/>
        <w:ind w:left="1134"/>
        <w:rPr>
          <w:bCs/>
          <w:iCs/>
        </w:rPr>
      </w:pPr>
      <w:r w:rsidRPr="006E0EE6">
        <w:t>(s)</w:t>
      </w:r>
      <w:r w:rsidRPr="006E0EE6">
        <w:tab/>
        <w:t xml:space="preserve">să reafirme importanța păcii și a stabilității în strâmtoarea Taiwan respingând orice schimbare unilaterală coercitivă a statu-quoului; să se asigure, printr-o comunicare clară și coordonată împreună cu statele membre și cu partenerii care împărtășesc aceeași viziune, că aceste acțiuni ar atrage costuri politice și economice semnificative; să sublinieze că orice divergențe trebuie soluționate pe </w:t>
      </w:r>
      <w:r w:rsidRPr="006E0EE6">
        <w:lastRenderedPageBreak/>
        <w:t>cale pașnică, prin dialog, în conformitate cu dreptul internațional și respectând voința poporului taiwanez; să reamintească ferm că libertatea de navigație și de survol, astfel cum este garantată de dreptul internațional, trebuie respectată în regiunea indo-pacifică, inclusiv în Marea Chinei de Sud și în strâmtoarea Taiwan; să se implice activ în eforturile diplomatice de prevenire a escaladării în continuare a conflictului în Strâmtoarea Taiwan și în Marea Chinei de Est și Marea Chinei de Sud; să elaboreze urgent planuri pentru situații neprevăzute și măsuri de atenuare bazate pe scenarii plauzibile de escaladare a conflictului, inclusiv o blocadă navală împotriva Taiwanului impusă de Republica Populară Chineză;</w:t>
      </w:r>
    </w:p>
    <w:p w14:paraId="250425C3" w14:textId="77777777" w:rsidR="00527B8F" w:rsidRPr="006E0EE6" w:rsidRDefault="00527B8F" w:rsidP="00527B8F">
      <w:pPr>
        <w:pStyle w:val="NormalHanging12a"/>
        <w:ind w:left="1134"/>
        <w:rPr>
          <w:bCs/>
          <w:iCs/>
        </w:rPr>
      </w:pPr>
      <w:r w:rsidRPr="006E0EE6">
        <w:t>(t)</w:t>
      </w:r>
      <w:r w:rsidRPr="006E0EE6">
        <w:tab/>
        <w:t xml:space="preserve">să sublinieze importanța instrumentelor de securitate economică ale UE pentru a combate practicile economice coercitive și a proteja concurența loială, cum ar fi instrumentul de contracarare a acțiunilor coercitive, mecanismele eficace de examinare a investițiilor străine directe și regimurile de control al exporturilor, după caz și în conformitate cu dreptul UE; să pună în comun influența </w:t>
      </w:r>
      <w:proofErr w:type="spellStart"/>
      <w:r w:rsidRPr="006E0EE6">
        <w:t>geoeconomică</w:t>
      </w:r>
      <w:proofErr w:type="spellEnd"/>
      <w:r w:rsidRPr="006E0EE6">
        <w:t xml:space="preserve"> a UE, inclusiv prin controale coordonate ale exporturilor, evaluări comune ale riscurilor și răspunsuri colective la constrângerile economice, transformând astfel dependențele bilaterale în mecanisme eficace de descurajare și consolidând securitatea economică a UE și a aliaților săi deopotrivă; </w:t>
      </w:r>
    </w:p>
    <w:p w14:paraId="2B297179" w14:textId="77777777" w:rsidR="00527B8F" w:rsidRPr="006E0EE6" w:rsidRDefault="00527B8F" w:rsidP="00527B8F">
      <w:pPr>
        <w:pStyle w:val="NormalHanging12a"/>
        <w:ind w:left="1134"/>
        <w:rPr>
          <w:bCs/>
          <w:iCs/>
        </w:rPr>
      </w:pPr>
      <w:r w:rsidRPr="006E0EE6">
        <w:t>(u)</w:t>
      </w:r>
      <w:r w:rsidRPr="006E0EE6">
        <w:tab/>
        <w:t>să accelereze cooperarea prin negocierea unor acorduri și inițiative trilaterale sau cvadrilaterale cu privire la chestiuni de interes comun, și care să contribuie la menținerea ordinii internaționale multilaterale, bazate pe norme; să consolideze parteneriatele digitale existente dintre UE și Japonia și dintre UE și Republica Coreea prin asumarea unor angajamente comune privind inteligența artificială, semiconductorii, conectivitatea de nouă generație, informatica cuantică, guvernanța datelor, securitatea cibernetică, tehnologiile bateriilor, cablurile submarine, identitatea digitală și reziliența lanțului de aprovizionare, să consolideze cadrele de cooperare pentru dezvoltarea tehnologiei de apărare;</w:t>
      </w:r>
    </w:p>
    <w:p w14:paraId="6FF2FB4E" w14:textId="77777777" w:rsidR="00527B8F" w:rsidRPr="006E0EE6" w:rsidRDefault="00527B8F" w:rsidP="00527B8F">
      <w:pPr>
        <w:pStyle w:val="NormalHanging12a"/>
        <w:ind w:left="1134"/>
        <w:rPr>
          <w:bCs/>
          <w:iCs/>
        </w:rPr>
      </w:pPr>
      <w:r w:rsidRPr="006E0EE6">
        <w:t>(v)</w:t>
      </w:r>
      <w:r w:rsidRPr="006E0EE6">
        <w:tab/>
        <w:t>să pună în aplicare pe deplin și în mod eficace acordurile comerciale cu Japonia și Republica Coreea, inclusiv cu privire la accesul pe piață, barierele netarifare, dezvoltarea durabilă și cooperarea în materie de reglementare și, în ceea ce privește Republica Coreea, să asigure punerea în practică a convențiilor fundamentale ale OIM; să încurajeze o cooperare mai strânsă între întreprinderile mici și mijlocii (IMM-uri) din UE și cele din țările sale partenere din Asia de Est, pentru a promova oportunitățile de afaceri reciproce, a îmbunătăți accesul pe piață și a consolida rețelele de inovare;</w:t>
      </w:r>
    </w:p>
    <w:p w14:paraId="579FE30F" w14:textId="77777777" w:rsidR="00527B8F" w:rsidRPr="006E0EE6" w:rsidRDefault="00527B8F" w:rsidP="00527B8F">
      <w:pPr>
        <w:pStyle w:val="NormalHanging12a"/>
        <w:ind w:left="1134"/>
        <w:rPr>
          <w:bCs/>
          <w:iCs/>
        </w:rPr>
      </w:pPr>
      <w:r w:rsidRPr="006E0EE6">
        <w:t>(w)</w:t>
      </w:r>
      <w:r w:rsidRPr="006E0EE6">
        <w:tab/>
        <w:t>să se asigure că orice viitor acord economic sau sectorial cu parteneri care împărtășesc aceeași viziune din regiune constituie un parteneriat reciproc avantajos care depășește obiectivele economice și de securitate și include, de asemenea, angajamente ferme privind drepturile lucrătorilor, protecția mediului și dezvoltarea unor lanțuri valorice curate și sustenabile, în conformitate cu cadrul UE pentru comerț și dezvoltare durabilă; să promoveze o campanie de informare cuprinzătoare în Asia de Est cu privire la politicile Uniunii Europene referitoare la sectorul siderurgic și propunerea de act legislativ privind accelerarea activității industriale</w:t>
      </w:r>
      <w:r w:rsidRPr="006E0EE6">
        <w:rPr>
          <w:rStyle w:val="FootnoteReference"/>
          <w:bCs/>
          <w:iCs/>
        </w:rPr>
        <w:footnoteReference w:id="11"/>
      </w:r>
      <w:r w:rsidRPr="006E0EE6">
        <w:t xml:space="preserve">, pentru mai multă transparență și o înțelegere mai bună a obiectivelor UE în rândul partenerilor internaționali; să sublinieze că este important să se </w:t>
      </w:r>
      <w:r w:rsidRPr="006E0EE6">
        <w:lastRenderedPageBreak/>
        <w:t xml:space="preserve">colaboreze </w:t>
      </w:r>
      <w:proofErr w:type="spellStart"/>
      <w:r w:rsidRPr="006E0EE6">
        <w:t>proactiv</w:t>
      </w:r>
      <w:proofErr w:type="spellEnd"/>
      <w:r w:rsidRPr="006E0EE6">
        <w:t xml:space="preserve"> cu partenerii din Asia de Est pentru a răspunde preocupărilor acestora, a încuraja dialogul și a preveni eventualele neînțelegeri în domeniul comerțului și al relațiilor industriale;</w:t>
      </w:r>
    </w:p>
    <w:p w14:paraId="2BD69CE1" w14:textId="77777777" w:rsidR="00527B8F" w:rsidRPr="006E0EE6" w:rsidRDefault="00527B8F" w:rsidP="00527B8F">
      <w:pPr>
        <w:pStyle w:val="NormalHanging12a"/>
        <w:ind w:left="1134"/>
        <w:rPr>
          <w:bCs/>
          <w:iCs/>
        </w:rPr>
      </w:pPr>
      <w:r w:rsidRPr="006E0EE6">
        <w:t>(x)</w:t>
      </w:r>
      <w:r w:rsidRPr="006E0EE6">
        <w:tab/>
        <w:t>să monitorizeze cazurile semnalate de eludare a sancțiunilor de către Rusia prin intermediul unor jurisdicții din Asia de Est, inclusiv prin redirecționarea fluxurilor comerciale pentru a achiziționa bunuri cu dublă utilizare, microcipuri și utilaje industriale supuse sancțiunilor, prin intermediari din regiune;</w:t>
      </w:r>
    </w:p>
    <w:p w14:paraId="634D22D3" w14:textId="77777777" w:rsidR="00527B8F" w:rsidRPr="006E0EE6" w:rsidRDefault="00527B8F" w:rsidP="00527B8F">
      <w:pPr>
        <w:pStyle w:val="NormalHanging12a"/>
        <w:ind w:left="1134"/>
        <w:rPr>
          <w:bCs/>
          <w:iCs/>
        </w:rPr>
      </w:pPr>
      <w:r w:rsidRPr="006E0EE6">
        <w:t>(y)</w:t>
      </w:r>
      <w:r w:rsidRPr="006E0EE6">
        <w:tab/>
        <w:t>să intensifice implicarea politică, economică și în materie de securitate a UE în regiunea indo-pacifică în ansamblu, prin consolidarea parteneriatelor cu toți actorii care împărtășesc aceeași viziune și prin inițiative precum strategia „Global Gateway”, promovând dialogurile privind drepturile omului, dezvoltarea durabilă și conectivitatea, egalitatea și standardele înalte de muncă; să recunoască convergența tot mai mare a intereselor strategice dintre regiunea euro-atlantică și regiunea indo-pacifică, Japonia și Republica Coreea având rolul de parteneri ai NATO în cadrul IP4, fapt ilustrat și de recenta înființare a Misiunii Japoniei pe lângă NATO; să afirme că această cooperare îmbunătățește conștientizarea reciprocă a situației în ceea ce privește evoluțiile în materie de securitate din ambele regiuni; să sprijine cadrul NATO IP4 ca o contribuție esențială la consolidarea securității europene și la aprofundarea colaborării interregionale într-un mod complementar și care se consolidează reciproc; să consolideze implicarea și coordonarea UE cu inițiativele regionale principale în materie de securitate din regiunea indo-pacifică, inclusiv Dialogul cvadrilateral privind securitatea dintre Statele Unite, Australia, India și Japonia; să elaboreze o nouă strategie cuprinzătoare, coerentă și flexibilă pentru regiunea indo-pacifică, ferm ancorată în valorile și interesele europene, precum și în realitățile, nevoile și prioritățile regiunii;</w:t>
      </w:r>
    </w:p>
    <w:p w14:paraId="213DF69C" w14:textId="77777777" w:rsidR="00527B8F" w:rsidRPr="006E0EE6" w:rsidRDefault="00527B8F" w:rsidP="00527B8F">
      <w:pPr>
        <w:pStyle w:val="NormalHanging12a"/>
        <w:ind w:left="1134"/>
        <w:rPr>
          <w:bCs/>
          <w:iCs/>
        </w:rPr>
      </w:pPr>
      <w:r w:rsidRPr="006E0EE6">
        <w:t>(z)</w:t>
      </w:r>
      <w:r w:rsidRPr="006E0EE6">
        <w:tab/>
        <w:t>să valorifice poziția strategică a țărilor și teritoriilor de peste mări în regiunea indo-pacifică, astfel încât acestea să poată servi drept platforme avansate de cooperare cu partenerii regionali, în special în domeniile comerțului, conectivității digitale, infrastructurilor critice și activităților spațiale;</w:t>
      </w:r>
    </w:p>
    <w:p w14:paraId="612A7F1C" w14:textId="77777777" w:rsidR="00527B8F" w:rsidRPr="006E0EE6" w:rsidRDefault="00527B8F" w:rsidP="00527B8F">
      <w:pPr>
        <w:pStyle w:val="NormalHanging12a"/>
        <w:ind w:left="1134"/>
        <w:rPr>
          <w:bCs/>
          <w:iCs/>
        </w:rPr>
      </w:pPr>
      <w:r w:rsidRPr="006E0EE6">
        <w:t>(</w:t>
      </w:r>
      <w:proofErr w:type="spellStart"/>
      <w:r w:rsidRPr="006E0EE6">
        <w:t>aa</w:t>
      </w:r>
      <w:proofErr w:type="spellEnd"/>
      <w:r w:rsidRPr="006E0EE6">
        <w:t>)</w:t>
      </w:r>
      <w:r w:rsidRPr="006E0EE6">
        <w:tab/>
        <w:t xml:space="preserve">să sublinieze rolul decisiv al ASEAN în garantarea stabilității și în promovarea integrării sociale și economice; să salute implicarea tot mai mare a Japoniei și a Republicii Coreea în cadrul ASEAN, inclusiv prin organizarea periodică a </w:t>
      </w:r>
      <w:proofErr w:type="spellStart"/>
      <w:r w:rsidRPr="006E0EE6">
        <w:t>summiturilor</w:t>
      </w:r>
      <w:proofErr w:type="spellEnd"/>
      <w:r w:rsidRPr="006E0EE6">
        <w:t xml:space="preserve"> bilaterale și multilaterale; să accentueze importanța crucială a ASEAN în asigurarea unei regiuni indo-pacifice pașnice și prospere; să intensifice colaborarea structurată cu ASEAN pentru a construi arhitecturi de securitate regională incluzive, să coordoneze răspunsurile politice multilaterale și să consolideze și mai mult prezența UE în regiune prin aprofundarea cooperării cu ASEAN și cu statele sale membre, inclusiv prin consolidarea dialogurilor în domeniul securității și apărării cu Vietnam și Filipine; să încurajeze consolidarea rolului și a vizibilității Uniunii în cadrul forurilor regionale, în special în cadrul cooperării cu ASEAN, identificând în același timp siguranța și securitatea maritimă, securitatea cibernetică și gestionarea crizelor ca domenii prioritare pentru o cooperare extinsă, pe baza unor inițiative precum ESIWA+, CRIMARIO II și proiectele privind siguranța porturilor la nivel mondial;</w:t>
      </w:r>
    </w:p>
    <w:p w14:paraId="365B371B" w14:textId="77777777" w:rsidR="00527B8F" w:rsidRPr="006E0EE6" w:rsidRDefault="00527B8F" w:rsidP="00527B8F">
      <w:pPr>
        <w:pStyle w:val="NormalHanging12a"/>
        <w:ind w:left="1134"/>
      </w:pPr>
      <w:r w:rsidRPr="006E0EE6">
        <w:t>(</w:t>
      </w:r>
      <w:proofErr w:type="spellStart"/>
      <w:r w:rsidRPr="006E0EE6">
        <w:t>ab</w:t>
      </w:r>
      <w:proofErr w:type="spellEnd"/>
      <w:r w:rsidRPr="006E0EE6">
        <w:t>)</w:t>
      </w:r>
      <w:r w:rsidRPr="006E0EE6">
        <w:tab/>
        <w:t xml:space="preserve">să extindă acțiunile comune în domeniul securității netradiționale, cum ar fi operațiunile de căutare și salvare, intervenția în caz de dezastre și incidentele de </w:t>
      </w:r>
      <w:r w:rsidRPr="006E0EE6">
        <w:lastRenderedPageBreak/>
        <w:t>mediu; să lanseze o inițiativă structurată pentru consolidarea protecției și a rezilienței infrastructurii maritime critice, inclusiv a cablurilor submarine, a conductelor și a porturilor; să îmbunătățească cunoașterea domeniului maritim prin consolidarea capacităților specifice, formare, senzori și schimbul de date, în cooperare cu paza de coastă a țărilor ASEAN și cu centrele regionale de fuziune;</w:t>
      </w:r>
    </w:p>
    <w:p w14:paraId="645DC9CB" w14:textId="77777777" w:rsidR="00527B8F" w:rsidRPr="006E0EE6" w:rsidRDefault="00527B8F" w:rsidP="00527B8F">
      <w:pPr>
        <w:pStyle w:val="NormalHanging12a"/>
        <w:ind w:left="1134"/>
        <w:rPr>
          <w:bCs/>
          <w:iCs/>
        </w:rPr>
      </w:pPr>
      <w:r w:rsidRPr="006E0EE6">
        <w:t>(ac)</w:t>
      </w:r>
      <w:r w:rsidRPr="006E0EE6">
        <w:tab/>
        <w:t>să sprijine consolidarea legăturilor interpersonale prin programe de mobilitate specifice pentru cercetători, ingineri și profesioniști din domeniul securității cibernetice, precum și prin inițiative de înfrățire structurate între centrele de inovare din Europa și Asia de Est; să îmbunătățească înțelegerea reciprocă a valorilor comune în rândul studenților din cele două regiuni prin aprofundarea, extinderea și consolidarea programelor educaționale, precum Erasmus+, împreună cu parteneri din regiune care împărtășesc aceleași valori; să consolideze schimburilor dintre parlamente, funcționarii publici, autoritățile locale și societatea civilă; să sprijine în mai mare măsură învățarea limbilor străine, schimburile culturale și inițiativele conduse de tineri, pentru a consolida reziliența societală pe termen lung și încrederea între cele două regiuni;</w:t>
      </w:r>
    </w:p>
    <w:p w14:paraId="7D13596B" w14:textId="77777777" w:rsidR="00527B8F" w:rsidRPr="006E0EE6" w:rsidRDefault="00527B8F" w:rsidP="00527B8F">
      <w:pPr>
        <w:pStyle w:val="NormalHanging12a"/>
        <w:ind w:left="1134"/>
        <w:rPr>
          <w:bCs/>
          <w:iCs/>
        </w:rPr>
      </w:pPr>
      <w:r w:rsidRPr="006E0EE6">
        <w:t>(ad)</w:t>
      </w:r>
      <w:r w:rsidRPr="006E0EE6">
        <w:tab/>
        <w:t>să extindă cooperarea în cadrul programului Orizont Europa pentru a consolida colaborarea reciproc avantajoasă în domeniul științei și tehnologiei, luând act cu satisfacție de faptul că Republica Coreea a devenit prima țară asiatică care s-a asociat la Pilonul II al programului Orizont Europa în iulie 2025 și de faptul că UE a încheiat cu succes negocierile cu Japonia privind asocierea acesteia la programul Orizont Europa în decembrie 2025; să ia în considerare inițierea negocierilor în cadrul programului Orizont Europa cu Taiwan; să consolideze vizibilitatea UE în întreaga regiune prin eforturi semnificative în domeniul cultural și al diplomației publice;</w:t>
      </w:r>
    </w:p>
    <w:p w14:paraId="6A5A548E" w14:textId="77777777" w:rsidR="00527B8F" w:rsidRPr="006E0EE6" w:rsidRDefault="00527B8F" w:rsidP="00527B8F">
      <w:pPr>
        <w:pStyle w:val="NormalHanging12a"/>
        <w:rPr>
          <w:bCs/>
          <w:iCs/>
        </w:rPr>
      </w:pPr>
      <w:r w:rsidRPr="006E0EE6">
        <w:t>2.</w:t>
      </w:r>
      <w:r w:rsidRPr="006E0EE6">
        <w:tab/>
        <w:t>așteaptă cu interes aprofundarea diplomației parlamentare și a schimburilor interparlamentare pe teme de interes reciproc cu Dieta Japoniei, Adunarea Națională a Republicii Coreea și membrii Yuanului Legislativ al Taiwanului; consideră cu tărie că consolidarea parteneriatelor strategice cu Japonia și cu Republica Coreea din ultimii ani ar trebui să se reflecte și în legături mai strânse la nivel interparlamentar; consideră că agenda cuprinzătoare de cooperare cu cele două țări ar avea de câștigat de pe urma unor schimburi regulate și structurate între parlamentari; consideră, de asemenea, că ar trebui analizată posibilitatea de a înființa o comisie parlamentară mixtă UE-Japonia și o comisie parlamentară mixtă UE-Republica Coreea;</w:t>
      </w:r>
    </w:p>
    <w:p w14:paraId="266AC100" w14:textId="7CE425EA" w:rsidR="00D15C54" w:rsidRPr="006E0EE6" w:rsidRDefault="00527B8F" w:rsidP="00D15C54">
      <w:pPr>
        <w:pStyle w:val="NormalHanging12a"/>
      </w:pPr>
      <w:r w:rsidRPr="006E0EE6">
        <w:t>3.</w:t>
      </w:r>
      <w:r w:rsidRPr="006E0EE6">
        <w:tab/>
        <w:t>încredințează Președintei sarcina de a transmite prezenta recomandare Consiliului, Comisiei, Vicepreședintei Comisiei/Înaltei Reprezentante a Uniunii pentru afaceri externe și politica de securitate, guvernelor și parlamentelor statelor membre, guvernelor și parlamentelor Japoniei, Republicii Coreea și Taiwanului, precum și secretariatului și statelor membre ale Asociației Națiunilor din Asia de Sud-Est.</w:t>
      </w:r>
    </w:p>
    <w:p w14:paraId="728B4E09" w14:textId="3813B7CA" w:rsidR="00E365E1" w:rsidRPr="006E0EE6" w:rsidRDefault="00E365E1" w:rsidP="00016E5B"/>
    <w:sectPr w:rsidR="00E365E1" w:rsidRPr="006E0EE6" w:rsidSect="00D15C5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90AB0B" w14:textId="77777777" w:rsidR="00016E5B" w:rsidRPr="00D15C54" w:rsidRDefault="00016E5B">
      <w:r w:rsidRPr="00D15C54">
        <w:separator/>
      </w:r>
    </w:p>
  </w:endnote>
  <w:endnote w:type="continuationSeparator" w:id="0">
    <w:p w14:paraId="27762E84" w14:textId="77777777" w:rsidR="00016E5B" w:rsidRPr="00D15C54" w:rsidRDefault="00016E5B">
      <w:r w:rsidRPr="00D15C5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1490AA" w14:textId="77777777" w:rsidR="00016E5B" w:rsidRPr="00D15C54" w:rsidRDefault="00016E5B">
      <w:r w:rsidRPr="00D15C54">
        <w:separator/>
      </w:r>
    </w:p>
  </w:footnote>
  <w:footnote w:type="continuationSeparator" w:id="0">
    <w:p w14:paraId="4B417CFA" w14:textId="77777777" w:rsidR="00016E5B" w:rsidRPr="00D15C54" w:rsidRDefault="00016E5B">
      <w:r w:rsidRPr="00D15C54">
        <w:continuationSeparator/>
      </w:r>
    </w:p>
  </w:footnote>
  <w:footnote w:id="1">
    <w:p w14:paraId="1A09E95A" w14:textId="2A1C762D" w:rsidR="00527B8F" w:rsidRPr="00D15C54" w:rsidRDefault="00527B8F" w:rsidP="00D15C54">
      <w:pPr>
        <w:pStyle w:val="FootnoteText"/>
        <w:ind w:left="567" w:hanging="567"/>
        <w:rPr>
          <w:sz w:val="24"/>
          <w:lang w:val="ro-RO"/>
        </w:rPr>
      </w:pPr>
      <w:r w:rsidRPr="00D15C54">
        <w:rPr>
          <w:rStyle w:val="FootnoteReference"/>
          <w:sz w:val="24"/>
          <w:lang w:val="ro-RO"/>
        </w:rPr>
        <w:footnoteRef/>
      </w:r>
      <w:r w:rsidR="00D15C54" w:rsidRPr="00D15C54">
        <w:rPr>
          <w:sz w:val="24"/>
          <w:lang w:val="ro-RO"/>
        </w:rPr>
        <w:t xml:space="preserve"> </w:t>
      </w:r>
      <w:r w:rsidR="00D15C54" w:rsidRPr="00D15C54">
        <w:rPr>
          <w:sz w:val="24"/>
          <w:lang w:val="ro-RO"/>
        </w:rPr>
        <w:tab/>
      </w:r>
      <w:r w:rsidRPr="00D15C54">
        <w:rPr>
          <w:sz w:val="24"/>
          <w:lang w:val="ro-RO"/>
        </w:rPr>
        <w:t>JO L 216, 24.8.2018, p. 4, ELI: </w:t>
      </w:r>
      <w:hyperlink r:id="rId1" w:tooltip="Oferă acces la acest document prin identificatorul său uniform de resurse ELI." w:history="1">
        <w:r w:rsidRPr="00D15C54">
          <w:rPr>
            <w:rStyle w:val="Hyperlink"/>
            <w:sz w:val="24"/>
            <w:lang w:val="ro-RO"/>
          </w:rPr>
          <w:t>http://data.europa.eu/eli/agree_internation/2018/1197/oj</w:t>
        </w:r>
      </w:hyperlink>
      <w:r w:rsidRPr="00D15C54">
        <w:rPr>
          <w:sz w:val="24"/>
          <w:lang w:val="ro-RO"/>
        </w:rPr>
        <w:t>.</w:t>
      </w:r>
    </w:p>
  </w:footnote>
  <w:footnote w:id="2">
    <w:p w14:paraId="0949CF7B" w14:textId="7233FAEA" w:rsidR="00527B8F" w:rsidRPr="00D15C54" w:rsidRDefault="00527B8F" w:rsidP="00D15C54">
      <w:pPr>
        <w:pStyle w:val="FootnoteText"/>
        <w:ind w:left="567" w:hanging="567"/>
        <w:rPr>
          <w:sz w:val="24"/>
          <w:lang w:val="ro-RO"/>
        </w:rPr>
      </w:pPr>
      <w:r w:rsidRPr="00D15C54">
        <w:rPr>
          <w:rStyle w:val="FootnoteReference"/>
          <w:sz w:val="24"/>
          <w:lang w:val="ro-RO"/>
        </w:rPr>
        <w:footnoteRef/>
      </w:r>
      <w:r w:rsidR="00D15C54" w:rsidRPr="00D15C54">
        <w:rPr>
          <w:sz w:val="24"/>
          <w:lang w:val="ro-RO"/>
        </w:rPr>
        <w:t xml:space="preserve"> </w:t>
      </w:r>
      <w:r w:rsidR="00D15C54" w:rsidRPr="00D15C54">
        <w:rPr>
          <w:sz w:val="24"/>
          <w:lang w:val="ro-RO"/>
        </w:rPr>
        <w:tab/>
      </w:r>
      <w:r w:rsidRPr="00D15C54">
        <w:rPr>
          <w:sz w:val="24"/>
          <w:lang w:val="ro-RO"/>
        </w:rPr>
        <w:t>JO L 20, 23.1.2013, p. 2.</w:t>
      </w:r>
    </w:p>
  </w:footnote>
  <w:footnote w:id="3">
    <w:p w14:paraId="6FA9547B" w14:textId="273A8F74" w:rsidR="00527B8F" w:rsidRPr="00D15C54" w:rsidRDefault="00527B8F" w:rsidP="00D15C54">
      <w:pPr>
        <w:pStyle w:val="FootnoteText"/>
        <w:ind w:left="567" w:hanging="567"/>
        <w:rPr>
          <w:sz w:val="24"/>
          <w:lang w:val="ro-RO"/>
        </w:rPr>
      </w:pPr>
      <w:r w:rsidRPr="00D15C54">
        <w:rPr>
          <w:rStyle w:val="FootnoteReference"/>
          <w:sz w:val="24"/>
          <w:lang w:val="ro-RO"/>
        </w:rPr>
        <w:footnoteRef/>
      </w:r>
      <w:r w:rsidR="00D15C54" w:rsidRPr="00D15C54">
        <w:rPr>
          <w:sz w:val="24"/>
          <w:lang w:val="ro-RO"/>
        </w:rPr>
        <w:t xml:space="preserve"> </w:t>
      </w:r>
      <w:r w:rsidR="00D15C54" w:rsidRPr="00D15C54">
        <w:rPr>
          <w:sz w:val="24"/>
          <w:lang w:val="ro-RO"/>
        </w:rPr>
        <w:tab/>
      </w:r>
      <w:r w:rsidRPr="00D15C54">
        <w:rPr>
          <w:sz w:val="24"/>
          <w:lang w:val="ro-RO"/>
        </w:rPr>
        <w:t xml:space="preserve">JO L 330, 27.12.2018, p. </w:t>
      </w:r>
      <w:r w:rsidRPr="00D15C54">
        <w:rPr>
          <w:sz w:val="24"/>
          <w:lang w:val="ro-RO"/>
        </w:rPr>
        <w:t>3, ELI:</w:t>
      </w:r>
      <w:r w:rsidR="00E551F5">
        <w:rPr>
          <w:sz w:val="24"/>
          <w:lang w:val="ro-RO"/>
        </w:rPr>
        <w:t> </w:t>
      </w:r>
      <w:hyperlink r:id="rId2" w:history="1">
        <w:r w:rsidRPr="00D15C54">
          <w:rPr>
            <w:rStyle w:val="Hyperlink"/>
            <w:sz w:val="24"/>
            <w:lang w:val="ro-RO"/>
          </w:rPr>
          <w:t>http://data.europa.eu/eli/agree_internation/2018/1907/oj</w:t>
        </w:r>
      </w:hyperlink>
      <w:r w:rsidRPr="00D15C54">
        <w:rPr>
          <w:sz w:val="24"/>
          <w:lang w:val="ro-RO"/>
        </w:rPr>
        <w:t>.</w:t>
      </w:r>
    </w:p>
  </w:footnote>
  <w:footnote w:id="4">
    <w:p w14:paraId="4E1AF8BB" w14:textId="6F88A00B" w:rsidR="00527B8F" w:rsidRPr="00D15C54" w:rsidRDefault="00527B8F" w:rsidP="00D15C54">
      <w:pPr>
        <w:pStyle w:val="FootnoteText"/>
        <w:ind w:left="567" w:hanging="567"/>
        <w:rPr>
          <w:sz w:val="24"/>
          <w:lang w:val="ro-RO"/>
        </w:rPr>
      </w:pPr>
      <w:r w:rsidRPr="00D15C54">
        <w:rPr>
          <w:rStyle w:val="FootnoteReference"/>
          <w:sz w:val="24"/>
          <w:lang w:val="ro-RO"/>
        </w:rPr>
        <w:footnoteRef/>
      </w:r>
      <w:r w:rsidR="00D15C54" w:rsidRPr="00D15C54">
        <w:rPr>
          <w:sz w:val="24"/>
          <w:lang w:val="ro-RO"/>
        </w:rPr>
        <w:t xml:space="preserve"> </w:t>
      </w:r>
      <w:r w:rsidR="00D15C54" w:rsidRPr="00D15C54">
        <w:rPr>
          <w:sz w:val="24"/>
          <w:lang w:val="ro-RO"/>
        </w:rPr>
        <w:tab/>
      </w:r>
      <w:r w:rsidRPr="00D15C54">
        <w:rPr>
          <w:sz w:val="24"/>
          <w:lang w:val="ro-RO"/>
        </w:rPr>
        <w:t>JO L 127, 14.5.2011, p. 6, ELI: </w:t>
      </w:r>
      <w:hyperlink r:id="rId3" w:tooltip="Oferă acces la acest document prin identificatorul său uniform de resurse ELI." w:history="1">
        <w:r w:rsidRPr="00D15C54">
          <w:rPr>
            <w:rStyle w:val="Hyperlink"/>
            <w:sz w:val="24"/>
            <w:lang w:val="ro-RO"/>
          </w:rPr>
          <w:t>http://data.europa.eu/eli/agree_internation/2011/265/oj</w:t>
        </w:r>
      </w:hyperlink>
      <w:r w:rsidRPr="00D15C54">
        <w:rPr>
          <w:sz w:val="24"/>
          <w:lang w:val="ro-RO"/>
        </w:rPr>
        <w:t>.</w:t>
      </w:r>
    </w:p>
  </w:footnote>
  <w:footnote w:id="5">
    <w:p w14:paraId="7BC4F61F" w14:textId="68DB6D74" w:rsidR="00527B8F" w:rsidRPr="00D15C54" w:rsidRDefault="00527B8F" w:rsidP="00D15C54">
      <w:pPr>
        <w:pStyle w:val="FootnoteText"/>
        <w:ind w:left="567" w:hanging="567"/>
        <w:rPr>
          <w:sz w:val="24"/>
          <w:lang w:val="ro-RO"/>
        </w:rPr>
      </w:pPr>
      <w:r w:rsidRPr="00D15C54">
        <w:rPr>
          <w:rStyle w:val="FootnoteReference"/>
          <w:sz w:val="24"/>
          <w:lang w:val="ro-RO"/>
        </w:rPr>
        <w:footnoteRef/>
      </w:r>
      <w:r w:rsidR="00D15C54" w:rsidRPr="00D15C54">
        <w:rPr>
          <w:sz w:val="24"/>
          <w:lang w:val="ro-RO"/>
        </w:rPr>
        <w:t xml:space="preserve"> </w:t>
      </w:r>
      <w:r w:rsidR="00D15C54" w:rsidRPr="00D15C54">
        <w:rPr>
          <w:sz w:val="24"/>
          <w:lang w:val="ro-RO"/>
        </w:rPr>
        <w:tab/>
      </w:r>
      <w:r w:rsidRPr="00D15C54">
        <w:rPr>
          <w:sz w:val="24"/>
          <w:lang w:val="ro-RO"/>
        </w:rPr>
        <w:t>JO C 493, 27.12.2022, p. 32.</w:t>
      </w:r>
    </w:p>
  </w:footnote>
  <w:footnote w:id="6">
    <w:p w14:paraId="4E22FB72" w14:textId="1A2A01EB" w:rsidR="00527B8F" w:rsidRPr="00D15C54" w:rsidRDefault="00527B8F" w:rsidP="00D15C54">
      <w:pPr>
        <w:pStyle w:val="FootnoteText"/>
        <w:ind w:left="567" w:hanging="567"/>
        <w:rPr>
          <w:sz w:val="24"/>
          <w:lang w:val="ro-RO"/>
        </w:rPr>
      </w:pPr>
      <w:r w:rsidRPr="00D15C54">
        <w:rPr>
          <w:rStyle w:val="FootnoteReference"/>
          <w:sz w:val="24"/>
          <w:lang w:val="ro-RO"/>
        </w:rPr>
        <w:footnoteRef/>
      </w:r>
      <w:r w:rsidR="00D15C54" w:rsidRPr="00D15C54">
        <w:rPr>
          <w:sz w:val="24"/>
          <w:lang w:val="ro-RO"/>
        </w:rPr>
        <w:t xml:space="preserve"> </w:t>
      </w:r>
      <w:r w:rsidR="00D15C54" w:rsidRPr="00D15C54">
        <w:rPr>
          <w:sz w:val="24"/>
          <w:lang w:val="ro-RO"/>
        </w:rPr>
        <w:tab/>
      </w:r>
      <w:r w:rsidRPr="00D15C54">
        <w:rPr>
          <w:sz w:val="24"/>
          <w:lang w:val="ro-RO"/>
        </w:rPr>
        <w:t xml:space="preserve">JO C, C/2024/4167, 2.8.2024, ELI: </w:t>
      </w:r>
      <w:hyperlink r:id="rId4" w:history="1">
        <w:r w:rsidRPr="00D15C54">
          <w:rPr>
            <w:rStyle w:val="Hyperlink"/>
            <w:sz w:val="24"/>
            <w:lang w:val="ro-RO"/>
          </w:rPr>
          <w:t>http://data.europa.eu/eli/C/2024/4167/oj</w:t>
        </w:r>
      </w:hyperlink>
      <w:r w:rsidRPr="00D15C54">
        <w:rPr>
          <w:sz w:val="24"/>
          <w:lang w:val="ro-RO"/>
        </w:rPr>
        <w:t>.</w:t>
      </w:r>
    </w:p>
  </w:footnote>
  <w:footnote w:id="7">
    <w:p w14:paraId="2F152BBE" w14:textId="648D8710" w:rsidR="00527B8F" w:rsidRPr="00D15C54" w:rsidRDefault="00527B8F" w:rsidP="00D15C54">
      <w:pPr>
        <w:pStyle w:val="FootnoteText"/>
        <w:ind w:left="567" w:hanging="567"/>
        <w:rPr>
          <w:sz w:val="24"/>
          <w:lang w:val="ro-RO"/>
        </w:rPr>
      </w:pPr>
      <w:r w:rsidRPr="00D15C54">
        <w:rPr>
          <w:rStyle w:val="FootnoteReference"/>
          <w:sz w:val="24"/>
          <w:lang w:val="ro-RO"/>
        </w:rPr>
        <w:footnoteRef/>
      </w:r>
      <w:r w:rsidR="00D15C54" w:rsidRPr="00D15C54">
        <w:rPr>
          <w:sz w:val="24"/>
          <w:lang w:val="ro-RO"/>
        </w:rPr>
        <w:t xml:space="preserve"> </w:t>
      </w:r>
      <w:r w:rsidR="00D15C54" w:rsidRPr="00D15C54">
        <w:rPr>
          <w:sz w:val="24"/>
          <w:lang w:val="ro-RO"/>
        </w:rPr>
        <w:tab/>
      </w:r>
      <w:r w:rsidRPr="00D15C54">
        <w:rPr>
          <w:sz w:val="24"/>
          <w:lang w:val="ro-RO"/>
        </w:rPr>
        <w:t>Texte adoptate, P10_TA(2026)0012.</w:t>
      </w:r>
    </w:p>
  </w:footnote>
  <w:footnote w:id="8">
    <w:p w14:paraId="5A3BDE01" w14:textId="5F51B21E" w:rsidR="00527B8F" w:rsidRPr="00D15C54" w:rsidRDefault="00527B8F" w:rsidP="00D15C54">
      <w:pPr>
        <w:pStyle w:val="FootnoteText"/>
        <w:ind w:left="567" w:hanging="567"/>
        <w:rPr>
          <w:sz w:val="24"/>
          <w:lang w:val="ro-RO"/>
        </w:rPr>
      </w:pPr>
      <w:r w:rsidRPr="00D15C54">
        <w:rPr>
          <w:rStyle w:val="FootnoteReference"/>
          <w:sz w:val="24"/>
          <w:lang w:val="ro-RO"/>
        </w:rPr>
        <w:footnoteRef/>
      </w:r>
      <w:r w:rsidR="00D15C54" w:rsidRPr="00D15C54">
        <w:rPr>
          <w:sz w:val="24"/>
          <w:lang w:val="ro-RO"/>
        </w:rPr>
        <w:t xml:space="preserve"> </w:t>
      </w:r>
      <w:r w:rsidR="00D15C54" w:rsidRPr="00D15C54">
        <w:rPr>
          <w:sz w:val="24"/>
          <w:lang w:val="ro-RO"/>
        </w:rPr>
        <w:tab/>
      </w:r>
      <w:r w:rsidRPr="00D15C54">
        <w:rPr>
          <w:sz w:val="24"/>
          <w:lang w:val="ro-RO"/>
        </w:rPr>
        <w:t xml:space="preserve">JO C, C/2025/1809, 4.4.2025, ELI: </w:t>
      </w:r>
      <w:hyperlink r:id="rId5" w:history="1">
        <w:r w:rsidRPr="00D15C54">
          <w:rPr>
            <w:rStyle w:val="Hyperlink"/>
            <w:sz w:val="24"/>
            <w:lang w:val="ro-RO"/>
          </w:rPr>
          <w:t>http://data.europa.eu/eli/C/2025/1809/oj</w:t>
        </w:r>
      </w:hyperlink>
      <w:r w:rsidRPr="00D15C54">
        <w:rPr>
          <w:sz w:val="24"/>
          <w:lang w:val="ro-RO"/>
        </w:rPr>
        <w:t>.</w:t>
      </w:r>
    </w:p>
  </w:footnote>
  <w:footnote w:id="9">
    <w:p w14:paraId="45C0BF3A" w14:textId="7C6A97EB" w:rsidR="00527B8F" w:rsidRPr="00D15C54" w:rsidRDefault="00527B8F" w:rsidP="00D15C54">
      <w:pPr>
        <w:pStyle w:val="FootnoteText"/>
        <w:ind w:left="567" w:hanging="567"/>
        <w:rPr>
          <w:sz w:val="24"/>
          <w:lang w:val="ro-RO"/>
        </w:rPr>
      </w:pPr>
      <w:r w:rsidRPr="00D15C54">
        <w:rPr>
          <w:rStyle w:val="FootnoteReference"/>
          <w:sz w:val="24"/>
          <w:lang w:val="ro-RO"/>
        </w:rPr>
        <w:footnoteRef/>
      </w:r>
      <w:r w:rsidR="00D15C54" w:rsidRPr="00D15C54">
        <w:rPr>
          <w:sz w:val="24"/>
          <w:lang w:val="ro-RO"/>
        </w:rPr>
        <w:t xml:space="preserve"> </w:t>
      </w:r>
      <w:r w:rsidR="00D15C54" w:rsidRPr="00D15C54">
        <w:rPr>
          <w:sz w:val="24"/>
          <w:lang w:val="ro-RO"/>
        </w:rPr>
        <w:tab/>
      </w:r>
      <w:r w:rsidRPr="00D15C54">
        <w:rPr>
          <w:sz w:val="24"/>
          <w:lang w:val="ro-RO"/>
        </w:rPr>
        <w:t xml:space="preserve">JO C, C/2025/487, 29.1.2025, ELI: </w:t>
      </w:r>
      <w:hyperlink r:id="rId6" w:history="1">
        <w:r w:rsidRPr="00D15C54">
          <w:rPr>
            <w:rStyle w:val="Hyperlink"/>
            <w:sz w:val="24"/>
            <w:lang w:val="ro-RO"/>
          </w:rPr>
          <w:t>http://data.europa.eu/eli/C/2025/487/oj</w:t>
        </w:r>
      </w:hyperlink>
      <w:r w:rsidRPr="00D15C54">
        <w:rPr>
          <w:sz w:val="24"/>
          <w:lang w:val="ro-RO"/>
        </w:rPr>
        <w:t>.</w:t>
      </w:r>
    </w:p>
  </w:footnote>
  <w:footnote w:id="10">
    <w:p w14:paraId="0E74FF5F" w14:textId="2E77FDAA" w:rsidR="00527B8F" w:rsidRPr="00D15C54" w:rsidRDefault="00527B8F" w:rsidP="00D15C54">
      <w:pPr>
        <w:pStyle w:val="FootnoteText"/>
        <w:ind w:left="567" w:hanging="567"/>
        <w:rPr>
          <w:sz w:val="24"/>
          <w:lang w:val="ro-RO"/>
        </w:rPr>
      </w:pPr>
      <w:r w:rsidRPr="00D15C54">
        <w:rPr>
          <w:rStyle w:val="FootnoteReference"/>
          <w:sz w:val="24"/>
          <w:lang w:val="ro-RO"/>
        </w:rPr>
        <w:footnoteRef/>
      </w:r>
      <w:r w:rsidR="00D15C54" w:rsidRPr="00D15C54">
        <w:rPr>
          <w:sz w:val="24"/>
          <w:lang w:val="ro-RO"/>
        </w:rPr>
        <w:t xml:space="preserve"> </w:t>
      </w:r>
      <w:r w:rsidR="00D15C54" w:rsidRPr="00D15C54">
        <w:rPr>
          <w:sz w:val="24"/>
          <w:lang w:val="ro-RO"/>
        </w:rPr>
        <w:tab/>
      </w:r>
      <w:r w:rsidRPr="00D15C54">
        <w:rPr>
          <w:sz w:val="24"/>
          <w:lang w:val="ro-RO"/>
        </w:rPr>
        <w:t xml:space="preserve">JO C, C/2024/4174, 2.8.2024, ELI: </w:t>
      </w:r>
      <w:hyperlink r:id="rId7" w:history="1">
        <w:r w:rsidRPr="00D15C54">
          <w:rPr>
            <w:rStyle w:val="Hyperlink"/>
            <w:sz w:val="24"/>
            <w:lang w:val="ro-RO"/>
          </w:rPr>
          <w:t>http://data.europa.eu/eli/C/2024/4174/oj</w:t>
        </w:r>
      </w:hyperlink>
      <w:r w:rsidRPr="00D15C54">
        <w:rPr>
          <w:sz w:val="24"/>
          <w:lang w:val="ro-RO"/>
        </w:rPr>
        <w:t>.</w:t>
      </w:r>
    </w:p>
  </w:footnote>
  <w:footnote w:id="11">
    <w:p w14:paraId="3975972F" w14:textId="7BD6BCF8" w:rsidR="00527B8F" w:rsidRPr="00D15C54" w:rsidRDefault="00527B8F" w:rsidP="00D15C54">
      <w:pPr>
        <w:pStyle w:val="FootnoteText"/>
        <w:ind w:left="567" w:hanging="567"/>
        <w:rPr>
          <w:sz w:val="24"/>
          <w:lang w:val="ro-RO"/>
        </w:rPr>
      </w:pPr>
      <w:r w:rsidRPr="00D15C54">
        <w:rPr>
          <w:rStyle w:val="FootnoteReference"/>
          <w:sz w:val="24"/>
          <w:lang w:val="ro-RO"/>
        </w:rPr>
        <w:footnoteRef/>
      </w:r>
      <w:r w:rsidR="00D15C54" w:rsidRPr="00D15C54">
        <w:rPr>
          <w:sz w:val="24"/>
          <w:lang w:val="ro-RO"/>
        </w:rPr>
        <w:t xml:space="preserve"> </w:t>
      </w:r>
      <w:r w:rsidR="00D15C54" w:rsidRPr="00D15C54">
        <w:rPr>
          <w:sz w:val="24"/>
          <w:lang w:val="ro-RO"/>
        </w:rPr>
        <w:tab/>
      </w:r>
      <w:r w:rsidRPr="00D15C54">
        <w:rPr>
          <w:sz w:val="24"/>
          <w:lang w:val="ro-RO"/>
        </w:rPr>
        <w:t>COM(2026)0100.</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72174350">
    <w:abstractNumId w:val="9"/>
  </w:num>
  <w:num w:numId="2" w16cid:durableId="470098748">
    <w:abstractNumId w:val="9"/>
  </w:num>
  <w:num w:numId="3" w16cid:durableId="1951930752">
    <w:abstractNumId w:val="7"/>
  </w:num>
  <w:num w:numId="4" w16cid:durableId="2032565198">
    <w:abstractNumId w:val="7"/>
  </w:num>
  <w:num w:numId="5" w16cid:durableId="163974919">
    <w:abstractNumId w:val="6"/>
  </w:num>
  <w:num w:numId="6" w16cid:durableId="425342546">
    <w:abstractNumId w:val="6"/>
  </w:num>
  <w:num w:numId="7" w16cid:durableId="529730810">
    <w:abstractNumId w:val="5"/>
  </w:num>
  <w:num w:numId="8" w16cid:durableId="331950705">
    <w:abstractNumId w:val="5"/>
  </w:num>
  <w:num w:numId="9" w16cid:durableId="1185048890">
    <w:abstractNumId w:val="4"/>
  </w:num>
  <w:num w:numId="10" w16cid:durableId="325481399">
    <w:abstractNumId w:val="4"/>
  </w:num>
  <w:num w:numId="11" w16cid:durableId="378675341">
    <w:abstractNumId w:val="8"/>
  </w:num>
  <w:num w:numId="12" w16cid:durableId="1933590632">
    <w:abstractNumId w:val="8"/>
  </w:num>
  <w:num w:numId="13" w16cid:durableId="18049212">
    <w:abstractNumId w:val="3"/>
  </w:num>
  <w:num w:numId="14" w16cid:durableId="543101902">
    <w:abstractNumId w:val="3"/>
  </w:num>
  <w:num w:numId="15" w16cid:durableId="765460563">
    <w:abstractNumId w:val="2"/>
  </w:num>
  <w:num w:numId="16" w16cid:durableId="1242759445">
    <w:abstractNumId w:val="2"/>
  </w:num>
  <w:num w:numId="17" w16cid:durableId="357976675">
    <w:abstractNumId w:val="1"/>
  </w:num>
  <w:num w:numId="18" w16cid:durableId="286396184">
    <w:abstractNumId w:val="1"/>
  </w:num>
  <w:num w:numId="19" w16cid:durableId="805052488">
    <w:abstractNumId w:val="0"/>
  </w:num>
  <w:num w:numId="20" w16cid:durableId="954293885">
    <w:abstractNumId w:val="0"/>
  </w:num>
  <w:num w:numId="21" w16cid:durableId="1193031680">
    <w:abstractNumId w:val="9"/>
  </w:num>
  <w:num w:numId="22" w16cid:durableId="131212938">
    <w:abstractNumId w:val="7"/>
  </w:num>
  <w:num w:numId="23" w16cid:durableId="1846750323">
    <w:abstractNumId w:val="6"/>
  </w:num>
  <w:num w:numId="24" w16cid:durableId="250236674">
    <w:abstractNumId w:val="5"/>
  </w:num>
  <w:num w:numId="25" w16cid:durableId="1572081669">
    <w:abstractNumId w:val="4"/>
  </w:num>
  <w:num w:numId="26" w16cid:durableId="168252806">
    <w:abstractNumId w:val="8"/>
  </w:num>
  <w:num w:numId="27" w16cid:durableId="301814233">
    <w:abstractNumId w:val="3"/>
  </w:num>
  <w:num w:numId="28" w16cid:durableId="1108425748">
    <w:abstractNumId w:val="2"/>
  </w:num>
  <w:num w:numId="29" w16cid:durableId="1874074869">
    <w:abstractNumId w:val="1"/>
  </w:num>
  <w:num w:numId="30" w16cid:durableId="660541481">
    <w:abstractNumId w:val="0"/>
  </w:num>
  <w:num w:numId="31" w16cid:durableId="393821237">
    <w:abstractNumId w:val="9"/>
  </w:num>
  <w:num w:numId="32" w16cid:durableId="911501380">
    <w:abstractNumId w:val="7"/>
  </w:num>
  <w:num w:numId="33" w16cid:durableId="746534131">
    <w:abstractNumId w:val="6"/>
  </w:num>
  <w:num w:numId="34" w16cid:durableId="1206483477">
    <w:abstractNumId w:val="5"/>
  </w:num>
  <w:num w:numId="35" w16cid:durableId="817261216">
    <w:abstractNumId w:val="4"/>
  </w:num>
  <w:num w:numId="36" w16cid:durableId="449978570">
    <w:abstractNumId w:val="8"/>
  </w:num>
  <w:num w:numId="37" w16cid:durableId="111287880">
    <w:abstractNumId w:val="3"/>
  </w:num>
  <w:num w:numId="38" w16cid:durableId="1348947356">
    <w:abstractNumId w:val="2"/>
  </w:num>
  <w:num w:numId="39" w16cid:durableId="2064940748">
    <w:abstractNumId w:val="1"/>
  </w:num>
  <w:num w:numId="40" w16cid:durableId="2106340451">
    <w:abstractNumId w:val="0"/>
  </w:num>
  <w:num w:numId="41" w16cid:durableId="1452673780">
    <w:abstractNumId w:val="10"/>
  </w:num>
  <w:num w:numId="42" w16cid:durableId="134760404">
    <w:abstractNumId w:val="10"/>
  </w:num>
  <w:num w:numId="43" w16cid:durableId="1479573075">
    <w:abstractNumId w:val="10"/>
  </w:num>
  <w:num w:numId="44" w16cid:durableId="188555873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89/2026"/>
    <w:docVar w:name="dvlangue" w:val="RO"/>
    <w:docVar w:name="dvnumam" w:val="39"/>
    <w:docVar w:name="dvpe" w:val="776.904"/>
    <w:docVar w:name="dvrapporteur" w:val="Raportor: "/>
    <w:docVar w:name="dvtitre" w:val="Recomandarea Parlamentului European adresată Consiliului referitor la recomandarea Parlamentului European adresată Consiliului, Comisiei și Vicepreședintei Comisiei/Înaltei Reprezentante a Uniunii pentru afaceri externe și politica de securitate privind situația geopolitică în schimbare din Asia de Est și necesitatea unei cooperări mai strânse cu partenerii regionali cu aceeași viziune(2025/2169(INI))"/>
  </w:docVars>
  <w:rsids>
    <w:rsidRoot w:val="00016E5B"/>
    <w:rsid w:val="00002272"/>
    <w:rsid w:val="00016E5B"/>
    <w:rsid w:val="00064002"/>
    <w:rsid w:val="000677B9"/>
    <w:rsid w:val="00077496"/>
    <w:rsid w:val="000831BA"/>
    <w:rsid w:val="000A42CC"/>
    <w:rsid w:val="000E7DD9"/>
    <w:rsid w:val="0010095E"/>
    <w:rsid w:val="00125B37"/>
    <w:rsid w:val="00187494"/>
    <w:rsid w:val="001F32AE"/>
    <w:rsid w:val="00272A78"/>
    <w:rsid w:val="002767FF"/>
    <w:rsid w:val="002B18FE"/>
    <w:rsid w:val="002B5493"/>
    <w:rsid w:val="003028C2"/>
    <w:rsid w:val="0031333F"/>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27B8F"/>
    <w:rsid w:val="00545827"/>
    <w:rsid w:val="00560270"/>
    <w:rsid w:val="005C2568"/>
    <w:rsid w:val="005F1B17"/>
    <w:rsid w:val="006037C0"/>
    <w:rsid w:val="006631B6"/>
    <w:rsid w:val="00680577"/>
    <w:rsid w:val="006E0EE6"/>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328E4"/>
    <w:rsid w:val="00B558F0"/>
    <w:rsid w:val="00BD48FE"/>
    <w:rsid w:val="00BD7BD8"/>
    <w:rsid w:val="00BE6ADC"/>
    <w:rsid w:val="00C05BFE"/>
    <w:rsid w:val="00C23CD4"/>
    <w:rsid w:val="00C519D5"/>
    <w:rsid w:val="00C61C0C"/>
    <w:rsid w:val="00C941CB"/>
    <w:rsid w:val="00CC2357"/>
    <w:rsid w:val="00CF071A"/>
    <w:rsid w:val="00D058B8"/>
    <w:rsid w:val="00D15C54"/>
    <w:rsid w:val="00D56C11"/>
    <w:rsid w:val="00D834A0"/>
    <w:rsid w:val="00D872DF"/>
    <w:rsid w:val="00D91E21"/>
    <w:rsid w:val="00DA7FCD"/>
    <w:rsid w:val="00E365E1"/>
    <w:rsid w:val="00E4064F"/>
    <w:rsid w:val="00E551F5"/>
    <w:rsid w:val="00E747C0"/>
    <w:rsid w:val="00E816B9"/>
    <w:rsid w:val="00E820A4"/>
    <w:rsid w:val="00EB006A"/>
    <w:rsid w:val="00EB4772"/>
    <w:rsid w:val="00EC4CFB"/>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28F3F7"/>
  <w15:chartTrackingRefBased/>
  <w15:docId w15:val="{1FEE9AE2-2B55-44FB-9B3F-7C59034012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27B8F"/>
    <w:pPr>
      <w:spacing w:before="480" w:after="240"/>
    </w:pPr>
  </w:style>
  <w:style w:type="paragraph" w:customStyle="1" w:styleId="NormalHanging12a">
    <w:name w:val="NormalHanging12a"/>
    <w:basedOn w:val="Normal"/>
    <w:rsid w:val="00527B8F"/>
    <w:pPr>
      <w:spacing w:after="240"/>
      <w:ind w:left="567" w:hanging="567"/>
    </w:pPr>
  </w:style>
  <w:style w:type="paragraph" w:customStyle="1" w:styleId="NormalHangingLeft12a">
    <w:name w:val="NormalHangingLeft12a"/>
    <w:basedOn w:val="Normal"/>
    <w:rsid w:val="00527B8F"/>
    <w:pPr>
      <w:spacing w:after="240"/>
      <w:ind w:left="1134" w:hanging="567"/>
    </w:pPr>
  </w:style>
  <w:style w:type="character" w:styleId="Hyperlink">
    <w:name w:val="Hyperlink"/>
    <w:basedOn w:val="DefaultParagraphFont"/>
    <w:rsid w:val="00527B8F"/>
    <w:rPr>
      <w:color w:val="0563C1" w:themeColor="hyperlink"/>
      <w:u w:val="single"/>
    </w:rPr>
  </w:style>
  <w:style w:type="paragraph" w:styleId="Revision">
    <w:name w:val="Revision"/>
    <w:hidden/>
    <w:uiPriority w:val="99"/>
    <w:semiHidden/>
    <w:rsid w:val="00E551F5"/>
    <w:rPr>
      <w:sz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agree_internation/2011/265/oj" TargetMode="External"/><Relationship Id="rId7" Type="http://schemas.openxmlformats.org/officeDocument/2006/relationships/hyperlink" Target="http://data.europa.eu/eli/C/2024/4174/oj" TargetMode="External"/><Relationship Id="rId2" Type="http://schemas.openxmlformats.org/officeDocument/2006/relationships/hyperlink" Target="http://data.europa.eu/eli/agree_internation/2018/1907/oj" TargetMode="External"/><Relationship Id="rId1" Type="http://schemas.openxmlformats.org/officeDocument/2006/relationships/hyperlink" Target="http://data.europa.eu/eli/agree_internation/2018/1197/oj" TargetMode="External"/><Relationship Id="rId6" Type="http://schemas.openxmlformats.org/officeDocument/2006/relationships/hyperlink" Target="http://data.europa.eu/eli/C/2025/487/oj" TargetMode="External"/><Relationship Id="rId5" Type="http://schemas.openxmlformats.org/officeDocument/2006/relationships/hyperlink" Target="http://data.europa.eu/eli/C/2025/1809/oj" TargetMode="External"/><Relationship Id="rId4" Type="http://schemas.openxmlformats.org/officeDocument/2006/relationships/hyperlink" Target="http://data.europa.eu/eli/C/2024/416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6933</Words>
  <Characters>42885</Characters>
  <Application>Microsoft Office Word</Application>
  <DocSecurity>0</DocSecurity>
  <Lines>357</Lines>
  <Paragraphs>99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49719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TEODORESCU-ILIE Camelia</dc:creator>
  <cp:keywords/>
  <cp:lastModifiedBy>GHERMAN Laura-Mirona</cp:lastModifiedBy>
  <cp:revision>2</cp:revision>
  <cp:lastPrinted>2004-11-19T15:42:00Z</cp:lastPrinted>
  <dcterms:created xsi:type="dcterms:W3CDTF">2026-07-07T13:28:00Z</dcterms:created>
  <dcterms:modified xsi:type="dcterms:W3CDTF">2026-07-07T13:28:00Z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A10-0189/2026</vt:lpwstr>
  </property>
  <property fmtid="{D5CDD505-2E9C-101B-9397-08002B2CF9AE}" pid="4" name="&lt;Type&gt;">
    <vt:lpwstr>RR</vt:lpwstr>
  </property>
</Properties>
</file>