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A7A25" w14:paraId="4C0A8C1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C8488C" w14:textId="77777777" w:rsidR="00751A4A" w:rsidRPr="009A7A25" w:rsidRDefault="00982E1F" w:rsidP="0010095E">
            <w:pPr>
              <w:pStyle w:val="EPName"/>
            </w:pPr>
            <w:r w:rsidRPr="009A7A25">
              <w:t>Európsky parlament</w:t>
            </w:r>
          </w:p>
          <w:p w14:paraId="23940265" w14:textId="77777777" w:rsidR="00751A4A" w:rsidRPr="009A7A2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A7A25">
              <w:t>2024</w:t>
            </w:r>
            <w:r w:rsidR="00817416" w:rsidRPr="009A7A25">
              <w:t>-202</w:t>
            </w:r>
            <w:r w:rsidRPr="009A7A25">
              <w:t>9</w:t>
            </w:r>
          </w:p>
        </w:tc>
        <w:tc>
          <w:tcPr>
            <w:tcW w:w="2268" w:type="dxa"/>
            <w:shd w:val="clear" w:color="auto" w:fill="auto"/>
          </w:tcPr>
          <w:p w14:paraId="002CA6E0" w14:textId="77777777" w:rsidR="00751A4A" w:rsidRPr="009A7A25" w:rsidRDefault="00187494" w:rsidP="0010095E">
            <w:pPr>
              <w:pStyle w:val="EPLogo"/>
            </w:pPr>
            <w:r w:rsidRPr="009A7A25">
              <w:rPr>
                <w:noProof/>
                <w:lang w:eastAsia="ja-JP"/>
              </w:rPr>
              <w:drawing>
                <wp:inline distT="0" distB="0" distL="0" distR="0" wp14:anchorId="138BAD07" wp14:editId="7079ADD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ADD282" w14:textId="77777777" w:rsidR="00D058B8" w:rsidRPr="009A7A25" w:rsidRDefault="00D058B8" w:rsidP="004C5D52">
      <w:pPr>
        <w:pStyle w:val="LineTop"/>
      </w:pPr>
    </w:p>
    <w:p w14:paraId="6671A043" w14:textId="77777777" w:rsidR="00680577" w:rsidRPr="009A7A25" w:rsidRDefault="00982E1F" w:rsidP="00680577">
      <w:pPr>
        <w:pStyle w:val="EPBodyTA1"/>
      </w:pPr>
      <w:r w:rsidRPr="009A7A25">
        <w:t>PRIJATÉ TEXTY</w:t>
      </w:r>
    </w:p>
    <w:p w14:paraId="301E1EC8" w14:textId="77777777" w:rsidR="00D058B8" w:rsidRPr="009A7A25" w:rsidRDefault="00D058B8" w:rsidP="00D058B8">
      <w:pPr>
        <w:pStyle w:val="LineBottom"/>
      </w:pPr>
    </w:p>
    <w:p w14:paraId="0E8F9C7A" w14:textId="35F7B570" w:rsidR="00982E1F" w:rsidRPr="009A7A25" w:rsidRDefault="00982E1F" w:rsidP="00982E1F">
      <w:pPr>
        <w:pStyle w:val="ATHeading1"/>
      </w:pPr>
      <w:bookmarkStart w:id="0" w:name="TANumber"/>
      <w:r w:rsidRPr="009A7A25">
        <w:t>P10_TA(2026)0</w:t>
      </w:r>
      <w:r w:rsidR="0037505B" w:rsidRPr="009A7A25">
        <w:t>246</w:t>
      </w:r>
      <w:bookmarkEnd w:id="0"/>
    </w:p>
    <w:p w14:paraId="3672A22D" w14:textId="77777777" w:rsidR="00982E1F" w:rsidRPr="009A7A25" w:rsidRDefault="00982E1F" w:rsidP="00982E1F">
      <w:pPr>
        <w:pStyle w:val="ATHeading2"/>
      </w:pPr>
      <w:bookmarkStart w:id="1" w:name="title"/>
      <w:r w:rsidRPr="009A7A25">
        <w:t>Odporúčanie k meniacej sa geopolitickej situácii vo východnej Ázii a k potrebe užšej spolupráce s podobne zmýšľajúcimi partnermi v regióne</w:t>
      </w:r>
      <w:bookmarkEnd w:id="1"/>
    </w:p>
    <w:p w14:paraId="66C4787B" w14:textId="77777777" w:rsidR="00982E1F" w:rsidRPr="009A7A25" w:rsidRDefault="00982E1F" w:rsidP="00982E1F">
      <w:pPr>
        <w:rPr>
          <w:i/>
          <w:vanish/>
        </w:rPr>
      </w:pPr>
      <w:r w:rsidRPr="009A7A25">
        <w:rPr>
          <w:i/>
        </w:rPr>
        <w:fldChar w:fldCharType="begin"/>
      </w:r>
      <w:r w:rsidRPr="009A7A25">
        <w:rPr>
          <w:i/>
        </w:rPr>
        <w:instrText xml:space="preserve"> TC"(</w:instrText>
      </w:r>
      <w:bookmarkStart w:id="2" w:name="DocNumber"/>
      <w:r w:rsidRPr="009A7A25">
        <w:rPr>
          <w:i/>
        </w:rPr>
        <w:instrText>A10-0189/2026</w:instrText>
      </w:r>
      <w:bookmarkEnd w:id="2"/>
      <w:r w:rsidRPr="009A7A25">
        <w:rPr>
          <w:i/>
        </w:rPr>
        <w:instrText xml:space="preserve"> - Spravodajca: Adam </w:instrText>
      </w:r>
      <w:proofErr w:type="spellStart"/>
      <w:r w:rsidRPr="009A7A25">
        <w:rPr>
          <w:i/>
        </w:rPr>
        <w:instrText>Bielan</w:instrText>
      </w:r>
      <w:proofErr w:type="spellEnd"/>
      <w:r w:rsidRPr="009A7A25">
        <w:rPr>
          <w:i/>
        </w:rPr>
        <w:instrText xml:space="preserve">)"\l3 \n&gt; \* MERGEFORMAT </w:instrText>
      </w:r>
      <w:r w:rsidRPr="009A7A25">
        <w:rPr>
          <w:i/>
        </w:rPr>
        <w:fldChar w:fldCharType="end"/>
      </w:r>
    </w:p>
    <w:p w14:paraId="1A4EE240" w14:textId="77777777" w:rsidR="00982E1F" w:rsidRPr="009A7A25" w:rsidRDefault="00982E1F" w:rsidP="00982E1F">
      <w:pPr>
        <w:rPr>
          <w:vanish/>
        </w:rPr>
      </w:pPr>
      <w:bookmarkStart w:id="3" w:name="Commission"/>
      <w:r w:rsidRPr="009A7A25">
        <w:rPr>
          <w:vanish/>
        </w:rPr>
        <w:t>Výbor pre zahraničné veci</w:t>
      </w:r>
      <w:bookmarkEnd w:id="3"/>
    </w:p>
    <w:p w14:paraId="5F4A6360" w14:textId="77777777" w:rsidR="00982E1F" w:rsidRPr="009A7A25" w:rsidRDefault="00982E1F" w:rsidP="00982E1F">
      <w:pPr>
        <w:rPr>
          <w:vanish/>
        </w:rPr>
      </w:pPr>
      <w:bookmarkStart w:id="4" w:name="PE"/>
      <w:r w:rsidRPr="009A7A25">
        <w:rPr>
          <w:vanish/>
        </w:rPr>
        <w:t>PE776.904</w:t>
      </w:r>
      <w:bookmarkEnd w:id="4"/>
    </w:p>
    <w:p w14:paraId="43D34792" w14:textId="5E06AD99" w:rsidR="00982E1F" w:rsidRPr="009A7A25" w:rsidRDefault="00982E1F" w:rsidP="00982E1F">
      <w:pPr>
        <w:pStyle w:val="ATHeading3"/>
      </w:pPr>
      <w:bookmarkStart w:id="5" w:name="Sujet"/>
      <w:r w:rsidRPr="009A7A25">
        <w:t xml:space="preserve">Odporúčanie Európskeho parlamentu </w:t>
      </w:r>
      <w:r w:rsidR="00BE69DC" w:rsidRPr="009A7A25">
        <w:t xml:space="preserve">zo 7. júla 2026 </w:t>
      </w:r>
      <w:r w:rsidRPr="009A7A25">
        <w:t>Rade, Komisii a podpredsedníčke Komisie/vysokej predstaviteľke Únie pre zahraničné veci a bezpečnostnú politiku k meniacej sa geopolitickej situácii vo východnej Ázii a k potrebe užšej spolupráce s podobne zmýšľajúcimi partnermi v regióne</w:t>
      </w:r>
      <w:bookmarkEnd w:id="5"/>
      <w:r w:rsidRPr="009A7A25">
        <w:t xml:space="preserve"> </w:t>
      </w:r>
      <w:bookmarkStart w:id="6" w:name="References"/>
      <w:r w:rsidRPr="009A7A25">
        <w:t>(2025/2169(INI))</w:t>
      </w:r>
      <w:bookmarkEnd w:id="6"/>
    </w:p>
    <w:p w14:paraId="16F92306" w14:textId="77777777" w:rsidR="00826D56" w:rsidRPr="009A7A25" w:rsidRDefault="00826D56" w:rsidP="00826D56">
      <w:pPr>
        <w:pStyle w:val="EPComma"/>
      </w:pPr>
      <w:r w:rsidRPr="009A7A25">
        <w:rPr>
          <w:i/>
          <w:iCs/>
        </w:rPr>
        <w:t>Európsky parlament,</w:t>
      </w:r>
    </w:p>
    <w:p w14:paraId="6EC15765" w14:textId="77777777" w:rsidR="00826D56" w:rsidRPr="009A7A25" w:rsidRDefault="00826D56" w:rsidP="00826D56">
      <w:pPr>
        <w:pStyle w:val="NormalHanging12a"/>
      </w:pPr>
      <w:r w:rsidRPr="009A7A25">
        <w:t>–</w:t>
      </w:r>
      <w:r w:rsidRPr="009A7A25">
        <w:tab/>
        <w:t>so zreteľom na hlavu V Zmluvy o Európskej únii,</w:t>
      </w:r>
    </w:p>
    <w:p w14:paraId="0A42C311" w14:textId="77777777" w:rsidR="00826D56" w:rsidRPr="009A7A25" w:rsidRDefault="00826D56" w:rsidP="00826D56">
      <w:pPr>
        <w:pStyle w:val="NormalHanging12a"/>
      </w:pPr>
      <w:r w:rsidRPr="009A7A25">
        <w:t>–</w:t>
      </w:r>
      <w:r w:rsidRPr="009A7A25">
        <w:tab/>
        <w:t>so zreteľom na spoločné oznámenie Komisie a vysokého predstaviteľa Únie pre zahraničné veci a bezpečnostnú politiku zo 16. septembra 2021 s názvom Stratégia EÚ pre spoluprácu v indicko-tichomorskom regióne (JOIN(2021)0024),</w:t>
      </w:r>
    </w:p>
    <w:p w14:paraId="3E4222F1" w14:textId="77777777" w:rsidR="00826D56" w:rsidRPr="009A7A25" w:rsidRDefault="00826D56" w:rsidP="00826D56">
      <w:pPr>
        <w:pStyle w:val="NormalHanging12a"/>
      </w:pPr>
      <w:r w:rsidRPr="009A7A25">
        <w:t>–</w:t>
      </w:r>
      <w:r w:rsidRPr="009A7A25">
        <w:tab/>
        <w:t>so zreteľom na Strategický kompas pre bezpečnosť a obranu, ktorý Rada schválila 21. marca 2022 a v ktorom sa zdôrazňuje úloha partnerstiev z hľadiska bezpečnosti a odolnosti Únie, a to aj v indicko-tichomorskom regióne,</w:t>
      </w:r>
    </w:p>
    <w:p w14:paraId="0A434122" w14:textId="77777777" w:rsidR="00826D56" w:rsidRPr="009A7A25" w:rsidRDefault="00826D56" w:rsidP="00826D56">
      <w:pPr>
        <w:pStyle w:val="NormalHanging12a"/>
        <w:rPr>
          <w:bCs/>
          <w:iCs/>
        </w:rPr>
      </w:pPr>
      <w:r w:rsidRPr="009A7A25">
        <w:t>–</w:t>
      </w:r>
      <w:r w:rsidRPr="009A7A25">
        <w:tab/>
        <w:t xml:space="preserve">so zreteľom na spoločné oznámenie Komisie a vysokého predstaviteľa Únie pre zahraničné veci a bezpečnostnú politiku z 1. decembra 2021 s názvom </w:t>
      </w:r>
      <w:proofErr w:type="spellStart"/>
      <w:r w:rsidRPr="009A7A25">
        <w:t>Global</w:t>
      </w:r>
      <w:proofErr w:type="spellEnd"/>
      <w:r w:rsidRPr="009A7A25">
        <w:t xml:space="preserve"> </w:t>
      </w:r>
      <w:proofErr w:type="spellStart"/>
      <w:r w:rsidRPr="009A7A25">
        <w:t>Gateway</w:t>
      </w:r>
      <w:proofErr w:type="spellEnd"/>
      <w:r w:rsidRPr="009A7A25">
        <w:t xml:space="preserve"> (JOIN(2021)0030),</w:t>
      </w:r>
    </w:p>
    <w:p w14:paraId="51267710" w14:textId="77777777" w:rsidR="00826D56" w:rsidRPr="009A7A25" w:rsidRDefault="00826D56" w:rsidP="00826D56">
      <w:pPr>
        <w:pStyle w:val="NormalHanging12a"/>
        <w:rPr>
          <w:bCs/>
          <w:iCs/>
        </w:rPr>
      </w:pPr>
      <w:r w:rsidRPr="009A7A25">
        <w:t>–</w:t>
      </w:r>
      <w:r w:rsidRPr="009A7A25">
        <w:tab/>
        <w:t xml:space="preserve">so zreteľom na spoločné oznámenie Komisie a vysokého predstaviteľa Únie pre zahraničné veci a bezpečnostnú politiku z 20. júna 2023 o európskej stratégii hospodárskej bezpečnosti, </w:t>
      </w:r>
    </w:p>
    <w:p w14:paraId="4BB2861D" w14:textId="77777777" w:rsidR="00826D56" w:rsidRPr="009A7A25" w:rsidRDefault="00826D56" w:rsidP="00826D56">
      <w:pPr>
        <w:pStyle w:val="NormalHanging12a"/>
        <w:rPr>
          <w:bCs/>
          <w:iCs/>
        </w:rPr>
      </w:pPr>
      <w:r w:rsidRPr="009A7A25">
        <w:t>–</w:t>
      </w:r>
      <w:r w:rsidRPr="009A7A25">
        <w:tab/>
        <w:t>so zreteľom na spoločné oznámenie Komisie a vysokej predstaviteľky Únie pre zahraničné veci a bezpečnostnú politiku z 12. novembra 2025 s názvom Európsky štít na ochranu demokracie: opora silných a odolných demokracií (JOIN(2025)0791),</w:t>
      </w:r>
    </w:p>
    <w:p w14:paraId="1ACFF68E" w14:textId="77777777" w:rsidR="00826D56" w:rsidRPr="009A7A25" w:rsidRDefault="00826D56" w:rsidP="00826D56">
      <w:pPr>
        <w:pStyle w:val="NormalHanging12a"/>
        <w:rPr>
          <w:bCs/>
          <w:iCs/>
        </w:rPr>
      </w:pPr>
      <w:r w:rsidRPr="009A7A25">
        <w:t>–</w:t>
      </w:r>
      <w:r w:rsidRPr="009A7A25">
        <w:tab/>
        <w:t>so zreteľom na spoločné oznámenie Komisie a vysokého predstaviteľa Únie pre zahraničné veci a bezpečnostnú politiku zo 16. decembra 2020 s názvom Stratégia kybernetickej bezpečnosti EÚ v digitálnej dekáde (JOIN(2020)0018),</w:t>
      </w:r>
    </w:p>
    <w:p w14:paraId="37326E44" w14:textId="77777777" w:rsidR="00826D56" w:rsidRPr="009A7A25" w:rsidRDefault="00826D56" w:rsidP="00826D56">
      <w:pPr>
        <w:pStyle w:val="NormalHanging12a"/>
      </w:pPr>
      <w:r w:rsidRPr="009A7A25">
        <w:lastRenderedPageBreak/>
        <w:t>–</w:t>
      </w:r>
      <w:r w:rsidRPr="009A7A25">
        <w:tab/>
        <w:t>so zreteľom na partnerstvo v oblasti bezpečnosti a obrany medzi Európskou úniou a Japonskom z 1. novembra 2024,</w:t>
      </w:r>
    </w:p>
    <w:p w14:paraId="24BD07E3" w14:textId="77777777" w:rsidR="00826D56" w:rsidRPr="009A7A25" w:rsidRDefault="00826D56" w:rsidP="00826D56">
      <w:pPr>
        <w:pStyle w:val="NormalHanging12a"/>
      </w:pPr>
      <w:r w:rsidRPr="009A7A25">
        <w:t>–</w:t>
      </w:r>
      <w:r w:rsidRPr="009A7A25">
        <w:tab/>
        <w:t>so zreteľom na partnerstvo v oblasti bezpečnosti a obrany medzi Európskou úniou a Kórejskou republikou zo 4. novembra 2024,</w:t>
      </w:r>
    </w:p>
    <w:p w14:paraId="02E45980" w14:textId="77777777" w:rsidR="00826D56" w:rsidRPr="009A7A25" w:rsidRDefault="00826D56" w:rsidP="00826D56">
      <w:pPr>
        <w:pStyle w:val="NormalHanging12a"/>
      </w:pPr>
      <w:r w:rsidRPr="009A7A25">
        <w:t>–</w:t>
      </w:r>
      <w:r w:rsidRPr="009A7A25">
        <w:tab/>
        <w:t>so zreteľom na Dohodu o strategickom partnerstve medzi Európskou úniou a jej členskými štátmi na jednej strane a Japonskom na druhej strane</w:t>
      </w:r>
      <w:r w:rsidRPr="009A7A25">
        <w:rPr>
          <w:rStyle w:val="FootnoteReference"/>
        </w:rPr>
        <w:footnoteReference w:id="1"/>
      </w:r>
      <w:r w:rsidRPr="009A7A25">
        <w:t>,</w:t>
      </w:r>
    </w:p>
    <w:p w14:paraId="0D4A224D" w14:textId="77777777" w:rsidR="00826D56" w:rsidRPr="009A7A25" w:rsidRDefault="00826D56" w:rsidP="00826D56">
      <w:pPr>
        <w:pStyle w:val="NormalHanging12a"/>
      </w:pPr>
      <w:r w:rsidRPr="009A7A25">
        <w:t>–</w:t>
      </w:r>
      <w:r w:rsidRPr="009A7A25">
        <w:tab/>
        <w:t>so zreteľom na Rámcovú dohodu medzi Európskou úniou a jej členskými štátmi na jednej strane a Kórejskou republikou na strane druhej</w:t>
      </w:r>
      <w:r w:rsidRPr="009A7A25">
        <w:rPr>
          <w:rStyle w:val="FootnoteReference"/>
        </w:rPr>
        <w:footnoteReference w:id="2"/>
      </w:r>
      <w:r w:rsidRPr="009A7A25">
        <w:t>,</w:t>
      </w:r>
    </w:p>
    <w:p w14:paraId="70128A30" w14:textId="77777777" w:rsidR="00826D56" w:rsidRPr="009A7A25" w:rsidRDefault="00826D56" w:rsidP="00826D56">
      <w:pPr>
        <w:pStyle w:val="NormalHanging12a"/>
        <w:rPr>
          <w:b/>
          <w:i/>
        </w:rPr>
      </w:pPr>
      <w:r w:rsidRPr="009A7A25">
        <w:t>–</w:t>
      </w:r>
      <w:r w:rsidRPr="009A7A25">
        <w:tab/>
        <w:t>so zreteľom na Dohodu medzi EÚ a Japonskom o hospodárskom partnerstve</w:t>
      </w:r>
      <w:r w:rsidRPr="009A7A25">
        <w:rPr>
          <w:rStyle w:val="FootnoteReference"/>
          <w:bCs/>
          <w:iCs/>
        </w:rPr>
        <w:footnoteReference w:id="3"/>
      </w:r>
      <w:r w:rsidRPr="009A7A25">
        <w:t>,</w:t>
      </w:r>
    </w:p>
    <w:p w14:paraId="124C3656" w14:textId="77777777" w:rsidR="00826D56" w:rsidRPr="009A7A25" w:rsidRDefault="00826D56" w:rsidP="00826D56">
      <w:pPr>
        <w:pStyle w:val="NormalHanging12a"/>
        <w:rPr>
          <w:bCs/>
          <w:iCs/>
        </w:rPr>
      </w:pPr>
      <w:r w:rsidRPr="009A7A25">
        <w:t>–</w:t>
      </w:r>
      <w:r w:rsidRPr="009A7A25">
        <w:tab/>
        <w:t>so zreteľom na Dohodu o voľnom obchode medzi Európskou úniou a jej členskými štátmi na jednej strane a Kórejskou republikou na strane druhej</w:t>
      </w:r>
      <w:r w:rsidRPr="009A7A25">
        <w:rPr>
          <w:rStyle w:val="FootnoteReference"/>
          <w:bCs/>
          <w:iCs/>
        </w:rPr>
        <w:footnoteReference w:id="4"/>
      </w:r>
      <w:r w:rsidRPr="009A7A25">
        <w:t>,</w:t>
      </w:r>
    </w:p>
    <w:p w14:paraId="10CD42F5" w14:textId="77777777" w:rsidR="00826D56" w:rsidRPr="009A7A25" w:rsidRDefault="00826D56" w:rsidP="00826D56">
      <w:pPr>
        <w:pStyle w:val="NormalHanging12a"/>
        <w:rPr>
          <w:bCs/>
          <w:iCs/>
        </w:rPr>
      </w:pPr>
      <w:r w:rsidRPr="009A7A25">
        <w:t>–</w:t>
      </w:r>
      <w:r w:rsidRPr="009A7A25">
        <w:tab/>
        <w:t>so zreteľom na Dohovor OSN o morskom práve (UNCLOS),</w:t>
      </w:r>
    </w:p>
    <w:p w14:paraId="2D8E6FF2" w14:textId="77777777" w:rsidR="00826D56" w:rsidRPr="009A7A25" w:rsidRDefault="00826D56" w:rsidP="00826D56">
      <w:pPr>
        <w:pStyle w:val="NormalHanging12a"/>
      </w:pPr>
      <w:r w:rsidRPr="009A7A25">
        <w:t>–</w:t>
      </w:r>
      <w:r w:rsidRPr="009A7A25">
        <w:tab/>
        <w:t>so zreteľom na spoločné vyhlásenie prijaté na 30. samite EÚ – Japonsko, ktorý sa konal 23. júla 2025 v Tokiu,</w:t>
      </w:r>
    </w:p>
    <w:p w14:paraId="4C696091" w14:textId="77777777" w:rsidR="00826D56" w:rsidRPr="009A7A25" w:rsidRDefault="00826D56" w:rsidP="00826D56">
      <w:pPr>
        <w:pStyle w:val="NormalHanging12a"/>
      </w:pPr>
      <w:r w:rsidRPr="009A7A25">
        <w:t>–</w:t>
      </w:r>
      <w:r w:rsidRPr="009A7A25">
        <w:tab/>
        <w:t>so zreteľom na 42. medziparlamentnú schôdzu EÚ – Japonsko, ktorá sa konala 28. a 29. mája 2025 v Tokiu,</w:t>
      </w:r>
    </w:p>
    <w:p w14:paraId="01AA89B9" w14:textId="1F29BAF5" w:rsidR="00826D56" w:rsidRPr="009A7A25" w:rsidRDefault="00826D56" w:rsidP="00826D56">
      <w:pPr>
        <w:pStyle w:val="NormalHanging12a"/>
        <w:rPr>
          <w:bCs/>
          <w:iCs/>
        </w:rPr>
      </w:pPr>
      <w:r w:rsidRPr="009A7A25">
        <w:t>–</w:t>
      </w:r>
      <w:r w:rsidRPr="009A7A25">
        <w:tab/>
        <w:t xml:space="preserve">so zreteľom na </w:t>
      </w:r>
      <w:r w:rsidR="00935265" w:rsidRPr="009A7A25">
        <w:t xml:space="preserve">tretí </w:t>
      </w:r>
      <w:r w:rsidRPr="009A7A25">
        <w:t xml:space="preserve">strategický dialóg medzi EÚ a Japonskom, ktorý sa konal </w:t>
      </w:r>
      <w:r w:rsidR="00935265" w:rsidRPr="009A7A25">
        <w:t xml:space="preserve">26. marca 2026 vo </w:t>
      </w:r>
      <w:proofErr w:type="spellStart"/>
      <w:r w:rsidR="00935265" w:rsidRPr="009A7A25">
        <w:t>Vaux</w:t>
      </w:r>
      <w:proofErr w:type="spellEnd"/>
      <w:r w:rsidR="00935265" w:rsidRPr="009A7A25">
        <w:t>-de-</w:t>
      </w:r>
      <w:proofErr w:type="spellStart"/>
      <w:r w:rsidR="00935265" w:rsidRPr="009A7A25">
        <w:t>Cernay</w:t>
      </w:r>
      <w:proofErr w:type="spellEnd"/>
      <w:r w:rsidRPr="009A7A25">
        <w:t xml:space="preserve">, </w:t>
      </w:r>
    </w:p>
    <w:p w14:paraId="06723908" w14:textId="6008D3A7" w:rsidR="00826D56" w:rsidRPr="009A7A25" w:rsidRDefault="00826D56" w:rsidP="00826D56">
      <w:pPr>
        <w:pStyle w:val="NormalHanging12a"/>
        <w:rPr>
          <w:bCs/>
          <w:iCs/>
        </w:rPr>
      </w:pPr>
      <w:r w:rsidRPr="009A7A25">
        <w:t>–</w:t>
      </w:r>
      <w:r w:rsidRPr="009A7A25">
        <w:tab/>
        <w:t xml:space="preserve">so zreteľom na </w:t>
      </w:r>
      <w:r w:rsidR="006A3B3D" w:rsidRPr="009A7A25">
        <w:t>9</w:t>
      </w:r>
      <w:r w:rsidRPr="009A7A25">
        <w:t xml:space="preserve">. dialóg o digitálnej politike medzi EÚ a Japonskom, ktorý sa konal </w:t>
      </w:r>
      <w:r w:rsidR="006A3B3D" w:rsidRPr="009A7A25">
        <w:t>25. marca 2026 v Tokiu</w:t>
      </w:r>
      <w:r w:rsidRPr="009A7A25">
        <w:t>,</w:t>
      </w:r>
    </w:p>
    <w:p w14:paraId="67028B93" w14:textId="77777777" w:rsidR="00826D56" w:rsidRPr="009A7A25" w:rsidRDefault="00826D56" w:rsidP="00826D56">
      <w:pPr>
        <w:pStyle w:val="NormalHanging12a"/>
        <w:rPr>
          <w:bCs/>
          <w:iCs/>
        </w:rPr>
      </w:pPr>
      <w:r w:rsidRPr="009A7A25">
        <w:t>–</w:t>
      </w:r>
      <w:r w:rsidRPr="009A7A25">
        <w:tab/>
        <w:t>so zreteľom na vyhlásenie o zámere podpísané 13. marca 2025 EÚ a Japonskom o posilnení spolupráce v oblasti kvantovej vedy a technológie s cieľom prehĺbiť spoločný výskum, výmeny a rozvoj ekosystému,</w:t>
      </w:r>
    </w:p>
    <w:p w14:paraId="67B1628D" w14:textId="77777777" w:rsidR="00826D56" w:rsidRPr="009A7A25" w:rsidRDefault="00826D56" w:rsidP="00826D56">
      <w:pPr>
        <w:pStyle w:val="NormalHanging12a"/>
        <w:rPr>
          <w:bCs/>
          <w:iCs/>
        </w:rPr>
      </w:pPr>
      <w:r w:rsidRPr="009A7A25">
        <w:t>–</w:t>
      </w:r>
      <w:r w:rsidRPr="009A7A25">
        <w:tab/>
        <w:t>so zreteľom na záväzok posilniť spoluprácu v oblasti kritických surovín, ktorý prijali EÚ, Japonsko a Spojené štáty na zasadnutí ministrov pre kritické nerastné suroviny 4. februára 2026,</w:t>
      </w:r>
    </w:p>
    <w:p w14:paraId="1B1EBC2D" w14:textId="77777777" w:rsidR="00826D56" w:rsidRPr="009A7A25" w:rsidRDefault="00826D56" w:rsidP="00826D56">
      <w:pPr>
        <w:pStyle w:val="NormalHanging12a"/>
        <w:rPr>
          <w:bCs/>
          <w:iCs/>
        </w:rPr>
      </w:pPr>
      <w:r w:rsidRPr="009A7A25">
        <w:t>–</w:t>
      </w:r>
      <w:r w:rsidRPr="009A7A25">
        <w:tab/>
        <w:t>so zreteľom na zelenú alianciu medzi EÚ a Japonskom z 27. mája 2021,</w:t>
      </w:r>
    </w:p>
    <w:p w14:paraId="0525D4FB" w14:textId="77777777" w:rsidR="00826D56" w:rsidRPr="009A7A25" w:rsidRDefault="00826D56" w:rsidP="00826D56">
      <w:pPr>
        <w:pStyle w:val="NormalHanging12a"/>
      </w:pPr>
      <w:r w:rsidRPr="009A7A25">
        <w:t>–</w:t>
      </w:r>
      <w:r w:rsidRPr="009A7A25">
        <w:tab/>
        <w:t>so zreteľom na spoločné vyhlásenie prijaté na 11. samite EÚ – Kórejská republika, ktorý sa konal 10. júna 2026 v Bruseli,</w:t>
      </w:r>
    </w:p>
    <w:p w14:paraId="1768515E" w14:textId="77777777" w:rsidR="00826D56" w:rsidRPr="009A7A25" w:rsidRDefault="00826D56" w:rsidP="00826D56">
      <w:pPr>
        <w:pStyle w:val="NormalHanging12a"/>
      </w:pPr>
      <w:r w:rsidRPr="009A7A25">
        <w:t>–</w:t>
      </w:r>
      <w:r w:rsidRPr="009A7A25">
        <w:tab/>
        <w:t xml:space="preserve">so zreteľom na 23. medziparlamentnú schôdzu EÚ – Kórejská republika, ktorá sa </w:t>
      </w:r>
      <w:r w:rsidRPr="009A7A25">
        <w:lastRenderedPageBreak/>
        <w:t>konala 18. novembra 2025 v Bruseli,</w:t>
      </w:r>
    </w:p>
    <w:p w14:paraId="18062EC2" w14:textId="77777777" w:rsidR="00826D56" w:rsidRPr="009A7A25" w:rsidRDefault="00826D56" w:rsidP="00826D56">
      <w:pPr>
        <w:pStyle w:val="NormalHanging12a"/>
        <w:rPr>
          <w:bCs/>
          <w:iCs/>
        </w:rPr>
      </w:pPr>
      <w:r w:rsidRPr="009A7A25">
        <w:t>–</w:t>
      </w:r>
      <w:r w:rsidRPr="009A7A25">
        <w:tab/>
        <w:t>so zreteľom na druhý strategický dialóg medzi EÚ a Kórejskou republikou, ktorý sa konal 22. januára 2026 v Bruseli,</w:t>
      </w:r>
    </w:p>
    <w:p w14:paraId="403C9760" w14:textId="77777777" w:rsidR="00826D56" w:rsidRPr="009A7A25" w:rsidRDefault="00826D56" w:rsidP="00826D56">
      <w:pPr>
        <w:pStyle w:val="NormalHanging12a"/>
        <w:rPr>
          <w:bCs/>
          <w:iCs/>
        </w:rPr>
      </w:pPr>
      <w:r w:rsidRPr="009A7A25">
        <w:t>–</w:t>
      </w:r>
      <w:r w:rsidRPr="009A7A25">
        <w:tab/>
        <w:t>so zreteľom na zelené partnerstvo medzi EÚ a Kórejskou republikou z 22. mája 2023,</w:t>
      </w:r>
    </w:p>
    <w:p w14:paraId="6F8821FA" w14:textId="77777777" w:rsidR="00826D56" w:rsidRPr="009A7A25" w:rsidRDefault="00826D56" w:rsidP="00826D56">
      <w:pPr>
        <w:pStyle w:val="NormalHanging12a"/>
      </w:pPr>
      <w:r w:rsidRPr="009A7A25">
        <w:t>–</w:t>
      </w:r>
      <w:r w:rsidRPr="009A7A25">
        <w:tab/>
        <w:t>so zreteľom na 4. ministerské fórum EÚ – indicko-tichomorský región, ktoré sa konalo 20. – 21. novembra 2025 v Bruseli,</w:t>
      </w:r>
    </w:p>
    <w:p w14:paraId="548C676F" w14:textId="77777777" w:rsidR="00826D56" w:rsidRPr="009A7A25" w:rsidRDefault="00826D56" w:rsidP="00826D56">
      <w:pPr>
        <w:pStyle w:val="NormalHanging12a"/>
        <w:rPr>
          <w:bCs/>
          <w:iCs/>
        </w:rPr>
      </w:pPr>
      <w:r w:rsidRPr="009A7A25">
        <w:t>–</w:t>
      </w:r>
      <w:r w:rsidRPr="009A7A25">
        <w:tab/>
        <w:t>so zreteľom na vyhlásenie po nedávnej návšteve delegácie Výboru pre zahraničné veci v Kórejskej republike a Japonsku v dňoch 31. marca až 2. apríla 2026,</w:t>
      </w:r>
    </w:p>
    <w:p w14:paraId="2968F1A8" w14:textId="77777777" w:rsidR="00826D56" w:rsidRPr="009A7A25" w:rsidRDefault="00826D56" w:rsidP="00826D56">
      <w:pPr>
        <w:pStyle w:val="NormalHanging12a"/>
      </w:pPr>
      <w:r w:rsidRPr="009A7A25">
        <w:t>–</w:t>
      </w:r>
      <w:r w:rsidRPr="009A7A25">
        <w:tab/>
        <w:t>so zreteľom na svoje uznesenie zo 7. júna 2022 o EÚ a bezpečnostných výzvach v indicko-tichomorskom regióne</w:t>
      </w:r>
      <w:r w:rsidRPr="009A7A25">
        <w:rPr>
          <w:rStyle w:val="FootnoteReference"/>
        </w:rPr>
        <w:footnoteReference w:id="5"/>
      </w:r>
      <w:r w:rsidRPr="009A7A25">
        <w:t>,</w:t>
      </w:r>
    </w:p>
    <w:p w14:paraId="3A0B75D3" w14:textId="77777777" w:rsidR="00826D56" w:rsidRPr="009A7A25" w:rsidRDefault="00826D56" w:rsidP="00826D56">
      <w:pPr>
        <w:pStyle w:val="NormalHanging12a"/>
      </w:pPr>
      <w:r w:rsidRPr="009A7A25">
        <w:t>–</w:t>
      </w:r>
      <w:r w:rsidRPr="009A7A25">
        <w:tab/>
        <w:t>so zreteľom na svoje uznesenie z 13. decembra 2023 o vzťahoch medzi EÚ a Japonskom</w:t>
      </w:r>
      <w:r w:rsidRPr="009A7A25">
        <w:rPr>
          <w:rStyle w:val="FootnoteReference"/>
        </w:rPr>
        <w:footnoteReference w:id="6"/>
      </w:r>
      <w:r w:rsidRPr="009A7A25">
        <w:t>,</w:t>
      </w:r>
    </w:p>
    <w:p w14:paraId="64B3F78B" w14:textId="77777777" w:rsidR="00826D56" w:rsidRPr="009A7A25" w:rsidRDefault="00826D56" w:rsidP="00826D56">
      <w:pPr>
        <w:pStyle w:val="NormalHanging12a"/>
      </w:pPr>
      <w:r w:rsidRPr="009A7A25">
        <w:t>–</w:t>
      </w:r>
      <w:r w:rsidRPr="009A7A25">
        <w:tab/>
        <w:t>so zreteľom na svoje uznesenie z 21. januára 2026 o vykonávaní spoločnej zahraničnej a bezpečnostnej politiky – výročná správa za rok 2025</w:t>
      </w:r>
      <w:r w:rsidRPr="009A7A25">
        <w:rPr>
          <w:rStyle w:val="FootnoteReference"/>
        </w:rPr>
        <w:footnoteReference w:id="7"/>
      </w:r>
      <w:r w:rsidRPr="009A7A25">
        <w:t>,</w:t>
      </w:r>
    </w:p>
    <w:p w14:paraId="672C6BCE" w14:textId="77777777" w:rsidR="00826D56" w:rsidRPr="009A7A25" w:rsidRDefault="00826D56" w:rsidP="00826D56">
      <w:pPr>
        <w:pStyle w:val="NormalHanging12a"/>
        <w:rPr>
          <w:bCs/>
          <w:iCs/>
        </w:rPr>
      </w:pPr>
      <w:r w:rsidRPr="009A7A25">
        <w:t>–</w:t>
      </w:r>
      <w:r w:rsidRPr="009A7A25">
        <w:tab/>
        <w:t>so zreteľom na svoje uznesenie z 28. novembra 2024 o posilnení neochvejnej podpory EÚ pre Ukrajinu v súvislosti s útočnou vojnou Ruska a zintenzívňujúcou sa vojenskou spoluprácou medzi Severnou Kóreou a Ruskom</w:t>
      </w:r>
      <w:r w:rsidRPr="009A7A25">
        <w:rPr>
          <w:rStyle w:val="FootnoteReference"/>
          <w:bCs/>
          <w:iCs/>
        </w:rPr>
        <w:footnoteReference w:id="8"/>
      </w:r>
      <w:r w:rsidRPr="009A7A25">
        <w:t>,</w:t>
      </w:r>
    </w:p>
    <w:p w14:paraId="2E30B5A6" w14:textId="77777777" w:rsidR="00826D56" w:rsidRPr="009A7A25" w:rsidRDefault="00826D56" w:rsidP="00826D56">
      <w:pPr>
        <w:pStyle w:val="NormalHanging12a"/>
        <w:rPr>
          <w:b/>
          <w:i/>
        </w:rPr>
      </w:pPr>
      <w:r w:rsidRPr="009A7A25">
        <w:t>–</w:t>
      </w:r>
      <w:r w:rsidRPr="009A7A25">
        <w:tab/>
        <w:t>so zreteľom na svoje uznesenie z 24. októbra 2024 o nesprávnom výklade rezolúcie OSN č. 2758 Čínskou ľudovou republikou a jej pokračujúcich vojenských provokáciách v okolí Taiwanu</w:t>
      </w:r>
      <w:r w:rsidRPr="009A7A25">
        <w:rPr>
          <w:rStyle w:val="FootnoteReference"/>
          <w:bCs/>
          <w:iCs/>
        </w:rPr>
        <w:footnoteReference w:id="9"/>
      </w:r>
      <w:r w:rsidRPr="009A7A25">
        <w:t>,</w:t>
      </w:r>
    </w:p>
    <w:p w14:paraId="1DB565CB" w14:textId="77777777" w:rsidR="00826D56" w:rsidRPr="009A7A25" w:rsidRDefault="00826D56" w:rsidP="00826D56">
      <w:pPr>
        <w:pStyle w:val="NormalHanging12a"/>
        <w:rPr>
          <w:bCs/>
          <w:iCs/>
        </w:rPr>
      </w:pPr>
      <w:r w:rsidRPr="009A7A25">
        <w:t>–</w:t>
      </w:r>
      <w:r w:rsidRPr="009A7A25">
        <w:tab/>
        <w:t>so zreteľom na svoje uznesenie z 13. decembra 2023 o obchodných a investičných vzťahoch medzi EÚ a Taiwanom</w:t>
      </w:r>
      <w:r w:rsidRPr="009A7A25">
        <w:rPr>
          <w:rStyle w:val="FootnoteReference"/>
          <w:bCs/>
          <w:iCs/>
        </w:rPr>
        <w:footnoteReference w:id="10"/>
      </w:r>
      <w:r w:rsidRPr="009A7A25">
        <w:t xml:space="preserve">, </w:t>
      </w:r>
    </w:p>
    <w:p w14:paraId="530ED0F8" w14:textId="77777777" w:rsidR="00826D56" w:rsidRPr="009A7A25" w:rsidRDefault="00826D56" w:rsidP="00826D56">
      <w:pPr>
        <w:pStyle w:val="NormalHanging12a"/>
      </w:pPr>
      <w:r w:rsidRPr="009A7A25">
        <w:t>–</w:t>
      </w:r>
      <w:r w:rsidRPr="009A7A25">
        <w:tab/>
        <w:t>so zreteľom na svoje pozície a odporúčania k indicko-tichomorskej spolupráci vrátane výziev na spoluprácu s podobne zmýšľajúcimi partnermi s cieľom presadzovať slobodu plavby a stabilitu v Taiwanskom prielive a vo Východočínskom a v Juhočínskom mori,</w:t>
      </w:r>
    </w:p>
    <w:p w14:paraId="7A73AB15" w14:textId="77777777" w:rsidR="00826D56" w:rsidRPr="009A7A25" w:rsidRDefault="00826D56" w:rsidP="00826D56">
      <w:pPr>
        <w:pStyle w:val="NormalHanging12a"/>
      </w:pPr>
      <w:r w:rsidRPr="009A7A25">
        <w:t>–</w:t>
      </w:r>
      <w:r w:rsidRPr="009A7A25">
        <w:tab/>
        <w:t>so zreteľom na článok 121 rokovacieho poriadku,</w:t>
      </w:r>
    </w:p>
    <w:p w14:paraId="42774189" w14:textId="77777777" w:rsidR="00826D56" w:rsidRPr="009A7A25" w:rsidRDefault="00826D56" w:rsidP="00826D56">
      <w:pPr>
        <w:pStyle w:val="NormalHanging12a"/>
      </w:pPr>
      <w:r w:rsidRPr="009A7A25">
        <w:t>–</w:t>
      </w:r>
      <w:r w:rsidRPr="009A7A25">
        <w:tab/>
        <w:t>so zreteľom na správu Výboru pre zahraničné veci (A10-0189/2026),</w:t>
      </w:r>
    </w:p>
    <w:p w14:paraId="7419F6D0" w14:textId="77777777" w:rsidR="00826D56" w:rsidRPr="009A7A25" w:rsidRDefault="00826D56" w:rsidP="00826D56">
      <w:pPr>
        <w:pStyle w:val="NormalHanging12a"/>
      </w:pPr>
      <w:r w:rsidRPr="009A7A25">
        <w:t>A.</w:t>
      </w:r>
      <w:r w:rsidRPr="009A7A25">
        <w:tab/>
        <w:t xml:space="preserve">keďže prebiehajúce geopolitické zmeny a rastúci strategický význam indicko-tichomorskej oblasti menia globálny poriadok; keďže východná Ázia a širší indicko-tichomorský región majú zásadný význam z hľadiska globálnej prosperity a bezpečnosti, energetickej bezpečnosti a demokratickej odolnosti, pretože sa v nich </w:t>
      </w:r>
      <w:r w:rsidRPr="009A7A25">
        <w:lastRenderedPageBreak/>
        <w:t>nachádzajú najdôležitejšie námorné trasy, ekosystémy vyspelých technológií, hlavné obchodné trasy, viac ako polovica svetovej populácie a kritické dodávateľské reťazce nevyhnutné pre hospodársku konkurencieschopnosť a dlhodobú priemyselnú odolnosť EÚ v strategických odvetviach, ako aj jej geopolitický vplyv;</w:t>
      </w:r>
    </w:p>
    <w:p w14:paraId="231E85CC" w14:textId="77777777" w:rsidR="00826D56" w:rsidRPr="009A7A25" w:rsidRDefault="00826D56" w:rsidP="00826D56">
      <w:pPr>
        <w:pStyle w:val="NormalHanging12a"/>
        <w:rPr>
          <w:bCs/>
          <w:iCs/>
        </w:rPr>
      </w:pPr>
      <w:r w:rsidRPr="009A7A25">
        <w:t>B.</w:t>
      </w:r>
      <w:r w:rsidRPr="009A7A25">
        <w:tab/>
        <w:t>keďže hospodárska bezpečnosť vrátane odolných a diverzifikovaných dodávateľských reťazcov kritických surovín, polovodičov a čistých technológií je neoddeliteľnou súčasťou obchodnej, zahraničnej a bezpečnostnej politiky; keďže zníženie strategických závislostí a zvýšenie odolnosti a diverzifikácie dodávateľských reťazcov v kritických odvetviach je nevyhnutné pre hospodársku bezpečnosť a konkurencieschopnosť EÚ v súlade s jej stratégiou znižovania rizika, pričom treba zabrániť zbytočnému prerušeniu hospodárskych vzťahov;</w:t>
      </w:r>
    </w:p>
    <w:p w14:paraId="64FF9CE1" w14:textId="77777777" w:rsidR="00826D56" w:rsidRPr="009A7A25" w:rsidRDefault="00826D56" w:rsidP="00826D56">
      <w:pPr>
        <w:pStyle w:val="NormalHanging12a"/>
      </w:pPr>
      <w:r w:rsidRPr="009A7A25">
        <w:t>C.</w:t>
      </w:r>
      <w:r w:rsidRPr="009A7A25">
        <w:tab/>
        <w:t>keďže geopolitické prostredie východnej Ázie je v posledných rokoch čoraz nestabilnejšie, pričom regionálnu mocenskú dynamiku čoraz väčšmi formuje systémová rivalita, námorné spory, posilňovanie vojenských kapacít a rastúci vplyv autoritárskych modelov riadenia, ktoré využívajú hospodársky nátlak vrátane diskriminačného prístupu na trh, hybridných hrozieb vrátane zahraničnej manipulácie s informáciami a zahraničného zasahovania a obchodnej a politickej špionáže, ktoré spochybňujú mier, stabilitu a medzinárodný poriadok založený na pravidlách a vyžadujú si reakcie koordinované s partnermi, ktorí zdieľajú demokratické hodnoty a prísne regulačné normy;</w:t>
      </w:r>
    </w:p>
    <w:p w14:paraId="293F9922" w14:textId="1429B85B" w:rsidR="0022373E" w:rsidRPr="009A7A25" w:rsidRDefault="0022373E" w:rsidP="00826D56">
      <w:pPr>
        <w:pStyle w:val="NormalHanging12a"/>
      </w:pPr>
      <w:r w:rsidRPr="009A7A25">
        <w:t>D.</w:t>
      </w:r>
      <w:r w:rsidRPr="009A7A25">
        <w:tab/>
        <w:t xml:space="preserve">keďže bezpečnosť Japonska, Južnej Kórey a Taiwanu je stále vo veľkej miere závislá od Spojených štátov; keďže na týchto partnerov čoraz viac vplýva nepredvídateľnosť a hospodársky nátlak USA, ktoré takýto prístup niekedy rozširujú aj na svojich najbližších spojencov; keďže títo demokratickí partneri preto musia posilniť a </w:t>
      </w:r>
      <w:proofErr w:type="spellStart"/>
      <w:r w:rsidRPr="009A7A25">
        <w:t>diverzifikovať</w:t>
      </w:r>
      <w:proofErr w:type="spellEnd"/>
      <w:r w:rsidRPr="009A7A25">
        <w:t xml:space="preserve"> svoje partnerstvá s inými aktérmi, najmä s EÚ, aby sa tak posilnila odolnosť a spoločné bezpečnostné záujmy;</w:t>
      </w:r>
    </w:p>
    <w:p w14:paraId="3D323F4D" w14:textId="1F922EFC" w:rsidR="00826D56" w:rsidRPr="009A7A25" w:rsidRDefault="0022373E" w:rsidP="00826D56">
      <w:pPr>
        <w:pStyle w:val="NormalHanging12a"/>
        <w:rPr>
          <w:bCs/>
          <w:iCs/>
        </w:rPr>
      </w:pPr>
      <w:r w:rsidRPr="009A7A25">
        <w:t>E</w:t>
      </w:r>
      <w:r w:rsidR="00826D56" w:rsidRPr="009A7A25">
        <w:t>.</w:t>
      </w:r>
      <w:r w:rsidR="00826D56" w:rsidRPr="009A7A25">
        <w:tab/>
        <w:t>keďže stratégia EÚ pre spoluprácu v indicko-tichomorskom regióne vychádza z presvedčenia, že bezpečnosť a prosperita EÚ a indicko-tichomorského regiónu sú neoddeliteľne spojené; keďže stratégia zdôrazňuje význam posilnenia angažovanosti EÚ v regióne prostredníctvom hlbšieho politického dialógu, posilnenej hospodárskej spolupráce a rozšírených bezpečnostných partnerstiev; keďže rozpad poriadku založeného na pravidlách a tradičných spojenectiev a nástup agresívnych aktérov vedených imperialistickými ambíciami je dôvodom na posilnenie väzieb medzi EÚ a podobne zmýšľajúcimi partnermi v regióne s cieľom zvýšiť vzájomnú bezpečnosť a prosperitu;</w:t>
      </w:r>
    </w:p>
    <w:p w14:paraId="4BB34576" w14:textId="46214EAA" w:rsidR="00826D56" w:rsidRPr="009A7A25" w:rsidRDefault="0022373E" w:rsidP="00826D56">
      <w:pPr>
        <w:pStyle w:val="NormalHanging12a"/>
        <w:rPr>
          <w:bCs/>
          <w:iCs/>
        </w:rPr>
      </w:pPr>
      <w:r w:rsidRPr="009A7A25">
        <w:t>F</w:t>
      </w:r>
      <w:r w:rsidR="00826D56" w:rsidRPr="009A7A25">
        <w:t>.</w:t>
      </w:r>
      <w:r w:rsidR="00826D56" w:rsidRPr="009A7A25">
        <w:tab/>
        <w:t>keďže sloboda plavby a sloboda preletu sú základnými zásadami medzinárodného práva zakotvenými najmä v dohovore UNCLOS a majú kľúčový význam pre hospodársku bezpečnosť Únie;</w:t>
      </w:r>
    </w:p>
    <w:p w14:paraId="377CAD90" w14:textId="06D3B6CA" w:rsidR="00826D56" w:rsidRPr="009A7A25" w:rsidRDefault="0022373E" w:rsidP="00826D56">
      <w:pPr>
        <w:pStyle w:val="NormalHanging12a"/>
      </w:pPr>
      <w:r w:rsidRPr="009A7A25">
        <w:t>G</w:t>
      </w:r>
      <w:r w:rsidR="00826D56" w:rsidRPr="009A7A25">
        <w:t>.</w:t>
      </w:r>
      <w:r w:rsidR="00826D56" w:rsidRPr="009A7A25">
        <w:tab/>
        <w:t xml:space="preserve">keďže čoraz zložitejšie bezpečnostné výzvy majú zásadný vplyv na stabilitu a prosperitu Európy aj indicko-tichomorského regiónu, pričom oba regióny sú z hľadiska stability prepojenejšie ako kedykoľvek predtým; keďže oba regióny priamo ovplyvňuje nezákonná komplexná vojenská invázia Ruska na Ukrajinu a podpora tretích krajín, ako je Čína a Severná Kórea, ktoré ruskú agresiu umožňujú; keďže je nevyhnutná rozsiahla spolupráca medzi EÚ a Japonskom a medzi EÚ a Kórejskou republikou v oblasti obranného priemyslu; keďže Japonsko a Kórejská republika </w:t>
      </w:r>
      <w:r w:rsidR="00826D56" w:rsidRPr="009A7A25">
        <w:lastRenderedPageBreak/>
        <w:t>vynikajú ako poskytovatelia značnej finančnej a humanitárnej pomoci Ukrajine; keďže Japonsko od roku 2022 poskytlo a prisľúbilo Ukrajine finančnú a vojenskú pomoc vo výške viac ako 20 miliárd USD; keďže nestabilita na Blízkom východe zásadne ovplyvňuje Európu a východnú Áziu, pokiaľ ide o energetickú bezpečnosť a narušenia dodávateľského reťazca;</w:t>
      </w:r>
    </w:p>
    <w:p w14:paraId="451B4428" w14:textId="03180D7F" w:rsidR="00826D56" w:rsidRPr="009A7A25" w:rsidRDefault="0022373E" w:rsidP="00826D56">
      <w:pPr>
        <w:pStyle w:val="NormalHanging12a"/>
        <w:rPr>
          <w:bCs/>
          <w:iCs/>
        </w:rPr>
      </w:pPr>
      <w:r w:rsidRPr="009A7A25">
        <w:t>H</w:t>
      </w:r>
      <w:r w:rsidR="00826D56" w:rsidRPr="009A7A25">
        <w:t>.</w:t>
      </w:r>
      <w:r w:rsidR="00826D56" w:rsidRPr="009A7A25">
        <w:tab/>
        <w:t>keďže v Strategickom kompase pre bezpečnosť a obranu sa uvádza, že niektorí aktéri, ako napríklad Kórejská ľudovodemokratická republika (</w:t>
      </w:r>
      <w:r w:rsidR="0013052B" w:rsidRPr="009A7A25">
        <w:t>ďalej len „</w:t>
      </w:r>
      <w:r w:rsidR="00826D56" w:rsidRPr="009A7A25">
        <w:t>KĽDR</w:t>
      </w:r>
      <w:r w:rsidR="0013052B" w:rsidRPr="009A7A25">
        <w:t>“</w:t>
      </w:r>
      <w:r w:rsidR="00826D56" w:rsidRPr="009A7A25">
        <w:t>), naďalej ohrozujú regionálny a medzinárodný mier a bezpečnosť; keďže jadrový a raketový program KĽDR predstavuje vážne hrozby pre medzinárodný poriadok založený na pravidlách, podobne ako jej možný transfer jadrovej technológie alebo technológie balistických rakiet a bezpilotných vzdušných prostriedkov (UAV) z Ruska výmenou za zbrane a vojenský personál; keďže KĽDR opakovane porušuje rezolúcie Bezpečnostnej rady OSN pokračujúcim odpaľovaním rakiet vrátane vykonávania skúšok nad Japonskom;</w:t>
      </w:r>
    </w:p>
    <w:p w14:paraId="42127A03" w14:textId="4CCA77C2" w:rsidR="00826D56" w:rsidRPr="009A7A25" w:rsidRDefault="0022373E" w:rsidP="00826D56">
      <w:pPr>
        <w:pStyle w:val="NormalHanging12a"/>
        <w:rPr>
          <w:bCs/>
          <w:iCs/>
        </w:rPr>
      </w:pPr>
      <w:r w:rsidRPr="009A7A25">
        <w:t>I</w:t>
      </w:r>
      <w:r w:rsidR="00826D56" w:rsidRPr="009A7A25">
        <w:t>.</w:t>
      </w:r>
      <w:r w:rsidR="00826D56" w:rsidRPr="009A7A25">
        <w:tab/>
        <w:t>keďže z dôvodu rastúceho významu digitálneho priestoru pre fungovanie našich spoločností a našich ekonomík sa zvýšil počet a rozsah kybernetických útokov; keďže v spoločnom oznámení o stratégii kybernetickej bezpečnosti EÚ v digitálnej dekáde sa uvádza, že boj proti týmto hrozbám a zraniteľným miestam si vyžaduje spoluprácu s partnermi, ktorí sú oddaní právnemu štátu, základnej slobode, demokracii a ľudským právam;</w:t>
      </w:r>
    </w:p>
    <w:p w14:paraId="59DFA9DE" w14:textId="0E613748" w:rsidR="00826D56" w:rsidRPr="009A7A25" w:rsidRDefault="0022373E" w:rsidP="00826D56">
      <w:pPr>
        <w:pStyle w:val="NormalHanging12a"/>
      </w:pPr>
      <w:r w:rsidRPr="009A7A25">
        <w:t>J</w:t>
      </w:r>
      <w:r w:rsidR="00826D56" w:rsidRPr="009A7A25">
        <w:t>.</w:t>
      </w:r>
      <w:r w:rsidR="00826D56" w:rsidRPr="009A7A25">
        <w:tab/>
        <w:t xml:space="preserve">keďže záujmy EÚ a globálnu bezpečnosť možno najlepšie chrániť prehĺbením praktickej spolupráce s podobne zmýšľajúcimi partnermi v regióne – najmä s Japonskom, Kórejskou republikou a Taiwanom, pričom sa treba usilovať o zásadovú a konštruktívnu spoluprácu s regionálnymi aktérmi, a zapojením Združenia národov juhovýchodnej Ázie (ASEAN) ako ústredného zastrešujúceho aktéra; keďže tieto partnerstvá by mali prispieť k posilneniu strategickej autonómie Únie tak, že sa upevní stabilná európska obranná priemyselná a technologická základňa bez toho, aby EÚ bola príliš závislou od cudzích mocností; keďže EÚ by sa mala vyhnúť konfrontačnej dynamike mocenských blokov a namiesto toho podporovať kooperatívny </w:t>
      </w:r>
      <w:proofErr w:type="spellStart"/>
      <w:r w:rsidR="00826D56" w:rsidRPr="009A7A25">
        <w:t>multilateralizmus</w:t>
      </w:r>
      <w:proofErr w:type="spellEnd"/>
      <w:r w:rsidR="00826D56" w:rsidRPr="009A7A25">
        <w:t xml:space="preserve"> a dialóg založený na medzinárodnom práve;</w:t>
      </w:r>
    </w:p>
    <w:p w14:paraId="74848F40" w14:textId="42927B8E" w:rsidR="00826D56" w:rsidRPr="009A7A25" w:rsidRDefault="0022373E" w:rsidP="00826D56">
      <w:pPr>
        <w:pStyle w:val="NormalHanging12a"/>
      </w:pPr>
      <w:r w:rsidRPr="009A7A25">
        <w:t>K</w:t>
      </w:r>
      <w:r w:rsidR="00826D56" w:rsidRPr="009A7A25">
        <w:t>.</w:t>
      </w:r>
      <w:r w:rsidR="00826D56" w:rsidRPr="009A7A25">
        <w:tab/>
        <w:t>keďže strategické partnerstvo medzi EÚ a Japonskom slúži ako vzor účinnej dvojstrannej spolupráce, ktorá posilňuje formovanie politík na multilaterálnych fórach; keďže nadobudnutie platnosti dohody o strategickom partnerstve medzi EÚ a Japonskom 1. januára 2025 umožňuje užšiu spoluprácu, a to aj v oblastiach, ako sú bezpečnosť a obrana, hybridné hrozby, námorná bezpečnosť, kybernetická bezpečnosť, vesmír a nešírenie zbraní, súbežne s hmatateľným spoločným úsilím v rámci Aliancie pre konkurencieschopnosť, zelenej aliancie a dialógom o digitálnom partnerstve a energetike;</w:t>
      </w:r>
    </w:p>
    <w:p w14:paraId="1C786FC8" w14:textId="089ACB7C" w:rsidR="00826D56" w:rsidRPr="009A7A25" w:rsidRDefault="0022373E" w:rsidP="00826D56">
      <w:pPr>
        <w:pStyle w:val="NormalHanging12a"/>
        <w:rPr>
          <w:bCs/>
          <w:iCs/>
        </w:rPr>
      </w:pPr>
      <w:r w:rsidRPr="009A7A25">
        <w:t>L</w:t>
      </w:r>
      <w:r w:rsidR="00826D56" w:rsidRPr="009A7A25">
        <w:t>.</w:t>
      </w:r>
      <w:r w:rsidR="00826D56" w:rsidRPr="009A7A25">
        <w:tab/>
        <w:t xml:space="preserve">keďže Japonsko je najbližším strategickým partnerom EÚ v indicko-tichomorskom regióne; keďže globálne výzvy, a najmä rastúce napätie v indicko-tichomorskom regióne si vyžadujú čoraz užšie partnerstvo medzi EÚ a Japonskom; keďže slobodný a otvorený indicko-tichomorský región je hlavným záujmom presadzovaným Japonskom aj EÚ, najmä podporou medzinárodného poriadku založeného na pravidlách, v ktorom všetky krajiny dodržiavajú medzinárodné právo a zásadu mierového riešenia konfliktov; keďže Japonsko je dôležitým aktérom na viacerých fórach v indicko-tichomorskom regióne, ako je napríklad východoázijský samit; keďže </w:t>
      </w:r>
      <w:r w:rsidR="00826D56" w:rsidRPr="009A7A25">
        <w:lastRenderedPageBreak/>
        <w:t>EÚ a Japonsko sa usilujú o spoločné prístupy na bilaterálnej úrovni a na multilaterálnych fórach, ako sú G7, G20, OSN, Svetová obchodná organizácia (WTO), Svetová zdravotnícka organizácia (WHO) a Organizácia pre hospodársku spoluprácu a rozvoj (OECD), ako aj o zosúladenie ako podobne zmýšľajúci darcovia;</w:t>
      </w:r>
    </w:p>
    <w:p w14:paraId="536503ED" w14:textId="357CFFCE" w:rsidR="00826D56" w:rsidRPr="009A7A25" w:rsidRDefault="0022373E" w:rsidP="00826D56">
      <w:pPr>
        <w:pStyle w:val="NormalHanging12a"/>
        <w:rPr>
          <w:bCs/>
          <w:iCs/>
        </w:rPr>
      </w:pPr>
      <w:r w:rsidRPr="009A7A25">
        <w:t>M</w:t>
      </w:r>
      <w:r w:rsidR="00826D56" w:rsidRPr="009A7A25">
        <w:t>.</w:t>
      </w:r>
      <w:r w:rsidR="00826D56" w:rsidRPr="009A7A25">
        <w:tab/>
        <w:t>keďže dohoda o hospodárskom partnerstve medzi EÚ a Japonskom nadobudla platnosť v roku 2019 a v roku 2024 bola zmenená tak, aby zahŕňala ustanovenia o voľnom toku údajov; keďže Japonsko je siedmym najväčším obchodným partnerom EÚ;</w:t>
      </w:r>
    </w:p>
    <w:p w14:paraId="655484BF" w14:textId="3277B618" w:rsidR="00826D56" w:rsidRPr="009A7A25" w:rsidRDefault="0022373E" w:rsidP="00826D56">
      <w:pPr>
        <w:pStyle w:val="NormalHanging12a"/>
        <w:rPr>
          <w:bCs/>
          <w:iCs/>
        </w:rPr>
      </w:pPr>
      <w:r w:rsidRPr="009A7A25">
        <w:t>N</w:t>
      </w:r>
      <w:r w:rsidR="00826D56" w:rsidRPr="009A7A25">
        <w:t>.</w:t>
      </w:r>
      <w:r w:rsidR="00826D56" w:rsidRPr="009A7A25">
        <w:tab/>
      </w:r>
      <w:bookmarkStart w:id="7" w:name="_Hlk233719618"/>
      <w:r w:rsidR="00826D56" w:rsidRPr="009A7A25">
        <w:t>keďže v máji 202</w:t>
      </w:r>
      <w:r w:rsidR="006A3B3D" w:rsidRPr="009A7A25">
        <w:t>6</w:t>
      </w:r>
      <w:r w:rsidR="00826D56" w:rsidRPr="009A7A25">
        <w:t xml:space="preserve"> </w:t>
      </w:r>
      <w:r w:rsidR="006A3B3D" w:rsidRPr="009A7A25">
        <w:t xml:space="preserve">štvrtá </w:t>
      </w:r>
      <w:r w:rsidR="00826D56" w:rsidRPr="009A7A25">
        <w:t xml:space="preserve">Rada pre digitálne partnerstvo medzi EÚ a Japonskom rozšírila spoluprácu v oblasti umelej inteligencie (AI), 5G/6G, polovodičov, kybernetickej bezpečnosti a správy údajov a </w:t>
      </w:r>
      <w:r w:rsidR="006A3B3D" w:rsidRPr="009A7A25">
        <w:t>privítala pokrok</w:t>
      </w:r>
      <w:r w:rsidR="00826D56" w:rsidRPr="009A7A25">
        <w:t xml:space="preserve"> spoločného výskumného projektu 6G MIRAI-HARMONY</w:t>
      </w:r>
      <w:bookmarkEnd w:id="7"/>
      <w:r w:rsidR="00826D56" w:rsidRPr="009A7A25">
        <w:t>;</w:t>
      </w:r>
    </w:p>
    <w:p w14:paraId="76757192" w14:textId="30F58048" w:rsidR="00826D56" w:rsidRPr="009A7A25" w:rsidRDefault="0022373E" w:rsidP="00826D56">
      <w:pPr>
        <w:pStyle w:val="NormalHanging12a"/>
        <w:rPr>
          <w:bCs/>
          <w:iCs/>
        </w:rPr>
      </w:pPr>
      <w:r w:rsidRPr="009A7A25">
        <w:t>O</w:t>
      </w:r>
      <w:r w:rsidR="00826D56" w:rsidRPr="009A7A25">
        <w:t>.</w:t>
      </w:r>
      <w:r w:rsidR="00826D56" w:rsidRPr="009A7A25">
        <w:tab/>
        <w:t>keďže v rámci dialógu o energetike medzi EÚ a Japonskom v roku 2025 sa zdôraznila spoločná práca v oblasti dodávateľských reťazcov čistej energie, bezpečnosti LNG a spolupráce v oblasti vodíka na podporu klimatickej neutrality;</w:t>
      </w:r>
    </w:p>
    <w:p w14:paraId="1292D43F" w14:textId="5547123C" w:rsidR="00826D56" w:rsidRPr="009A7A25" w:rsidRDefault="0022373E" w:rsidP="00826D56">
      <w:pPr>
        <w:pStyle w:val="NormalHanging12a"/>
        <w:rPr>
          <w:b/>
          <w:bCs/>
          <w:i/>
          <w:iCs/>
          <w:szCs w:val="24"/>
        </w:rPr>
      </w:pPr>
      <w:r w:rsidRPr="009A7A25">
        <w:t>P</w:t>
      </w:r>
      <w:r w:rsidR="00826D56" w:rsidRPr="009A7A25">
        <w:t>.</w:t>
      </w:r>
      <w:r w:rsidR="00826D56" w:rsidRPr="009A7A25">
        <w:tab/>
        <w:t xml:space="preserve">keďže strategické partnerstvo medzi EÚ a Kórejskou republikou, kľúčovým indicko-tichomorským spojencom, zahŕňa politický dialóg, obchod a bezpečnostnú spoluprácu; keďže odkedy nadobudla platnosť dohoda o voľnom obchode medzi EÚ a Kórejskou republikou, prispela k výraznému rastu bilaterálneho obchodu; keďže </w:t>
      </w:r>
      <w:bookmarkStart w:id="8" w:name="_Hlk233719710"/>
      <w:r w:rsidR="00826D56" w:rsidRPr="009A7A25">
        <w:t xml:space="preserve">rámcová dohoda medzi EÚ a Kórejskou republikou </w:t>
      </w:r>
      <w:bookmarkEnd w:id="8"/>
      <w:r w:rsidR="00826D56" w:rsidRPr="009A7A25">
        <w:t>posilňuje politické, hospodárske a inštitucionálne väzby vrátane bezpečnosti; keďže rámcová dohoda o účasti posilňuje politické a bezpečnostné vzťahy medzi EÚ a Kórejskou republikou a zdôrazňuje spoločné hodnoty a záujmy; keďže na samite EÚ a Kórejskej republiky v roku 2023 sa vedúci predstavitelia dohodli na vytvorení bezpečnostného partnerstva a strategického dialógu na úrovni ministrov zahraničných vecí s cieľom posilniť spoluprácu v oblasti globálneho mieru a bezpečnosti; keďže partnerstvo v oblasti bezpečnosti a obrany medzi EÚ a Kórejskou republikou poskytuje štruktúrovaný rámec pre zapojenie vo všetkých oblastiach bezpečnosti; keďže v dohode o digitálnom obchode medzi EÚ a Kórejskou republikou sa stanovujú vzájomne výhodné pravidlá týkajúce sa údajov a digitálnych technológií; keďže Kórejská republika zohráva kľúčovú úlohu pri zabezpečovaní stability regiónu;</w:t>
      </w:r>
    </w:p>
    <w:p w14:paraId="25E51F13" w14:textId="22937DF6" w:rsidR="00826D56" w:rsidRPr="009A7A25" w:rsidRDefault="0022373E" w:rsidP="00826D56">
      <w:pPr>
        <w:pStyle w:val="NormalHanging12a"/>
        <w:rPr>
          <w:szCs w:val="24"/>
        </w:rPr>
      </w:pPr>
      <w:r w:rsidRPr="009A7A25">
        <w:t>Q</w:t>
      </w:r>
      <w:r w:rsidR="00826D56" w:rsidRPr="009A7A25">
        <w:t>.</w:t>
      </w:r>
      <w:r w:rsidR="00826D56" w:rsidRPr="009A7A25">
        <w:tab/>
        <w:t>keďže dohoda o voľnom obchode medzi EÚ a Kórejskou republikou bola prvou dohodou novej generácie dohôd EÚ o voľnom obchode; keďže je naďalej dôležité úplné vykonávanie kapitoly o obchode a udržateľnom rozvoji dohody o voľnom obchode medzi EÚ a Kórejskou republikou vrátane ďalšieho pokroku v oblasti pracovných práv a ratifikácie Dohovoru Medzinárodnej organizácie práce (MOP) o zrušení nútenej práce z roku 1957 (č. 105); keďže Kórejská republika je ôsmym najväčším obchodným partnerom EÚ;</w:t>
      </w:r>
    </w:p>
    <w:p w14:paraId="61E5D97E" w14:textId="0F540B01" w:rsidR="00826D56" w:rsidRPr="009A7A25" w:rsidRDefault="0022373E" w:rsidP="00826D56">
      <w:pPr>
        <w:pStyle w:val="NormalHanging12a"/>
      </w:pPr>
      <w:r w:rsidRPr="009A7A25">
        <w:t>R</w:t>
      </w:r>
      <w:r w:rsidR="00826D56" w:rsidRPr="009A7A25">
        <w:t>.</w:t>
      </w:r>
      <w:r w:rsidR="00826D56" w:rsidRPr="009A7A25">
        <w:tab/>
        <w:t>keďže EÚ už nadviazala strategické partnerstvá s Japonskom a Kórejskou republikou ako podobne zmýšľajúcimi partnermi v regióne; keďže Japonsko a Kórejská republika smerujú značné zdroje na urýchlenie svojej energetickej transformácie, a to aj vzhľadom na ratifikáciu Parížskej dohody z roku 2015 a ich značné investície do solárnej energie a veternej energie na mori; keďže EÚ má v úmysle pokračovať vo svojich strategických partnerstvách a posilniť spoluprácu s Japonskom a Kórejskou republikou v oblasti obnoviteľných zdrojov energie s cieľom dosiahnuť uhlíkovú neutralitu do roku 2050;</w:t>
      </w:r>
    </w:p>
    <w:p w14:paraId="49D59C73" w14:textId="2636E787" w:rsidR="00826D56" w:rsidRPr="009A7A25" w:rsidRDefault="0022373E" w:rsidP="00826D56">
      <w:pPr>
        <w:pStyle w:val="NormalHanging12a"/>
      </w:pPr>
      <w:r w:rsidRPr="009A7A25">
        <w:lastRenderedPageBreak/>
        <w:t>S</w:t>
      </w:r>
      <w:r w:rsidR="00826D56" w:rsidRPr="009A7A25">
        <w:t>.</w:t>
      </w:r>
      <w:r w:rsidR="00826D56" w:rsidRPr="009A7A25">
        <w:tab/>
        <w:t>keďže Kórea a Japonsko sú poprednými technologickými aktérmi, ktorých vývoj AI, a to aj v oblasti obrany, formuje reakcie na kybernetické a vojenské hrozby, najmä v súvislosti s neustálymi hrozbami zo strany KĽDR;</w:t>
      </w:r>
    </w:p>
    <w:p w14:paraId="22DFD447" w14:textId="235CE86E" w:rsidR="00826D56" w:rsidRPr="009A7A25" w:rsidRDefault="0022373E" w:rsidP="00826D56">
      <w:pPr>
        <w:pStyle w:val="NormalHanging12a"/>
      </w:pPr>
      <w:r w:rsidRPr="009A7A25">
        <w:t>T</w:t>
      </w:r>
      <w:r w:rsidR="00826D56" w:rsidRPr="009A7A25">
        <w:t>.</w:t>
      </w:r>
      <w:r w:rsidR="00826D56" w:rsidRPr="009A7A25">
        <w:tab/>
        <w:t>keďže Austrália, Japonsko a Kórejská republika prehlbujú trojstrannú spoluprácu s cieľom posilniť bezpečnosť a stabilitu v indicko-tichomorskom regióne, a to aj prostredníctvom spoločných vojenských cvičení a užšej spolupráce v oblasti obranných technológií a odolnosti dodávateľského reťazca; keďže táto rastúca trojstranná koordinácia vychádza z dynamiky vytvorenej komplexným strategickým partnerstvom Austrálie s Kórejskou republikou a jej osobitným strategickým partnerstvom s Japonskom;</w:t>
      </w:r>
    </w:p>
    <w:p w14:paraId="7FDF5BDD" w14:textId="3E4D9B41" w:rsidR="00826D56" w:rsidRPr="009A7A25" w:rsidRDefault="0022373E" w:rsidP="00826D56">
      <w:pPr>
        <w:pStyle w:val="NormalHanging12a"/>
      </w:pPr>
      <w:r w:rsidRPr="009A7A25">
        <w:t>U</w:t>
      </w:r>
      <w:r w:rsidR="00826D56" w:rsidRPr="009A7A25">
        <w:t>.</w:t>
      </w:r>
      <w:r w:rsidR="00826D56" w:rsidRPr="009A7A25">
        <w:tab/>
        <w:t xml:space="preserve">keďže 1. januára 2025 sa Kórejská republika stala prvou ázijskou krajinou, ktorá sa pripojila k programu Horizont Európa, </w:t>
      </w:r>
      <w:r w:rsidR="0013052B" w:rsidRPr="009A7A25">
        <w:t>po čom</w:t>
      </w:r>
      <w:r w:rsidR="00826D56" w:rsidRPr="009A7A25">
        <w:t xml:space="preserve"> nasledovalo </w:t>
      </w:r>
      <w:r w:rsidR="0013052B" w:rsidRPr="009A7A25">
        <w:t>ukončenie rokovaní s </w:t>
      </w:r>
      <w:r w:rsidR="00826D56" w:rsidRPr="009A7A25">
        <w:t>Japonsko</w:t>
      </w:r>
      <w:r w:rsidR="0013052B" w:rsidRPr="009A7A25">
        <w:t>m 22. decembra 2025</w:t>
      </w:r>
      <w:r w:rsidR="00826D56" w:rsidRPr="009A7A25">
        <w:t>; keďže pristúpenie oboch krajín k programu dokazuje ich pevné odhodlanie spolupracovať s EÚ v oblasti výskumu a inovácií;</w:t>
      </w:r>
    </w:p>
    <w:p w14:paraId="36D436B4" w14:textId="4249D78B" w:rsidR="00826D56" w:rsidRPr="009A7A25" w:rsidRDefault="0022373E" w:rsidP="00826D56">
      <w:pPr>
        <w:pStyle w:val="NormalHanging12a"/>
        <w:rPr>
          <w:bCs/>
          <w:iCs/>
        </w:rPr>
      </w:pPr>
      <w:r w:rsidRPr="009A7A25">
        <w:t>V</w:t>
      </w:r>
      <w:r w:rsidR="00826D56" w:rsidRPr="009A7A25">
        <w:t>.</w:t>
      </w:r>
      <w:r w:rsidR="00826D56" w:rsidRPr="009A7A25">
        <w:tab/>
        <w:t xml:space="preserve">keďže Taiwan je spoľahlivým kľúčovým demokratickým partnerom EÚ v regióne východnej Ázie; keďže EÚ a Taiwan zdieľajú spoločné hodnoty, ako sú demokracia, právny štát a ľudské práva, a obe krajiny odhodlane podporujú </w:t>
      </w:r>
      <w:proofErr w:type="spellStart"/>
      <w:r w:rsidR="00826D56" w:rsidRPr="009A7A25">
        <w:t>multilateralizmus</w:t>
      </w:r>
      <w:proofErr w:type="spellEnd"/>
      <w:r w:rsidR="00826D56" w:rsidRPr="009A7A25">
        <w:t xml:space="preserve"> a medzinárodný poriadok založený na pravidlách; keďže v bielej knihe o európskej obrannej pripravenosti 2030 (JOIN(2025)0120) sa vyjadruje znepokojenie nad nátlakom Číny na Taiwan prostredníctvom zintenzívňovania politických, hospodárskych, vojenských a kybernetických opatrení; keďže mier a stabilita v Taiwanskom prielive a v Juhočínskom mori sú pre EÚ životne dôležitým strategickým záujmom a sú nevyhnutné z hľadiska globálnej bezpečnosti a prosperity, a to aj pre medzinárodné obchodné toky, investičnú istotu a fungovanie globálnych dodávateľských reťazcov;</w:t>
      </w:r>
    </w:p>
    <w:p w14:paraId="06437654" w14:textId="25DEBB8D" w:rsidR="00826D56" w:rsidRPr="009A7A25" w:rsidRDefault="0022373E" w:rsidP="00826D56">
      <w:pPr>
        <w:pStyle w:val="NormalHanging12a"/>
        <w:rPr>
          <w:bCs/>
          <w:iCs/>
        </w:rPr>
      </w:pPr>
      <w:r w:rsidRPr="009A7A25">
        <w:t>W</w:t>
      </w:r>
      <w:r w:rsidR="00826D56" w:rsidRPr="009A7A25">
        <w:t>.</w:t>
      </w:r>
      <w:r w:rsidR="00826D56" w:rsidRPr="009A7A25">
        <w:tab/>
        <w:t>keďže Taiwan je trinástym najväčším obchodným partnerom EÚ a kľúčovým hospodárskym partnerom, ktorý patrí medzi najdôležitejších obchodných a investičných partnerov EÚ v Ázii a zohráva ústrednú úlohu v globálnych hodnotových reťazcoch, najmä v oblasti výroby polovodičov, verejného zdravia, demokratickej odolnosti a pripravenosti na katastrofy;</w:t>
      </w:r>
    </w:p>
    <w:p w14:paraId="651F2D4F" w14:textId="6CCDD1B5" w:rsidR="00826D56" w:rsidRPr="009A7A25" w:rsidRDefault="0022373E" w:rsidP="00826D56">
      <w:pPr>
        <w:pStyle w:val="NormalHanging12a"/>
        <w:rPr>
          <w:bCs/>
          <w:iCs/>
        </w:rPr>
      </w:pPr>
      <w:r w:rsidRPr="009A7A25">
        <w:t>X</w:t>
      </w:r>
      <w:r w:rsidR="00826D56" w:rsidRPr="009A7A25">
        <w:t>.</w:t>
      </w:r>
      <w:r w:rsidR="00826D56" w:rsidRPr="009A7A25">
        <w:tab/>
        <w:t>keďže Taiwan má strategickú polohu z hľadiska obchodu; keďže Taiwanský prieliv je hlavnou trasou pre lode smerujúce z Číny, Japonska, Severnej Kórey a Taiwanu do Európy; keďže Taiwan má vedúce postavenie na trhu výroby polovodičov, pretože taiwanskí výrobcovia vyrábajú približne 50 % všetkých polovodičov na svete; keďže indicko-tichomorská stratégia EÚ presadzuje posilnenie obchodnej a investičnej spolupráce s Taiwanom a zasadzuje sa za stabilizáciu napätia v Juhočínskom mori a Taiwanskom prielive;</w:t>
      </w:r>
    </w:p>
    <w:p w14:paraId="781A23C3" w14:textId="2EF30384" w:rsidR="00826D56" w:rsidRPr="009A7A25" w:rsidRDefault="0022373E" w:rsidP="00826D56">
      <w:pPr>
        <w:pStyle w:val="NormalHanging12a"/>
        <w:rPr>
          <w:bCs/>
          <w:iCs/>
        </w:rPr>
      </w:pPr>
      <w:r w:rsidRPr="009A7A25">
        <w:t>Y</w:t>
      </w:r>
      <w:r w:rsidR="00826D56" w:rsidRPr="009A7A25">
        <w:t>.</w:t>
      </w:r>
      <w:r w:rsidR="00826D56" w:rsidRPr="009A7A25">
        <w:tab/>
        <w:t>keďže spolupráca medzi EÚ, Japonskom, Kórejskou republikou a Taiwanom prispieva k podpore stability, otvorených trhov a medzinárodného poriadku založeného na pravidlách; keďže títo partneri majú spoločné záujmy pri riešení globálnych výziev vrátane hospodárskej bezpečnosti a technologického rozvoja; keďže posilnená koordinácia medzi EÚ, Japonskom a Kórejskou republikou môže prispieť k väčšej súdržnosti politík pri riešení regionálnych a globálnych výziev;</w:t>
      </w:r>
    </w:p>
    <w:p w14:paraId="1DDAD78B" w14:textId="3BDAB50C" w:rsidR="00826D56" w:rsidRPr="009A7A25" w:rsidRDefault="0022373E" w:rsidP="00826D56">
      <w:pPr>
        <w:pStyle w:val="NormalHanging12a"/>
        <w:rPr>
          <w:bCs/>
          <w:iCs/>
        </w:rPr>
      </w:pPr>
      <w:r w:rsidRPr="009A7A25">
        <w:t>Z</w:t>
      </w:r>
      <w:r w:rsidR="00826D56" w:rsidRPr="009A7A25">
        <w:t>.</w:t>
      </w:r>
      <w:r w:rsidR="00826D56" w:rsidRPr="009A7A25">
        <w:tab/>
        <w:t xml:space="preserve">keďže trojstranná spolupráca medzi EÚ, Japonskom, Kórejskou republikou a Taiwanom môže podporiť rozvoj medzinárodných noriem a štandardov, najmä v oblasti </w:t>
      </w:r>
      <w:r w:rsidR="00826D56" w:rsidRPr="009A7A25">
        <w:lastRenderedPageBreak/>
        <w:t xml:space="preserve">digitálneho riadenia a dodávateľských reťazcov; keďže EÚ, Japonsko a Kórejská republika sú podobne zmýšľajúci partneri, ktorí majú rovnaké ciele; keďže ich strategické partnerstvo v oblasti AI je mechanizmus na podporu výmen v digitálnom obchode a na riešenie zmien v globálnom kontexte; </w:t>
      </w:r>
    </w:p>
    <w:p w14:paraId="6F8BB1F4" w14:textId="50605BE2" w:rsidR="00826D56" w:rsidRPr="009A7A25" w:rsidRDefault="0022373E" w:rsidP="00826D56">
      <w:pPr>
        <w:pStyle w:val="NormalHanging12a"/>
        <w:rPr>
          <w:bCs/>
          <w:iCs/>
        </w:rPr>
      </w:pPr>
      <w:r w:rsidRPr="009A7A25">
        <w:t>AA</w:t>
      </w:r>
      <w:r w:rsidR="00826D56" w:rsidRPr="009A7A25">
        <w:t>.</w:t>
      </w:r>
      <w:r w:rsidR="00826D56" w:rsidRPr="009A7A25">
        <w:tab/>
        <w:t>keďže zelená aliancia medzi EÚ a Japonskom a zelené partnerstvo medzi EÚ a Kórejskou republikou poskytujú konkrétne rámce pre spoluprácu na opatreniach v oblasti klímy, čistej energie, dekarbonizácie priemyslu, obehového hospodárstva a ďalších prvkov zelenej transformácie; keďže hlbšia štruktúrovaná spolupráca s Taiwanom v oblasti čistých technológií a odolnosti dodávateľského reťazca je aj v záujme EÚ;</w:t>
      </w:r>
    </w:p>
    <w:p w14:paraId="5D36E243" w14:textId="1BB1D4BB" w:rsidR="00826D56" w:rsidRPr="009A7A25" w:rsidRDefault="0022373E" w:rsidP="00826D56">
      <w:pPr>
        <w:pStyle w:val="NormalHanging12a"/>
        <w:rPr>
          <w:bCs/>
          <w:iCs/>
        </w:rPr>
      </w:pPr>
      <w:r w:rsidRPr="009A7A25">
        <w:t>AB</w:t>
      </w:r>
      <w:r w:rsidR="00826D56" w:rsidRPr="009A7A25">
        <w:t>.</w:t>
      </w:r>
      <w:r w:rsidR="00826D56" w:rsidRPr="009A7A25">
        <w:tab/>
        <w:t>keďže mier a stabilita v Taiwanskom prielive a Juhočínskom mori majú strategický význam pre regionálnu a globálnu bezpečnosť; keďže niektoré členské štáty EÚ udržiavajú námornú prítomnosť v indicko-tichomorskom regióne a EÚ ako celok má priamy záujem na zachovaní súčasného stavu;</w:t>
      </w:r>
    </w:p>
    <w:p w14:paraId="1D9311AA" w14:textId="103AC56E" w:rsidR="00826D56" w:rsidRPr="009A7A25" w:rsidRDefault="0022373E" w:rsidP="00826D56">
      <w:pPr>
        <w:pStyle w:val="NormalHanging12a"/>
        <w:rPr>
          <w:bCs/>
          <w:iCs/>
        </w:rPr>
      </w:pPr>
      <w:r w:rsidRPr="009A7A25">
        <w:t>AC</w:t>
      </w:r>
      <w:r w:rsidR="00826D56" w:rsidRPr="009A7A25">
        <w:t>.</w:t>
      </w:r>
      <w:r w:rsidR="00826D56" w:rsidRPr="009A7A25">
        <w:tab/>
        <w:t>keďže v novembri 2025 EÚ a Filipíny nadviazali dialóg o bezpečnosti a obrane s cieľom riešiť rastúcu komplexnosť bezpečnostných hrozieb a podporovať výmeny a spoluprácu v oblastiach, ako je námorná bezpečnosť, regionálna stabilita a prepojenie; keďže v januári 2026 EÚ a Vietnam povýšili svoje vzťahy na komplexné strategické partnerstvo s cieľom prehĺbiť spoluprácu v mnohých oblastiach vrátane námornej bezpečnosti, odolnosti dodávateľských reťazcov a posilnenia prepojenia medzi Európou a juhovýchodnou Áziou;</w:t>
      </w:r>
    </w:p>
    <w:p w14:paraId="2E195AC2" w14:textId="39B4C8FB" w:rsidR="00826D56" w:rsidRPr="009A7A25" w:rsidRDefault="0022373E" w:rsidP="00826D56">
      <w:pPr>
        <w:pStyle w:val="NormalHanging12a"/>
        <w:rPr>
          <w:bCs/>
          <w:iCs/>
        </w:rPr>
      </w:pPr>
      <w:r w:rsidRPr="009A7A25">
        <w:t>AD</w:t>
      </w:r>
      <w:r w:rsidR="00826D56" w:rsidRPr="009A7A25">
        <w:t>.</w:t>
      </w:r>
      <w:r w:rsidR="00826D56" w:rsidRPr="009A7A25">
        <w:tab/>
        <w:t>keďže situáciu v oblasti ľudských práv v KĽDR naďalej charakterizuje systematické, rozsiahle a hrubé porušovanie práv vrátane obmedzovania slobody prejavu, pohybu a prístupu k informáciám, existencie politických väzenských táborov a zdokumentovaných prípadov nútených prác a mučenia a neexistencie minimálnych právnych noriem v rámci trestného konania; keďže tieto prípady porušovania sú neustále hlásené medzinárodnými inštitúciami a vyžadujú si trvalú pozornosť a opatrenia medzinárodného spoločenstva;</w:t>
      </w:r>
    </w:p>
    <w:p w14:paraId="1DBBA091" w14:textId="678F0B9D" w:rsidR="00826D56" w:rsidRPr="009A7A25" w:rsidRDefault="0022373E" w:rsidP="00826D56">
      <w:pPr>
        <w:pStyle w:val="NormalHanging12a"/>
      </w:pPr>
      <w:r w:rsidRPr="009A7A25">
        <w:t>AE</w:t>
      </w:r>
      <w:r w:rsidR="00826D56" w:rsidRPr="009A7A25">
        <w:t>.</w:t>
      </w:r>
      <w:r w:rsidR="00826D56" w:rsidRPr="009A7A25">
        <w:tab/>
        <w:t>keďže prítomnosť EÚ v regióne východnej Ázie a spolupráca s ním má zásadný význam pre podporu mieru a stability v regióne, ochranu hospodárskej bezpečnosti a posilnenie medzinárodného poriadku založeného na pravidlách, pretože bezpečnostné výzvy v regióne majú priame dôsledky pre celosvetový mier a záujmy EÚ; keďže partneri vo východnej Ázii vrátane Japonska, Kórejskej republiky, Taiwanu a členov združenia ASEAN udržiavajú s Čínou zložité a mnohotvárne vzťahy, ktoré sa vyznačujú významnou vzájomnou hospodárskou závislosťou;</w:t>
      </w:r>
    </w:p>
    <w:p w14:paraId="420B9738" w14:textId="75BD7C58" w:rsidR="00826D56" w:rsidRPr="009A7A25" w:rsidRDefault="0022373E" w:rsidP="00826D56">
      <w:pPr>
        <w:pStyle w:val="NormalHanging12a"/>
        <w:rPr>
          <w:bCs/>
          <w:iCs/>
        </w:rPr>
      </w:pPr>
      <w:r w:rsidRPr="009A7A25">
        <w:t>AF</w:t>
      </w:r>
      <w:r w:rsidR="00826D56" w:rsidRPr="009A7A25">
        <w:t>.</w:t>
      </w:r>
      <w:r w:rsidR="00826D56" w:rsidRPr="009A7A25">
        <w:tab/>
        <w:t>keďže zámorské krajiny a územia (ZKÚ) sú jedinými európskymi územiami nachádzajúcimi sa v Tichom oceáne a v indicko-tichomorskom regióne; keďže ZKÚ slúžia ako jedinečné oporné body strategického záujmu EÚ a zabezpečujú jej prítomnosť, vplyv a spoluprácu v týchto regiónoch, v neposlednom rade v oblasti obrany, obchodu, digitálnej technológie, vesmíru a kultúrnej spolupráce;</w:t>
      </w:r>
    </w:p>
    <w:p w14:paraId="51B51031" w14:textId="015834E8" w:rsidR="00826D56" w:rsidRPr="009A7A25" w:rsidRDefault="0022373E" w:rsidP="00826D56">
      <w:pPr>
        <w:pStyle w:val="NormalHanging12a"/>
        <w:rPr>
          <w:bCs/>
          <w:iCs/>
        </w:rPr>
      </w:pPr>
      <w:r w:rsidRPr="009A7A25">
        <w:t>AG</w:t>
      </w:r>
      <w:r w:rsidR="00826D56" w:rsidRPr="009A7A25">
        <w:t>.</w:t>
      </w:r>
      <w:r w:rsidR="00826D56" w:rsidRPr="009A7A25">
        <w:tab/>
        <w:t xml:space="preserve">keďže EÚ je najväčším zdrojom priamych zahraničných investícií v Japonsku, Kórejskej republike a na Taiwane; </w:t>
      </w:r>
    </w:p>
    <w:p w14:paraId="2A3B0144" w14:textId="2FF2625A" w:rsidR="00826D56" w:rsidRPr="009A7A25" w:rsidRDefault="0022373E" w:rsidP="00826D56">
      <w:pPr>
        <w:pStyle w:val="NormalHanging12a"/>
        <w:rPr>
          <w:bCs/>
          <w:iCs/>
        </w:rPr>
      </w:pPr>
      <w:r w:rsidRPr="009A7A25">
        <w:t>AH</w:t>
      </w:r>
      <w:r w:rsidR="00826D56" w:rsidRPr="009A7A25">
        <w:t>.</w:t>
      </w:r>
      <w:r w:rsidR="00826D56" w:rsidRPr="009A7A25">
        <w:tab/>
        <w:t xml:space="preserve">keďže Komplexná a progresívna dohoda o </w:t>
      </w:r>
      <w:proofErr w:type="spellStart"/>
      <w:r w:rsidR="00826D56" w:rsidRPr="009A7A25">
        <w:t>transpacifickom</w:t>
      </w:r>
      <w:proofErr w:type="spellEnd"/>
      <w:r w:rsidR="00826D56" w:rsidRPr="009A7A25">
        <w:t xml:space="preserve"> partnerstve (CPTPP) sa v </w:t>
      </w:r>
      <w:r w:rsidR="00826D56" w:rsidRPr="009A7A25">
        <w:lastRenderedPageBreak/>
        <w:t>indicko-tichomorskom regióne stala hlavným obchodným rámcom založeným na pravidlách; keďže Japonsko je členom CPTPP a Kórejská republika a Taiwan o členstvo požiadali; keďže EÚ začala v novembri 2025 s krajinami uvedenej dohody dialóg o obchode a investíciách;</w:t>
      </w:r>
    </w:p>
    <w:p w14:paraId="34AC62E6" w14:textId="77777777" w:rsidR="00826D56" w:rsidRPr="009A7A25" w:rsidRDefault="00826D56" w:rsidP="00826D56">
      <w:pPr>
        <w:pStyle w:val="NormalHanging12a"/>
      </w:pPr>
      <w:r w:rsidRPr="009A7A25">
        <w:t>1.</w:t>
      </w:r>
      <w:r w:rsidRPr="009A7A25">
        <w:tab/>
        <w:t>odporúča Rade, Komisii a podpredsedníčke Komisie/vysokej predstaviteľke Únie pre zahraničné veci a bezpečnostnú politiku:</w:t>
      </w:r>
    </w:p>
    <w:p w14:paraId="545AD92F" w14:textId="77777777" w:rsidR="00826D56" w:rsidRPr="009A7A25" w:rsidRDefault="00826D56" w:rsidP="00826D56">
      <w:pPr>
        <w:pStyle w:val="NormalHangingLeft12a"/>
        <w:rPr>
          <w:bCs/>
          <w:iCs/>
        </w:rPr>
      </w:pPr>
      <w:r w:rsidRPr="009A7A25">
        <w:t>a)</w:t>
      </w:r>
      <w:r w:rsidRPr="009A7A25">
        <w:tab/>
        <w:t xml:space="preserve">zintenzívniť strategické zameranie, prítomnosť a viditeľnosť EÚ vo východnej Ázii a spoluprácu s ňou, a to aj prostredníctvom diplomatickej angažovanosti, bezpečnostnej spolupráce, medziľudských kontaktov a hospodárskych partnerstiev, s cieľom vyhnúť sa konfrontačnej dynamike mocenských blokov a prispieť k mieru, regionálnej stabilite, bezpečnosti, prosperite a udržateľnému rozvoju, ktoré sa opierajú o podporu demokracie, </w:t>
      </w:r>
      <w:proofErr w:type="spellStart"/>
      <w:r w:rsidRPr="009A7A25">
        <w:t>multilateralizmu</w:t>
      </w:r>
      <w:proofErr w:type="spellEnd"/>
      <w:r w:rsidRPr="009A7A25">
        <w:t>, právneho štátu, ľudských práv, obchodného systému založeného na pravidlách, územnej celistvosti a medzinárodného práva; v tejto súvislosti spolupracovať s Japonskom na jeho aktualizovanej koncepcii slobodného a otvoreného indicko-tichomorského regiónu; zlepšiť spoluprácu, koordináciu a dialóg s podobne zmýšľajúcimi východoázijskými partnermi, plne využiť ich regionálne znalosti a skúsenosti s cieľom zabezpečiť účinnejší, súdržnejší a kontextovo citlivejší prístup k mieru, bezpečnosti a stabilite vo východnej Ázii;</w:t>
      </w:r>
    </w:p>
    <w:p w14:paraId="3C4AD2CA" w14:textId="77777777" w:rsidR="00826D56" w:rsidRPr="009A7A25" w:rsidRDefault="00826D56" w:rsidP="00826D56">
      <w:pPr>
        <w:pStyle w:val="NormalHangingLeft12a"/>
        <w:rPr>
          <w:bCs/>
          <w:iCs/>
        </w:rPr>
      </w:pPr>
      <w:r w:rsidRPr="009A7A25">
        <w:t>b)</w:t>
      </w:r>
      <w:r w:rsidRPr="009A7A25">
        <w:tab/>
        <w:t>posilniť strategické predvídanie a plánovanie pre prípad nepredvídaných udalostí medzi EÚ a jej východoázijskými partnermi s cieľom vypracovať spoločné posúdenie regionálnych bezpečnostných rizík a koordinovať odstrašujúce opatrenia na ochranu mieru a stability v regióne a prispievanie k nim a aktívne odrádzať od jednostranných pokusov o zmenu súčasného stavu regiónu silou alebo nátlakom;</w:t>
      </w:r>
    </w:p>
    <w:p w14:paraId="1D856CBF" w14:textId="77777777" w:rsidR="00826D56" w:rsidRPr="009A7A25" w:rsidRDefault="00826D56" w:rsidP="00826D56">
      <w:pPr>
        <w:pStyle w:val="NormalHangingLeft12a"/>
        <w:rPr>
          <w:bCs/>
          <w:iCs/>
        </w:rPr>
      </w:pPr>
      <w:r w:rsidRPr="009A7A25">
        <w:t>c)</w:t>
      </w:r>
      <w:r w:rsidRPr="009A7A25">
        <w:tab/>
        <w:t xml:space="preserve">uvítať významný diplomatický pokrok, ktorý dosiahli vlády Japonska a Kórejskej republiky pri vytváraní perspektívneho, odolného partnerstva, keďže takáto posilnená spolupráca medzi Japonskom a Kórejskou republikou je nevyhnutná na zachovanie medzinárodného poriadku založeného na pravidlách a zabezpečenie stability v celom indicko-tichomorskom regióne; </w:t>
      </w:r>
    </w:p>
    <w:p w14:paraId="22A99B4D" w14:textId="77777777" w:rsidR="00826D56" w:rsidRPr="009A7A25" w:rsidRDefault="00826D56" w:rsidP="00826D56">
      <w:pPr>
        <w:pStyle w:val="NormalHangingLeft12a"/>
        <w:rPr>
          <w:bCs/>
          <w:iCs/>
        </w:rPr>
      </w:pPr>
      <w:r w:rsidRPr="009A7A25">
        <w:t>d)</w:t>
      </w:r>
      <w:r w:rsidRPr="009A7A25">
        <w:tab/>
        <w:t>posilniť strategickú autonómiu a hospodársku bezpečnosť EÚ prostredníctvom diverzifikácie obchodu a investícií, bezpečných a predvídateľných dodávateľských reťazcov, otvorených trhov a obchodných tokov a užšej spolupráce s podobne zmýšľajúcimi partnermi vo východnej Ázii pri súčasnom zabezpečení vzájomných prínosov a miestnej tvorby hodnôt a dodržiavaní záväzku EÚ týkajúceho sa spravodlivého a udržateľného obchodu;</w:t>
      </w:r>
    </w:p>
    <w:p w14:paraId="5FB7B07D" w14:textId="77777777" w:rsidR="00826D56" w:rsidRPr="009A7A25" w:rsidRDefault="00826D56" w:rsidP="00826D56">
      <w:pPr>
        <w:pStyle w:val="NormalHanging12a"/>
        <w:ind w:left="1134"/>
        <w:rPr>
          <w:bCs/>
          <w:iCs/>
        </w:rPr>
      </w:pPr>
      <w:r w:rsidRPr="009A7A25">
        <w:t>e)</w:t>
      </w:r>
      <w:r w:rsidRPr="009A7A25">
        <w:tab/>
        <w:t xml:space="preserve">prehĺbiť spoluprácu s podobne zmýšľajúcimi partnermi v regióne, najmä s Japonskom, Kórejskou republikou a Taiwanom, ako aj krajinami združenia ASEAN cieľom riešiť spoločné výzvy v oblastiach, ako sú hospodársky nátlak, svojvoľné opatrenia na kontrolu vývozu vrátane vývozných obmedzení týkajúcich sa položiek s dvojakým použitím zameraných na Japonsko, netrhové politiky a praktiky, demokratická odolnosť, ekologická transformácia, kybernetická bezpečnosť, hybridné hrozby vrátane zahraničnej manipulácie s informáciami a zahraničného zasahovania, ochrana kritickej infraštruktúry vrátane podmorských káblov a prístavných a logistických uzlov, námorná a vesmírna bezpečnosť, </w:t>
      </w:r>
      <w:r w:rsidRPr="009A7A25">
        <w:lastRenderedPageBreak/>
        <w:t xml:space="preserve">nešírenie zbraní a vznikajúce obranné technológie vrátane vyspelej technológie bezpilotných vzdušných prostriedkov, a zároveň posilniť súčinnosť s kľúčovými partnermi a regionálnymi organizáciami pri plnom dodržiavaní Charty OSN; preskúmať a realizovať spoločné iniciatívy na posilnenie strategickej autonómie jednotlivých strán a zníženie závislosti od Číny; zdôrazniť význam silných inštitúcií a dynamických demokracií Japonska, Kórejskej republiky a Taiwanu v širšom regionálnom kontexte, pretože poskytujú rozhodujúcu protiváhu v regióne; </w:t>
      </w:r>
    </w:p>
    <w:p w14:paraId="24FA8B3F" w14:textId="77777777" w:rsidR="00826D56" w:rsidRPr="009A7A25" w:rsidRDefault="00826D56" w:rsidP="00826D56">
      <w:pPr>
        <w:pStyle w:val="NormalHanging12a"/>
        <w:ind w:left="1134"/>
      </w:pPr>
      <w:r w:rsidRPr="009A7A25">
        <w:t>f)</w:t>
      </w:r>
      <w:r w:rsidRPr="009A7A25">
        <w:tab/>
        <w:t>udržiavať v koordinácii s podobne zmýšľajúcimi partnermi otvorené kanály dialógu a zásadovej angažovanosti s ostatnými globálnymi aktérmi vo východnej Ázii s cieľom riešiť spoločné globálne výzvy;</w:t>
      </w:r>
    </w:p>
    <w:p w14:paraId="3ABCAF94" w14:textId="77777777" w:rsidR="00826D56" w:rsidRPr="009A7A25" w:rsidRDefault="00826D56" w:rsidP="00826D56">
      <w:pPr>
        <w:pStyle w:val="NormalHanging12a"/>
        <w:ind w:left="1134"/>
      </w:pPr>
      <w:r w:rsidRPr="009A7A25">
        <w:t>g)</w:t>
      </w:r>
      <w:r w:rsidRPr="009A7A25">
        <w:tab/>
        <w:t xml:space="preserve">potvrdiť význam dodržiavania medzinárodného práva pre podporu mieru a prosperity v slobodnom a otvorenom indicko-tichomorskom regióne; aktívne podporovať dodržiavanie a všeobecné uplatňovanie dohovoru UNCLOS ako univerzálneho právneho rámca, ktorý upravuje námorné činnosti, vrátane rozhodcovského rozhodnutia o Juhočínskom mori z roku 2016 a namietať proti jednostranným opatreniam alebo nárokom, ktoré nie sú v súlade s medzinárodným právom; </w:t>
      </w:r>
    </w:p>
    <w:p w14:paraId="73A88360" w14:textId="77777777" w:rsidR="00826D56" w:rsidRPr="009A7A25" w:rsidRDefault="00826D56" w:rsidP="00826D56">
      <w:pPr>
        <w:pStyle w:val="NormalHanging12a"/>
        <w:ind w:left="1134"/>
      </w:pPr>
      <w:r w:rsidRPr="009A7A25">
        <w:t>h)</w:t>
      </w:r>
      <w:r w:rsidRPr="009A7A25">
        <w:tab/>
        <w:t xml:space="preserve">zjednodušiť štruktúrovanú vojensko-priemyselnú spoluprácu s podobne zmýšľajúcimi partnermi a vytvoriť príslušné bezpečnostné partnerstvá, ktoré sa zameriavajú na </w:t>
      </w:r>
      <w:proofErr w:type="spellStart"/>
      <w:r w:rsidRPr="009A7A25">
        <w:t>interoperabilitu</w:t>
      </w:r>
      <w:proofErr w:type="spellEnd"/>
      <w:r w:rsidRPr="009A7A25">
        <w:t>, spoločný vývoj a obstarávanie obranných technológií, bezpečnosť dodávateľských reťazcov a spoločný výskum a vývoj v oblasti letectva a </w:t>
      </w:r>
      <w:proofErr w:type="spellStart"/>
      <w:r w:rsidRPr="009A7A25">
        <w:t>dronov</w:t>
      </w:r>
      <w:proofErr w:type="spellEnd"/>
      <w:r w:rsidRPr="009A7A25">
        <w:t>, a to aj so zreteľom na prínos systémov riadených AI;</w:t>
      </w:r>
    </w:p>
    <w:p w14:paraId="22C4E613" w14:textId="77777777" w:rsidR="00826D56" w:rsidRPr="009A7A25" w:rsidRDefault="00826D56" w:rsidP="00826D56">
      <w:pPr>
        <w:pStyle w:val="NormalHanging12a"/>
        <w:ind w:left="1134"/>
      </w:pPr>
      <w:r w:rsidRPr="009A7A25">
        <w:t>i)</w:t>
      </w:r>
      <w:r w:rsidRPr="009A7A25">
        <w:tab/>
        <w:t>pokračovať v pragmatickej spolupráci s Čínou pri riešení globálnych výziev a zároveň posilniť koordináciu s podobne zmýšľajúcimi partnermi v otázkach bezpečnosti vzhľadom na čoraz dôležitejšiu úlohu Číny na poli globálneho mieru a stability, najmä v kontexte ruskej útočnej vojny proti Ukrajine a pretrvávajúcej nestability na Blízkom východe;</w:t>
      </w:r>
    </w:p>
    <w:p w14:paraId="76BB2577" w14:textId="77777777" w:rsidR="00826D56" w:rsidRPr="009A7A25" w:rsidRDefault="00826D56" w:rsidP="00826D56">
      <w:pPr>
        <w:pStyle w:val="NormalHanging12a"/>
        <w:ind w:left="1134"/>
        <w:rPr>
          <w:bCs/>
          <w:iCs/>
        </w:rPr>
      </w:pPr>
      <w:r w:rsidRPr="009A7A25">
        <w:t>j)</w:t>
      </w:r>
      <w:r w:rsidRPr="009A7A25">
        <w:tab/>
        <w:t xml:space="preserve">zintenzívniť spoluprácu v oblasti bezpečných, udržateľných a diverzifikovaných dodávateľských reťazcov polovodičov, batérií a kritických surovín, a to aj prostredníctvom </w:t>
      </w:r>
      <w:proofErr w:type="spellStart"/>
      <w:r w:rsidRPr="009A7A25">
        <w:t>vysledovateľnosti</w:t>
      </w:r>
      <w:proofErr w:type="spellEnd"/>
      <w:r w:rsidRPr="009A7A25">
        <w:t xml:space="preserve">, recyklácie, </w:t>
      </w:r>
      <w:proofErr w:type="spellStart"/>
      <w:r w:rsidRPr="009A7A25">
        <w:t>obehovosti</w:t>
      </w:r>
      <w:proofErr w:type="spellEnd"/>
      <w:r w:rsidRPr="009A7A25">
        <w:t xml:space="preserve"> a prísnych environmentálnych a pracovných noriem, a v koordinácii s podobne zmýšľajúcimi partnermi v rámci príslušných multilaterálnych iniciatív; </w:t>
      </w:r>
    </w:p>
    <w:p w14:paraId="049939C6" w14:textId="77777777" w:rsidR="00826D56" w:rsidRPr="009A7A25" w:rsidRDefault="00826D56" w:rsidP="00826D56">
      <w:pPr>
        <w:pStyle w:val="NormalHanging12a"/>
        <w:ind w:left="1134"/>
      </w:pPr>
      <w:r w:rsidRPr="009A7A25">
        <w:t>k)</w:t>
      </w:r>
      <w:r w:rsidRPr="009A7A25">
        <w:tab/>
        <w:t xml:space="preserve">ďalej rozvíjať dohodu o strategickom partnerstve medzi EÚ a Japonskom a ich partnerstvo v oblasti bezpečnosti a obrany; podporovať hlbšiu spoluprácu v záležitostiach obranného priemyslu vrátane vzájomného zapojenia do obranných iniciatív, pokroku v súvislosti s dohodou o bezpečnosti utajovaných skutočností a ďalšieho rozvoja dialógu medzi EÚ a Japonskom o obrannom priemysle s cieľom posilniť odolnosť dodávateľských reťazcov, </w:t>
      </w:r>
      <w:proofErr w:type="spellStart"/>
      <w:r w:rsidRPr="009A7A25">
        <w:t>interoperabilitu</w:t>
      </w:r>
      <w:proofErr w:type="spellEnd"/>
      <w:r w:rsidRPr="009A7A25">
        <w:t xml:space="preserve"> a inovácie; zintenzívniť konkrétne spoločné činnosti v rámci Aliancie pre konkurencieschopnosť, zelenej aliancie, dialógu o digitálnom partnerstve a energetike, pokračovať v rozširovaní hospodárskeho dialógu na vysokej úrovni medzi EÚ a Japonskom a posilňovať strategickú hospodársku spoluprácu medzi oboma stranami; urýchliť vykonávanie Aliancie pre konkurencieschopnosť medzi EÚ a Japonskom;</w:t>
      </w:r>
    </w:p>
    <w:p w14:paraId="054A1802" w14:textId="77777777" w:rsidR="00826D56" w:rsidRPr="009A7A25" w:rsidRDefault="00826D56" w:rsidP="00826D56">
      <w:pPr>
        <w:pStyle w:val="NormalHanging12a"/>
        <w:ind w:left="1134"/>
      </w:pPr>
      <w:r w:rsidRPr="009A7A25">
        <w:lastRenderedPageBreak/>
        <w:t>l)</w:t>
      </w:r>
      <w:r w:rsidRPr="009A7A25">
        <w:tab/>
        <w:t>zdôrazniť, že partnerstvo medzi EÚ a Japonskom je partnerstvom medzi mimoriadne podobne zmýšľajúcimi partnermi, ktoré je založené na spoločných hodnotách, demokracii, voľnom obchode a vzájomne kompatibilných záujmoch; zdôrazniť význam ďalšieho prehlbovania a rozširovania tohto partnerstva na bilaterálnej úrovni, ako aj v multilaterálnom kontexte; poukázať na to, že EÚ a Japonsko spoločne vytvárajú takmer 25 % svetového hrubého domáceho produktu (HDP) a že toto partnerstvo môže a malo by zohrávať kľúčovú úlohu pri formovaní mierového, inkluzívneho, spravodlivého, udržateľného a prosperujúceho medzinárodného poriadku založeného na pravidlách; uvítať finančnú, technickú, humanitárnu a bezpečnostnú pomoc Japonska Ukrajine od začiatku komplexnej vojenskej invázie Ruska v roku 2022;</w:t>
      </w:r>
    </w:p>
    <w:p w14:paraId="0687A540" w14:textId="77777777" w:rsidR="00826D56" w:rsidRPr="009A7A25" w:rsidRDefault="00826D56" w:rsidP="00826D56">
      <w:pPr>
        <w:pStyle w:val="NormalHanging12a"/>
        <w:ind w:left="1134"/>
      </w:pPr>
      <w:r w:rsidRPr="009A7A25">
        <w:t>m)</w:t>
      </w:r>
      <w:r w:rsidRPr="009A7A25">
        <w:tab/>
        <w:t xml:space="preserve">pokročiť vo vykonávaní partnerstva v oblasti bezpečnosti a obrany medzi EÚ a Kórejskou republikou, podporovať praktickú spoluprácu v oblasti námornej bezpečnosti, nešírenia zbraní, kybernetickej bezpečnosti, boja proti terorizmu a krízového riadenia, a to na základe existujúcich spoločných operácií a preskúmania ďalšieho zapojenia v rámci nástroja koordinovanej námornej prítomnosti EÚ; začať spoločný dialóg medzi EÚ a Kórejskou republikou o obrannom priemysle a posilniť koordináciu na multilaterálnych fórach s cieľom presadzovať mier, odrádzať od provokácií a podporovať </w:t>
      </w:r>
      <w:proofErr w:type="spellStart"/>
      <w:r w:rsidRPr="009A7A25">
        <w:t>denuklearizáciu</w:t>
      </w:r>
      <w:proofErr w:type="spellEnd"/>
      <w:r w:rsidRPr="009A7A25">
        <w:t>; ďalej rozvíjať úspešnú a vzájomne prospešnú spoluprácu v oblasti obranných výrobkov medzi Kórejskou republikou a niekoľkými členskými štátmi EÚ; zintenzívniť spoluprácu medzi EÚ a Kórejskou republikou s cieľom posilniť vojenskú a finančnú pomoc Ukrajine;</w:t>
      </w:r>
    </w:p>
    <w:p w14:paraId="1CDB3549" w14:textId="77777777" w:rsidR="00826D56" w:rsidRPr="009A7A25" w:rsidRDefault="00826D56" w:rsidP="00826D56">
      <w:pPr>
        <w:pStyle w:val="NormalHanging12a"/>
        <w:ind w:left="1134"/>
      </w:pPr>
      <w:r w:rsidRPr="009A7A25">
        <w:t>n)</w:t>
      </w:r>
      <w:r w:rsidRPr="009A7A25">
        <w:tab/>
        <w:t>privítať spoluprácu Kórejskej republiky s EÚ v otázkach spoločnej hospodárskej bezpečnosti; zdôrazniť, že Kórejská republika zostáva kľúčovým partnerom pri akomkoľvek úsilí o znižovanie rizika a </w:t>
      </w:r>
      <w:proofErr w:type="spellStart"/>
      <w:r w:rsidRPr="009A7A25">
        <w:t>externalizáciu</w:t>
      </w:r>
      <w:proofErr w:type="spellEnd"/>
      <w:r w:rsidRPr="009A7A25">
        <w:t xml:space="preserve"> do spriatelených krajín, najmä v oblasti obchodu; naliehať na novovytvorený Osobitný výbor pre vznikajúce obchodné a hospodárske otázky, ktorý bol ustanovený dohodou o voľnom obchode medzi EÚ a Kórejskou republikou, aby urýchlil spoluprácu, najmä v oblastiach s významom pre hospodársku bezpečnosť, ako sú kritické dodávateľské reťazce a nadmerná kapacita;</w:t>
      </w:r>
    </w:p>
    <w:p w14:paraId="2097EB5E" w14:textId="77777777" w:rsidR="00826D56" w:rsidRPr="009A7A25" w:rsidRDefault="00826D56" w:rsidP="00826D56">
      <w:pPr>
        <w:pStyle w:val="NormalHanging12a"/>
        <w:ind w:left="1134"/>
      </w:pPr>
      <w:r w:rsidRPr="009A7A25">
        <w:t>o)</w:t>
      </w:r>
      <w:r w:rsidRPr="009A7A25">
        <w:tab/>
        <w:t>pokročiť v spoločnom úsilí s podobne zmýšľajúcimi partnermi vo východnej Ázii s cieľom riešiť rastúcu angažovanosť Ruska v Kórejskej ľudovodemokratickej republike (KĽDR) vrátane jeho podpory posilňovaniu jadrových a balistických spôsobilostí KĽDR a neochoty Číny zamedziť jej, ako aj riešiť prepojenie medzi jadrovými programami KĽDR a Iránu s dôrazom na to, že táto angažovanosť zhoršuje napäté geopolitické prostredie na Kórejskom polostrove; pokročiť v spolupráci s Kórejskou republikou pri riešení dezinformačných kampaní vo volebných procesoch a pri ochrane volebnej infraštruktúry pred kybernetickými útokmi;</w:t>
      </w:r>
    </w:p>
    <w:p w14:paraId="7F2D3150" w14:textId="77777777" w:rsidR="00826D56" w:rsidRPr="009A7A25" w:rsidRDefault="00826D56" w:rsidP="00826D56">
      <w:pPr>
        <w:pStyle w:val="NormalHanging12a"/>
        <w:ind w:left="1134"/>
      </w:pPr>
      <w:r w:rsidRPr="009A7A25">
        <w:t>p)</w:t>
      </w:r>
      <w:r w:rsidRPr="009A7A25">
        <w:tab/>
        <w:t xml:space="preserve">oceniť úsilie Kórejskej republiky o obnovenie dialógu s KĽDR prostredníctvom proaktívnych opatrení na </w:t>
      </w:r>
      <w:proofErr w:type="spellStart"/>
      <w:r w:rsidRPr="009A7A25">
        <w:t>deeskaláciu</w:t>
      </w:r>
      <w:proofErr w:type="spellEnd"/>
      <w:r w:rsidRPr="009A7A25">
        <w:t xml:space="preserve"> a budovanie dôvery; vyzvať KĽDR, aby okamžite zastavila všetky svoje vojenské akcie a provokácie a vývoj spôsobilostí v oblasti jadrových a balistických rakiet; dôrazne odsúdiť a účinne riešiť škodlivé kybernetické činnosti KĽDR vrátane krádeže kryptomien a iných foriem počítačovej kriminality; naliehavo vyzvať KĽDR, aby umožnila prístup organizáciám poskytujúcim humanitárnu pomoc, aby dodržiavala ľudské práva, </w:t>
      </w:r>
      <w:r w:rsidRPr="009A7A25">
        <w:lastRenderedPageBreak/>
        <w:t xml:space="preserve">a najmä aby okamžite vyriešila otázku únosov; naliehať na Rusko a KĽDR, aby v plnej miere dodržiavali Chartu OSN a rezolúcie Bezpečnostnej rady OSN, a to aj pokiaľ ide o úplnú </w:t>
      </w:r>
      <w:proofErr w:type="spellStart"/>
      <w:r w:rsidRPr="009A7A25">
        <w:t>denuklearizáciu</w:t>
      </w:r>
      <w:proofErr w:type="spellEnd"/>
      <w:r w:rsidRPr="009A7A25">
        <w:t xml:space="preserve"> KĽDR; odsúdiť účasť KĽDR na agresii Ruska voči Ukrajine vrátane jej zapojenia prostredníctvom vysielania vojenského personálu a vybavenia; vyvinúť politiku EÚ voči Severnej Kórei s náležitým zohľadnením odborných znalostí, bezpečnostných potrieb a oprávnených obáv podobne zmýšľajúcich partnerov v regióne, predovšetkým tých, ktorí sa nachádzajú v tesnej geografickej blízkosti KĽDR, najmä Kórejskej republiky a Japonska;</w:t>
      </w:r>
    </w:p>
    <w:p w14:paraId="03C9C4CD" w14:textId="77777777" w:rsidR="00826D56" w:rsidRPr="009A7A25" w:rsidRDefault="00826D56" w:rsidP="00826D56">
      <w:pPr>
        <w:pStyle w:val="NormalHanging12a"/>
        <w:ind w:left="1134"/>
        <w:rPr>
          <w:bCs/>
          <w:iCs/>
        </w:rPr>
      </w:pPr>
      <w:r w:rsidRPr="009A7A25">
        <w:t>q)</w:t>
      </w:r>
      <w:r w:rsidRPr="009A7A25">
        <w:tab/>
        <w:t>vytvoriť štruktúrovaný a komplexný rámec spolupráce medzi EÚ a Taiwanom, ktorý bude vychádzať z existujúcich mechanizmov, ako je dialóg o obchode a investíciách, so silnou hospodárskou a obchodnou zložkou, zameraný na kritické technológie, ako sú polovodiče a umelá inteligencia, odolnosť dodávateľského reťazca, kybernetickú bezpečnosť, dezinformačné protiopatrenia, námornú bezpečnosť, verejné zdravie, civilnú ochranu a bezpečné prepojenie, ako aj demokratickú, sociálnu a energetickú odolnosť a pripravenosť na katastrofy; naďalej podporovať zmysluplnú účasť Taiwanu v príslušných medzinárodných orgánoch a na technických fórach, ako sú WHO, Medzinárodná organizácia civilného letectva a Rámcový dohovor OSN o zmene klímy; zintenzívniť pravidelné výmeny medzi EÚ a jej taiwanskými partnermi o príslušných bezpečnostných otázkach, hospodárskej bezpečnosti, pružnosti dodávateľských reťazcov, demokratickej a volebnej integrite, ochrane kritickej infraštruktúry a spolupráci v oblasti čistých technológií; naliehavo vyzvať čínske orgány, aby pri riešení závažných globálnych zdravotných problémov úzko spolupracovali s ostatnými regionálnymi aktérmi vrátane Taiwanu; zdôrazniť, že akýkoľvek pokus autoritárskych režimov ovplyvniť vzťahy medzi EÚ a Taiwanom je neprijateľný;</w:t>
      </w:r>
    </w:p>
    <w:p w14:paraId="6E8F8DF7" w14:textId="77777777" w:rsidR="00826D56" w:rsidRPr="009A7A25" w:rsidRDefault="00826D56" w:rsidP="00826D56">
      <w:pPr>
        <w:pStyle w:val="NormalHanging12a"/>
        <w:ind w:left="1134"/>
        <w:rPr>
          <w:bCs/>
          <w:iCs/>
        </w:rPr>
      </w:pPr>
      <w:r w:rsidRPr="009A7A25">
        <w:t>r)</w:t>
      </w:r>
      <w:r w:rsidRPr="009A7A25">
        <w:tab/>
        <w:t>zdôrazniť, že Taiwan je kľúčovým demokratickým partnerom EÚ v indicko-tichomorskom regióne; ďalej prehlbovať dialóg o obchode a investíciách medzi EÚ a Taiwanom s cieľom riešiť prekážky prístupu na trh a zvýšiť právnu istotu pre investorov z EÚ; preskúmať možnosť začatia rokovaní o bilaterálnej investičnej dohode medzi EÚ a Taiwanom alebo o iných rámcoch súvisiacich s obchodom; uznať význam Taiwanu pri zabezpečovaní globálnych dodávateľských reťazcov, najmä v odvetví špičkových technológií, a naliehavo vyzvať EÚ a jej členské štáty, aby nadviazali užšiu spoluprácu s Taiwanom s cieľom ďalej posilniť hospodárske, obchodné a investičné väzby; uznať skúsenosti Taiwanu so zvládaním hospodárskej expozície voči Číne a jeho silné stránky v oblasti demokratickej správy vecí verejných, transparentných regulačných noriem a odolných digitálnych a technologických ekosystémov;</w:t>
      </w:r>
    </w:p>
    <w:p w14:paraId="14461DFE" w14:textId="77777777" w:rsidR="00826D56" w:rsidRPr="009A7A25" w:rsidRDefault="00826D56" w:rsidP="00826D56">
      <w:pPr>
        <w:pStyle w:val="NormalHanging12a"/>
        <w:ind w:left="1134"/>
        <w:rPr>
          <w:bCs/>
          <w:iCs/>
        </w:rPr>
      </w:pPr>
      <w:r w:rsidRPr="009A7A25">
        <w:t>s)</w:t>
      </w:r>
      <w:r w:rsidRPr="009A7A25">
        <w:tab/>
        <w:t xml:space="preserve">opätovne zdôrazniť význam mieru a stability v Taiwanskom prielive odmietnutím akejkoľvek nátlakovej jednostrannej zmeny súčasného stavu; prostredníctvom jasnej a koordinovanej komunikácie spolu s členskými štátmi a podobne zmýšľajúcimi partnermi uistiť, že takéto opatrenia by priniesli značné politické a hospodárske náklady; zdôrazniť, že akékoľvek spory sa musia riešiť mierovou cestou prostredníctvom dialógu v súlade s medzinárodným právom a pri rešpektovaní vôle taiwanského ľudu; dôrazne pripomenúť, že v indicko-tichomorskom regióne vrátane Juhočínskeho mora a Taiwanského prielivu sa musí rešpektovať sloboda plavby a preletov, ako ju zaručuje medzinárodné právo; </w:t>
      </w:r>
      <w:r w:rsidRPr="009A7A25">
        <w:lastRenderedPageBreak/>
        <w:t>aktívne sa zapájať do diplomatického úsilia s cieľom zabrániť ďalšej eskalácii v Taiwanskom prielive a vo Východočínskom a v Juhočínskom mori; urýchlene vypracovať plánovanie pre prípad nepredvídaných udalostí a zmierňovacie opatrenia založené na pravdepodobných scenároch eskalácie vrátane námornej blokády Taiwanu Čínskou ľudovou republikou;</w:t>
      </w:r>
    </w:p>
    <w:p w14:paraId="60F9440E" w14:textId="77777777" w:rsidR="00826D56" w:rsidRPr="009A7A25" w:rsidRDefault="00826D56" w:rsidP="00826D56">
      <w:pPr>
        <w:pStyle w:val="NormalHanging12a"/>
        <w:ind w:left="1134"/>
        <w:rPr>
          <w:bCs/>
          <w:iCs/>
        </w:rPr>
      </w:pPr>
      <w:r w:rsidRPr="009A7A25">
        <w:t>t)</w:t>
      </w:r>
      <w:r w:rsidRPr="009A7A25">
        <w:tab/>
        <w:t xml:space="preserve">zdôrazniť význam nástrojov hospodárskej bezpečnosti EÚ pri riešení nátlakových hospodárskych praktík a zabezpečení spravodlivej hospodárskej súťaže vrátane nástroja proti nátlaku, účinných mechanizmov preverovania priamych zahraničných investícií a režimov kontroly vývozu, ak je to vhodné a v súlade s právom EÚ; spojiť </w:t>
      </w:r>
      <w:proofErr w:type="spellStart"/>
      <w:r w:rsidRPr="009A7A25">
        <w:t>geoekonomický</w:t>
      </w:r>
      <w:proofErr w:type="spellEnd"/>
      <w:r w:rsidRPr="009A7A25">
        <w:t xml:space="preserve"> vplyv EÚ, a to aj prostredníctvom koordinovaných kontrol vývozu, spoločných posúdení rizík a kolektívnych reakcií na hospodársky nátlak, čím sa dvojstranná závislosť zmení na účinné odrádzanie a posilní sa hospodárska bezpečnosť EÚ aj jej partnerov; </w:t>
      </w:r>
    </w:p>
    <w:p w14:paraId="55B4C26C" w14:textId="77777777" w:rsidR="00826D56" w:rsidRPr="009A7A25" w:rsidRDefault="00826D56" w:rsidP="00826D56">
      <w:pPr>
        <w:pStyle w:val="NormalHanging12a"/>
        <w:ind w:left="1134"/>
        <w:rPr>
          <w:bCs/>
          <w:iCs/>
        </w:rPr>
      </w:pPr>
      <w:r w:rsidRPr="009A7A25">
        <w:t>u)</w:t>
      </w:r>
      <w:r w:rsidRPr="009A7A25">
        <w:tab/>
        <w:t xml:space="preserve">urýchliť spoluprácu </w:t>
      </w:r>
      <w:proofErr w:type="spellStart"/>
      <w:r w:rsidRPr="009A7A25">
        <w:t>vyrokovaním</w:t>
      </w:r>
      <w:proofErr w:type="spellEnd"/>
      <w:r w:rsidRPr="009A7A25">
        <w:t xml:space="preserve"> trojstranných alebo štvorstranných dohôd a iniciatív týkajúcich sa otázok spoločného záujmu, ktoré prispievajú k dodržiavaniu multilaterálneho medzinárodného poriadku založeného na pravidlách; rozvíjať existujúce digitálne partnerstvá medzi EÚ a Japonskom a medzi EÚ a Kórejskou republikou so spoločnými záväzkami v oblasti umelej inteligencie, polovodičov, </w:t>
      </w:r>
      <w:proofErr w:type="spellStart"/>
      <w:r w:rsidRPr="009A7A25">
        <w:t>pripojiteľnosti</w:t>
      </w:r>
      <w:proofErr w:type="spellEnd"/>
      <w:r w:rsidRPr="009A7A25">
        <w:t xml:space="preserve"> novej generácie, kvantovej výpočtovej techniky, správy údajov, kybernetickej bezpečnosti, batériových technológií, podmorských káblov, digitálnej identity a odolnosti dodávateľských reťazcov; posilniť rámce spolupráce pre rozvoj obranných technológií;</w:t>
      </w:r>
    </w:p>
    <w:p w14:paraId="1293944F" w14:textId="77777777" w:rsidR="00826D56" w:rsidRPr="009A7A25" w:rsidRDefault="00826D56" w:rsidP="00826D56">
      <w:pPr>
        <w:pStyle w:val="NormalHanging12a"/>
        <w:ind w:left="1134"/>
        <w:rPr>
          <w:bCs/>
          <w:iCs/>
        </w:rPr>
      </w:pPr>
      <w:r w:rsidRPr="009A7A25">
        <w:t>v)</w:t>
      </w:r>
      <w:r w:rsidRPr="009A7A25">
        <w:tab/>
        <w:t>v plnej miere a účinne vykonávať obchodné dohody s Japonskom a Kórejskou republikou, a to aj v oblasti prístupu na trh, necolných prekážok, udržateľného rozvoja a regulačnej spolupráce, a pokiaľ ide o Kórejskú republiku, zabezpečiť vykonávanie základných dohovorov MOP; podporovať užšiu spoluprácu medzi malými a strednými podnikmi (MSP) v EÚ a v jej partnerských krajinách vo východnej Ázii s cieľom podporovať vzájomné obchodné príležitosti, zlepšiť prístup na trh a posilniť inovačné siete;</w:t>
      </w:r>
    </w:p>
    <w:p w14:paraId="42AD63D4" w14:textId="77777777" w:rsidR="00826D56" w:rsidRPr="009A7A25" w:rsidRDefault="00826D56" w:rsidP="00826D56">
      <w:pPr>
        <w:pStyle w:val="NormalHanging12a"/>
        <w:ind w:left="1134"/>
        <w:rPr>
          <w:bCs/>
          <w:iCs/>
        </w:rPr>
      </w:pPr>
      <w:r w:rsidRPr="009A7A25">
        <w:t>w)</w:t>
      </w:r>
      <w:r w:rsidRPr="009A7A25">
        <w:tab/>
        <w:t>zabezpečiť, aby všetky budúce hospodárske alebo odvetvové dohody s podobne zmýšľajúcimi partnermi v regióne boli vzájomne prospešnými partnerstvami, ktoré presahujú hospodárske a bezpečnostné ciele a zahŕňajú aj pevné záväzky v oblasti pracovných práv, ochrany životného prostredia a rozvoja čistých a udržateľných hodnotových reťazcov v súlade s rámcom EÚ pre obchod a udržateľný rozvoj; podporovať vo východnej Ázii komplexnú informačnú kampaň o politikách Európskej únie týkajúcich sa oceliarskeho odvetvia a návrhu aktu na urýchlenie rozvoja priemyslu</w:t>
      </w:r>
      <w:r w:rsidRPr="009A7A25">
        <w:rPr>
          <w:rStyle w:val="FootnoteReference"/>
          <w:bCs/>
          <w:iCs/>
        </w:rPr>
        <w:footnoteReference w:id="11"/>
      </w:r>
      <w:r w:rsidRPr="009A7A25">
        <w:t xml:space="preserve"> s cieľom zvýšiť transparentnosť a pochopenie cieľov EÚ medzi medzinárodnými partnermi; zdôrazniť význam aktívnej spolupráce s východoázijskými partnermi s cieľom riešiť ich obavy, podporovať dialóg a predchádzať možným nedorozumeniam v obchodných a priemyselných vzťahoch;</w:t>
      </w:r>
    </w:p>
    <w:p w14:paraId="10DBA0A6" w14:textId="77777777" w:rsidR="00826D56" w:rsidRPr="009A7A25" w:rsidRDefault="00826D56" w:rsidP="00826D56">
      <w:pPr>
        <w:pStyle w:val="NormalHanging12a"/>
        <w:ind w:left="1134"/>
        <w:rPr>
          <w:bCs/>
          <w:iCs/>
        </w:rPr>
      </w:pPr>
      <w:r w:rsidRPr="009A7A25">
        <w:t>x)</w:t>
      </w:r>
      <w:r w:rsidRPr="009A7A25">
        <w:tab/>
        <w:t xml:space="preserve">sledovať nahlásené obchádzania sankcií zo strany Ruska prostredníctvom jurisdikcií vo východnej Ázii vrátane presmerovania obchodu na získanie sankcionovaného tovaru s dvojakým použitím, mikročipov a priemyselných </w:t>
      </w:r>
      <w:r w:rsidRPr="009A7A25">
        <w:lastRenderedPageBreak/>
        <w:t>strojov prostredníctvom sprostredkovateľov v regióne;</w:t>
      </w:r>
    </w:p>
    <w:p w14:paraId="54AEB19B" w14:textId="77777777" w:rsidR="00826D56" w:rsidRPr="009A7A25" w:rsidRDefault="00826D56" w:rsidP="00826D56">
      <w:pPr>
        <w:pStyle w:val="NormalHanging12a"/>
        <w:ind w:left="1134"/>
        <w:rPr>
          <w:bCs/>
          <w:iCs/>
        </w:rPr>
      </w:pPr>
      <w:r w:rsidRPr="009A7A25">
        <w:t>y)</w:t>
      </w:r>
      <w:r w:rsidRPr="009A7A25">
        <w:tab/>
        <w:t xml:space="preserve">zvýšiť politickú, hospodársku a bezpečnostnú angažovanosť EÚ v indicko-tichomorskom regióne ako celku prostredníctvom posilnených partnerstiev so všetkými podobne zmýšľajúcimi aktérmi a prostredníctvom iniciatív, ako je stratégia </w:t>
      </w:r>
      <w:proofErr w:type="spellStart"/>
      <w:r w:rsidRPr="009A7A25">
        <w:t>Global</w:t>
      </w:r>
      <w:proofErr w:type="spellEnd"/>
      <w:r w:rsidRPr="009A7A25">
        <w:t xml:space="preserve"> </w:t>
      </w:r>
      <w:proofErr w:type="spellStart"/>
      <w:r w:rsidRPr="009A7A25">
        <w:t>Gateway</w:t>
      </w:r>
      <w:proofErr w:type="spellEnd"/>
      <w:r w:rsidRPr="009A7A25">
        <w:t>, podpora dialógov o ľudských právach, udržateľný rozvoj a prepojenie, rovnosť a prísne pracovné normy; uznať rastúcu konvergenciu strategických záujmov medzi euroatlantickým a indicko-tichomorským regiónom, pričom Japonsko a Kórejská republika slúžia ako partneri NATO v rámci indicko-tichomorskej štvorky (IP4), čo ilustruje aj nedávne zriadenie japonskej misie pri NATO; potvrdiť, že táto spolupráca zvyšuje vzájomné situačné povedomie o bezpečnostnom vývoji v oboch regiónoch; podporiť rámec IP4 NATO ako zásadný príspevok k posilneniu európskej bezpečnosti a prehĺbeniu medziregionálnej spolupráce doplnkovým a vzájomne sa posilňujúcim spôsobom; posilniť angažovanosť a koordináciu EÚ s kľúčovými regionálnymi bezpečnostnými iniciatívami v indicko-tichomorskom regióne vrátane štvorstranného bezpečnostného dialógu medzi Spojenými štátmi, Austráliou, Indiou a Japonskom; vypracovať komplexnú, koherentnú a flexibilnú novú indicko-tichomorskú stratégiu, ktorá bude pevne zakorenená v európskych hodnotách a záujmoch, ako aj v realite, potrebách a prioritách regiónu;</w:t>
      </w:r>
    </w:p>
    <w:p w14:paraId="4CE07514" w14:textId="77777777" w:rsidR="00826D56" w:rsidRPr="009A7A25" w:rsidRDefault="00826D56" w:rsidP="00826D56">
      <w:pPr>
        <w:pStyle w:val="NormalHanging12a"/>
        <w:ind w:left="1134"/>
        <w:rPr>
          <w:bCs/>
          <w:iCs/>
        </w:rPr>
      </w:pPr>
      <w:r w:rsidRPr="009A7A25">
        <w:t>z)</w:t>
      </w:r>
      <w:r w:rsidRPr="009A7A25">
        <w:tab/>
        <w:t xml:space="preserve">stavať na </w:t>
      </w:r>
      <w:proofErr w:type="spellStart"/>
      <w:r w:rsidRPr="009A7A25">
        <w:t>geostrategickej</w:t>
      </w:r>
      <w:proofErr w:type="spellEnd"/>
      <w:r w:rsidRPr="009A7A25">
        <w:t xml:space="preserve"> polohe ZKÚ v indicko-tichomorskom regióne tak, aby mohli slúžiť ako predsunuté platformy pre spoluprácu s regionálnymi partnermi, najmä v oblasti obchodu, digitálneho prepojenia, kritickej infraštruktúry a vesmírnych aktivít;</w:t>
      </w:r>
    </w:p>
    <w:p w14:paraId="59F85E13" w14:textId="77777777" w:rsidR="00826D56" w:rsidRPr="009A7A25" w:rsidRDefault="00826D56" w:rsidP="00826D56">
      <w:pPr>
        <w:pStyle w:val="NormalHanging12a"/>
        <w:ind w:left="1134"/>
        <w:rPr>
          <w:bCs/>
          <w:iCs/>
        </w:rPr>
      </w:pPr>
      <w:proofErr w:type="spellStart"/>
      <w:r w:rsidRPr="009A7A25">
        <w:t>aa</w:t>
      </w:r>
      <w:proofErr w:type="spellEnd"/>
      <w:r w:rsidRPr="009A7A25">
        <w:t>)</w:t>
      </w:r>
      <w:r w:rsidRPr="009A7A25">
        <w:tab/>
        <w:t>zdôrazňovať dôležitú úlohu združenia ASEAN pri zabezpečovaní stability a podpore spoločenskej a hospodárskej integrácie; vítať rastúcu angažovanosť Japonska a Kórejskej republiky v združení ASEAN, a to aj prostredníctvom pravidelných bilaterálnych a multilaterálnych samitov; zdôrazňovať zásadný význam združenia ASEAN pri zabezpečovaní mierového a prosperujúceho indicko-tichomorského regiónu; zintenzívniť štruktúrovanú spoluprácu so združením ASEAN s cieľom vybudovať inkluzívnu regionálnu bezpečnostnú architektúru, koordinovať multilaterálne politické reakcie a ďalej upevňovať prítomnosť EÚ v regióne prehĺbením spolupráce so združením ASEAN a jeho členskými štátmi, a to aj prostredníctvom posilnených dialógov o bezpečnosti a obrane s Vietnamom a Filipínami; podporovať posilnenie úlohy Únie a jej zviditeľnenie v regionálnych formátoch, najmä v rámci spolupráce so združením ASEAN, pričom za prioritné oblasti rozšírenej spolupráce treba určiť námornú bezpečnosť a ochranu, kybernetickú bezpečnosť a krízové riadenie a opierať sa pritom o iniciatívy, ako sú ESIWA+, CRIMARIO II a projekty globálnej bezpečnosti prístavov;</w:t>
      </w:r>
    </w:p>
    <w:p w14:paraId="283DE8A1" w14:textId="77777777" w:rsidR="00826D56" w:rsidRPr="009A7A25" w:rsidRDefault="00826D56" w:rsidP="00826D56">
      <w:pPr>
        <w:pStyle w:val="NormalHanging12a"/>
        <w:ind w:left="1134"/>
      </w:pPr>
      <w:proofErr w:type="spellStart"/>
      <w:r w:rsidRPr="009A7A25">
        <w:t>ab</w:t>
      </w:r>
      <w:proofErr w:type="spellEnd"/>
      <w:r w:rsidRPr="009A7A25">
        <w:t>)</w:t>
      </w:r>
      <w:r w:rsidRPr="009A7A25">
        <w:tab/>
        <w:t>rozšíriť spoločnú činnosť v oblasti netradičnej bezpečnosti, ako je pátranie a záchrana, reakcia na katastrofy a environmentálne incidenty; začať štruktúrovanú iniciatívu na posilnenie ochrany a odolnosti kritickej námornej infraštruktúry vrátane podmorských káblov, potrubí a prístavov; zvýšiť povedomie o námornej oblasti prostredníctvom cieleného budovania kapacít, odbornej prípravy, senzorov a zdieľania údajov v spolupráci s pobrežnými strážami združenia ASEAN a regionálnymi centrami syntézy;</w:t>
      </w:r>
    </w:p>
    <w:p w14:paraId="6A122747" w14:textId="77777777" w:rsidR="00826D56" w:rsidRPr="009A7A25" w:rsidRDefault="00826D56" w:rsidP="00826D56">
      <w:pPr>
        <w:pStyle w:val="NormalHanging12a"/>
        <w:ind w:left="1134"/>
        <w:rPr>
          <w:bCs/>
          <w:iCs/>
        </w:rPr>
      </w:pPr>
      <w:proofErr w:type="spellStart"/>
      <w:r w:rsidRPr="009A7A25">
        <w:lastRenderedPageBreak/>
        <w:t>ac</w:t>
      </w:r>
      <w:proofErr w:type="spellEnd"/>
      <w:r w:rsidRPr="009A7A25">
        <w:t>)</w:t>
      </w:r>
      <w:r w:rsidRPr="009A7A25">
        <w:tab/>
        <w:t>podporovať posilňovanie medziľudských väzieb prostredníctvom cielených programov mobility pre výskumníkov, inžinierov a odborníkov v oblasti kybernetickej bezpečnosti, ako aj prostredníctvom štruktúrovaných iniciatív vytvárania partnerstiev medzi európskymi a východoázijskými inovačnými centrami; zlepšovať vzájomné porozumenie spoločných hodnôt medzi študentmi z oboch regiónov prehlbovaním, rozširovaním a posilňovaním vzdelávacích programov, ako je Erasmus+, s podobne zmýšľajúcimi partnermi v regióne; posilniť výmeny medzi parlamentmi, štátnymi zamestnancami, miestnymi orgánmi a občianskou spoločnosťou; zvýšiť podporu jazykového vzdelávania, kultúrnych výmen a iniciatív pod vedením mládeže s cieľom vybudovať dlhodobú spoločenskú odolnosť a dôveru medzi oboma regiónmi;</w:t>
      </w:r>
    </w:p>
    <w:p w14:paraId="5579B0E0" w14:textId="77777777" w:rsidR="00826D56" w:rsidRPr="009A7A25" w:rsidRDefault="00826D56" w:rsidP="00826D56">
      <w:pPr>
        <w:pStyle w:val="NormalHanging12a"/>
        <w:ind w:left="1134"/>
        <w:rPr>
          <w:bCs/>
          <w:iCs/>
        </w:rPr>
      </w:pPr>
      <w:r w:rsidRPr="009A7A25">
        <w:t>ad)</w:t>
      </w:r>
      <w:r w:rsidRPr="009A7A25">
        <w:tab/>
        <w:t>rozšíriť spoluprácu v rámci programu Horizont Európa s cieľom posilniť vzájomne prospešnú spoluprácu v oblasti vedy a techniky, pričom sa pozitívne zohľadnia skutočnosti, že Kórejská republika sa v júli 2025 stala prvou ázijskou krajinou, ktorá sa pridala k pilieru II programu Horizont Európa, a že EÚ v decembri 2025 úspešne ukončila rokovania s Japonskom o jeho pridružení k programu Horizont Európa; zvážiť začatie rokovaní v rámci programu Horizont Európa s Taiwanom; podporovať zviditeľnenie EÚ v celom regióne prostredníctvom zmysluplného úsilia v oblasti kultúry a verejnej diplomacie;</w:t>
      </w:r>
    </w:p>
    <w:p w14:paraId="3883524C" w14:textId="77777777" w:rsidR="00826D56" w:rsidRPr="009A7A25" w:rsidRDefault="00826D56" w:rsidP="00826D56">
      <w:pPr>
        <w:pStyle w:val="NormalHanging12a"/>
        <w:rPr>
          <w:bCs/>
          <w:iCs/>
        </w:rPr>
      </w:pPr>
      <w:r w:rsidRPr="009A7A25">
        <w:t>2.</w:t>
      </w:r>
      <w:r w:rsidRPr="009A7A25">
        <w:tab/>
        <w:t>so záujmom očakáva prehĺbenie parlamentnej diplomacie a medziparlamentnej výmeny o otázkach spoločného záujmu s Národným zhromaždením Japonska, Národným zhromaždením Kórejskej republiky a poslancami zákonodarného zboru Taiwanu; je presvedčený, že posilnenie strategických partnerstiev s Japonskom a Kórejskou republikou v posledných rokoch by sa malo odraziť v posilnení väzieb na medziparlamentnej úrovni; domnieva sa, že komplexnému programu spolupráce s oboma krajinami by prospeli pravidelné a štruktúrované výmeny medzi poslancami; okrem toho sa domnieva, že by sa malo preskúmať zriadenie spoločného parlamentného výboru EÚ – Japonsko a spoločného parlamentného výboru EÚ – Kórejská republika;</w:t>
      </w:r>
    </w:p>
    <w:p w14:paraId="20F90E0B" w14:textId="30E6A770" w:rsidR="009D6672" w:rsidRPr="009A7A25" w:rsidRDefault="00826D56" w:rsidP="009D6672">
      <w:pPr>
        <w:pStyle w:val="NormalHanging12a"/>
      </w:pPr>
      <w:r w:rsidRPr="009A7A25">
        <w:t>3.</w:t>
      </w:r>
      <w:r w:rsidRPr="009A7A25">
        <w:tab/>
        <w:t>poveruje svoju predsedníčku, aby postúpila toto odporúčanie Rade, Komisii, podpredsedníčke Komisie/vysokej predstaviteľke Únie pre zahraničné veci a bezpečnostnú politiku, vládam a parlamentom členských štátov, vláde a parlamentu Japonska, vláde a parlamentu Kórejskej republiky a vláde a parlamentu Taiwanu a sekretariátu a členským štátom Združenia národov juhovýchodnej Ázie.</w:t>
      </w:r>
    </w:p>
    <w:p w14:paraId="47883BE8" w14:textId="0EF298E4" w:rsidR="00E365E1" w:rsidRPr="009A7A25" w:rsidRDefault="00E365E1" w:rsidP="00982E1F"/>
    <w:sectPr w:rsidR="00E365E1" w:rsidRPr="009A7A25" w:rsidSect="009D66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86852" w14:textId="77777777" w:rsidR="00982E1F" w:rsidRPr="009D6672" w:rsidRDefault="00982E1F">
      <w:r w:rsidRPr="009D6672">
        <w:separator/>
      </w:r>
    </w:p>
  </w:endnote>
  <w:endnote w:type="continuationSeparator" w:id="0">
    <w:p w14:paraId="16CCC362" w14:textId="77777777" w:rsidR="00982E1F" w:rsidRPr="009D6672" w:rsidRDefault="00982E1F">
      <w:r w:rsidRPr="009D667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C7459" w14:textId="77777777" w:rsidR="00064002" w:rsidRPr="009D667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A067E" w14:textId="77777777" w:rsidR="00064002" w:rsidRPr="009D667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803C7" w14:textId="77777777" w:rsidR="00064002" w:rsidRPr="009D667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86067" w14:textId="77777777" w:rsidR="00982E1F" w:rsidRPr="009D6672" w:rsidRDefault="00982E1F">
      <w:r w:rsidRPr="009D6672">
        <w:separator/>
      </w:r>
    </w:p>
  </w:footnote>
  <w:footnote w:type="continuationSeparator" w:id="0">
    <w:p w14:paraId="2DF51F83" w14:textId="77777777" w:rsidR="00982E1F" w:rsidRPr="009D6672" w:rsidRDefault="00982E1F">
      <w:r w:rsidRPr="009D6672">
        <w:continuationSeparator/>
      </w:r>
    </w:p>
  </w:footnote>
  <w:footnote w:id="1">
    <w:p w14:paraId="32E0CAB1" w14:textId="7A7D919C" w:rsidR="00826D56" w:rsidRPr="009D6672" w:rsidRDefault="00826D56" w:rsidP="009D6672">
      <w:pPr>
        <w:pStyle w:val="FootnoteText"/>
        <w:ind w:left="567" w:hanging="567"/>
        <w:rPr>
          <w:sz w:val="24"/>
          <w:lang w:val="sk-SK"/>
        </w:rPr>
      </w:pPr>
      <w:r w:rsidRPr="009D6672">
        <w:rPr>
          <w:rStyle w:val="FootnoteReference"/>
          <w:sz w:val="24"/>
          <w:lang w:val="sk-SK"/>
        </w:rPr>
        <w:footnoteRef/>
      </w:r>
      <w:r w:rsidR="009D6672" w:rsidRPr="009D6672">
        <w:rPr>
          <w:sz w:val="24"/>
          <w:lang w:val="sk-SK"/>
        </w:rPr>
        <w:t xml:space="preserve"> </w:t>
      </w:r>
      <w:r w:rsidR="009D6672" w:rsidRPr="009D6672">
        <w:rPr>
          <w:sz w:val="24"/>
          <w:lang w:val="sk-SK"/>
        </w:rPr>
        <w:tab/>
      </w:r>
      <w:r w:rsidRPr="009D6672">
        <w:rPr>
          <w:sz w:val="24"/>
          <w:lang w:val="sk-SK"/>
        </w:rPr>
        <w:t>Ú. v. EÚ L 216, 24.8.2018, s. 4, ELI: </w:t>
      </w:r>
      <w:hyperlink r:id="rId1" w:tooltip="Umožňuje prístup k tomuto dokumentu prostredníctvom identifikátora URI používaného v rámci ELI." w:history="1">
        <w:r w:rsidRPr="009D6672">
          <w:rPr>
            <w:rStyle w:val="Hyperlink"/>
            <w:sz w:val="24"/>
            <w:lang w:val="sk-SK"/>
          </w:rPr>
          <w:t>http://data.europa.eu/eli/agree_internation/2018/1197/oj</w:t>
        </w:r>
      </w:hyperlink>
      <w:r w:rsidRPr="009D6672">
        <w:rPr>
          <w:sz w:val="24"/>
          <w:lang w:val="sk-SK"/>
        </w:rPr>
        <w:t>.</w:t>
      </w:r>
    </w:p>
  </w:footnote>
  <w:footnote w:id="2">
    <w:p w14:paraId="74CCB10E" w14:textId="6C5D66B9" w:rsidR="00826D56" w:rsidRPr="009D6672" w:rsidRDefault="00826D56" w:rsidP="009D6672">
      <w:pPr>
        <w:pStyle w:val="FootnoteText"/>
        <w:ind w:left="567" w:hanging="567"/>
        <w:rPr>
          <w:sz w:val="24"/>
          <w:lang w:val="sk-SK"/>
        </w:rPr>
      </w:pPr>
      <w:r w:rsidRPr="009D6672">
        <w:rPr>
          <w:rStyle w:val="FootnoteReference"/>
          <w:sz w:val="24"/>
          <w:lang w:val="sk-SK"/>
        </w:rPr>
        <w:footnoteRef/>
      </w:r>
      <w:r w:rsidR="009D6672" w:rsidRPr="009D6672">
        <w:rPr>
          <w:sz w:val="24"/>
          <w:lang w:val="sk-SK"/>
        </w:rPr>
        <w:t xml:space="preserve"> </w:t>
      </w:r>
      <w:r w:rsidR="009D6672" w:rsidRPr="009D6672">
        <w:rPr>
          <w:sz w:val="24"/>
          <w:lang w:val="sk-SK"/>
        </w:rPr>
        <w:tab/>
      </w:r>
      <w:r w:rsidRPr="009D6672">
        <w:rPr>
          <w:sz w:val="24"/>
          <w:lang w:val="sk-SK"/>
        </w:rPr>
        <w:t>Ú. v. EÚ L 20, 23.1.2013, s. 2.</w:t>
      </w:r>
    </w:p>
  </w:footnote>
  <w:footnote w:id="3">
    <w:p w14:paraId="6BB14E3C" w14:textId="27E13A3E" w:rsidR="00826D56" w:rsidRPr="009D6672" w:rsidRDefault="00826D56" w:rsidP="009D6672">
      <w:pPr>
        <w:pStyle w:val="FootnoteText"/>
        <w:ind w:left="567" w:hanging="567"/>
        <w:rPr>
          <w:sz w:val="24"/>
          <w:lang w:val="sk-SK"/>
        </w:rPr>
      </w:pPr>
      <w:r w:rsidRPr="009D6672">
        <w:rPr>
          <w:rStyle w:val="FootnoteReference"/>
          <w:sz w:val="24"/>
          <w:lang w:val="sk-SK"/>
        </w:rPr>
        <w:footnoteRef/>
      </w:r>
      <w:r w:rsidR="009D6672" w:rsidRPr="009D6672">
        <w:rPr>
          <w:sz w:val="24"/>
          <w:lang w:val="sk-SK"/>
        </w:rPr>
        <w:t xml:space="preserve"> </w:t>
      </w:r>
      <w:r w:rsidR="009D6672" w:rsidRPr="009D6672">
        <w:rPr>
          <w:sz w:val="24"/>
          <w:lang w:val="sk-SK"/>
        </w:rPr>
        <w:tab/>
      </w:r>
      <w:r w:rsidRPr="009D6672">
        <w:rPr>
          <w:sz w:val="24"/>
          <w:lang w:val="sk-SK"/>
        </w:rPr>
        <w:t xml:space="preserve">Ú. v. EÚ L 330, 27.12.2018, s. </w:t>
      </w:r>
      <w:r w:rsidRPr="009D6672">
        <w:rPr>
          <w:sz w:val="24"/>
          <w:lang w:val="sk-SK"/>
        </w:rPr>
        <w:t xml:space="preserve">3, ELI: </w:t>
      </w:r>
      <w:hyperlink r:id="rId2" w:history="1">
        <w:r w:rsidRPr="009D6672">
          <w:rPr>
            <w:rStyle w:val="Hyperlink"/>
            <w:sz w:val="24"/>
            <w:lang w:val="sk-SK"/>
          </w:rPr>
          <w:t>http://data.europa.eu/eli/agree_internation/2018/1907/oj</w:t>
        </w:r>
      </w:hyperlink>
      <w:r w:rsidRPr="009D6672">
        <w:rPr>
          <w:sz w:val="24"/>
          <w:lang w:val="sk-SK"/>
        </w:rPr>
        <w:t>.</w:t>
      </w:r>
    </w:p>
  </w:footnote>
  <w:footnote w:id="4">
    <w:p w14:paraId="0C134039" w14:textId="1460B66C" w:rsidR="00826D56" w:rsidRPr="009D6672" w:rsidRDefault="00826D56" w:rsidP="009D6672">
      <w:pPr>
        <w:pStyle w:val="FootnoteText"/>
        <w:ind w:left="567" w:hanging="567"/>
        <w:rPr>
          <w:sz w:val="24"/>
          <w:lang w:val="sk-SK"/>
        </w:rPr>
      </w:pPr>
      <w:r w:rsidRPr="009D6672">
        <w:rPr>
          <w:rStyle w:val="FootnoteReference"/>
          <w:sz w:val="24"/>
          <w:lang w:val="sk-SK"/>
        </w:rPr>
        <w:footnoteRef/>
      </w:r>
      <w:r w:rsidR="009D6672" w:rsidRPr="009D6672">
        <w:rPr>
          <w:sz w:val="24"/>
          <w:lang w:val="sk-SK"/>
        </w:rPr>
        <w:t xml:space="preserve"> </w:t>
      </w:r>
      <w:r w:rsidR="009D6672" w:rsidRPr="009D6672">
        <w:rPr>
          <w:sz w:val="24"/>
          <w:lang w:val="sk-SK"/>
        </w:rPr>
        <w:tab/>
      </w:r>
      <w:r w:rsidRPr="009D6672">
        <w:rPr>
          <w:sz w:val="24"/>
          <w:lang w:val="sk-SK"/>
        </w:rPr>
        <w:t xml:space="preserve">Ú. v. EÚ L 127, 14.5.2011, s. </w:t>
      </w:r>
      <w:r w:rsidRPr="009D6672">
        <w:rPr>
          <w:sz w:val="24"/>
          <w:lang w:val="sk-SK"/>
        </w:rPr>
        <w:t>6, ELI: </w:t>
      </w:r>
      <w:hyperlink r:id="rId3" w:tooltip="Umožňuje prístup k tomuto dokumentu prostredníctvom identifikátora URI používaného v rámci ELI." w:history="1">
        <w:r w:rsidRPr="009D6672">
          <w:rPr>
            <w:rStyle w:val="Hyperlink"/>
            <w:sz w:val="24"/>
            <w:lang w:val="sk-SK"/>
          </w:rPr>
          <w:t>http://data.europa.eu/eli/agree_internation/2011/265/oj</w:t>
        </w:r>
      </w:hyperlink>
      <w:r w:rsidRPr="009D6672">
        <w:rPr>
          <w:sz w:val="24"/>
          <w:lang w:val="sk-SK"/>
        </w:rPr>
        <w:t>.</w:t>
      </w:r>
    </w:p>
  </w:footnote>
  <w:footnote w:id="5">
    <w:p w14:paraId="599377E3" w14:textId="7230CD3D" w:rsidR="00826D56" w:rsidRPr="009D6672" w:rsidRDefault="00826D56" w:rsidP="009D6672">
      <w:pPr>
        <w:pStyle w:val="FootnoteText"/>
        <w:ind w:left="567" w:hanging="567"/>
        <w:rPr>
          <w:sz w:val="24"/>
          <w:lang w:val="sk-SK"/>
        </w:rPr>
      </w:pPr>
      <w:r w:rsidRPr="009D6672">
        <w:rPr>
          <w:rStyle w:val="FootnoteReference"/>
          <w:sz w:val="24"/>
          <w:lang w:val="sk-SK"/>
        </w:rPr>
        <w:footnoteRef/>
      </w:r>
      <w:r w:rsidR="009D6672" w:rsidRPr="009D6672">
        <w:rPr>
          <w:sz w:val="24"/>
          <w:lang w:val="sk-SK"/>
        </w:rPr>
        <w:t xml:space="preserve"> </w:t>
      </w:r>
      <w:r w:rsidR="009D6672" w:rsidRPr="009D6672">
        <w:rPr>
          <w:sz w:val="24"/>
          <w:lang w:val="sk-SK"/>
        </w:rPr>
        <w:tab/>
      </w:r>
      <w:r w:rsidRPr="009D6672">
        <w:rPr>
          <w:sz w:val="24"/>
          <w:lang w:val="sk-SK"/>
        </w:rPr>
        <w:t>Ú. v. EÚ C 493, 27.12.2022, s. 32.</w:t>
      </w:r>
    </w:p>
  </w:footnote>
  <w:footnote w:id="6">
    <w:p w14:paraId="096B2D9D" w14:textId="5C1F8203" w:rsidR="00826D56" w:rsidRPr="009D6672" w:rsidRDefault="00826D56" w:rsidP="009D6672">
      <w:pPr>
        <w:pStyle w:val="FootnoteText"/>
        <w:ind w:left="567" w:hanging="567"/>
        <w:rPr>
          <w:sz w:val="24"/>
          <w:lang w:val="sk-SK"/>
        </w:rPr>
      </w:pPr>
      <w:r w:rsidRPr="009D6672">
        <w:rPr>
          <w:rStyle w:val="FootnoteReference"/>
          <w:sz w:val="24"/>
          <w:lang w:val="sk-SK"/>
        </w:rPr>
        <w:footnoteRef/>
      </w:r>
      <w:r w:rsidR="009D6672" w:rsidRPr="009D6672">
        <w:rPr>
          <w:sz w:val="24"/>
          <w:lang w:val="sk-SK"/>
        </w:rPr>
        <w:t xml:space="preserve"> </w:t>
      </w:r>
      <w:r w:rsidR="009D6672" w:rsidRPr="009D6672">
        <w:rPr>
          <w:sz w:val="24"/>
          <w:lang w:val="sk-SK"/>
        </w:rPr>
        <w:tab/>
      </w:r>
      <w:r w:rsidRPr="009D6672">
        <w:rPr>
          <w:sz w:val="24"/>
          <w:lang w:val="sk-SK"/>
        </w:rPr>
        <w:t>Ú. v. </w:t>
      </w:r>
      <w:r w:rsidRPr="009D6672">
        <w:rPr>
          <w:sz w:val="24"/>
          <w:lang w:val="sk-SK"/>
        </w:rPr>
        <w:t xml:space="preserve">EÚ C, C/2024/4167, 2.8.2024, ELI: </w:t>
      </w:r>
      <w:hyperlink r:id="rId4" w:history="1">
        <w:r w:rsidRPr="009D6672">
          <w:rPr>
            <w:rStyle w:val="Hyperlink"/>
            <w:sz w:val="24"/>
            <w:lang w:val="sk-SK"/>
          </w:rPr>
          <w:t>http://data.europa.eu/eli/C/2024/4167/oj</w:t>
        </w:r>
      </w:hyperlink>
      <w:r w:rsidRPr="009D6672">
        <w:rPr>
          <w:sz w:val="24"/>
          <w:lang w:val="sk-SK"/>
        </w:rPr>
        <w:t>.</w:t>
      </w:r>
    </w:p>
  </w:footnote>
  <w:footnote w:id="7">
    <w:p w14:paraId="6FC193F5" w14:textId="02961580" w:rsidR="00826D56" w:rsidRPr="009D6672" w:rsidRDefault="00826D56" w:rsidP="009D6672">
      <w:pPr>
        <w:pStyle w:val="FootnoteText"/>
        <w:ind w:left="567" w:hanging="567"/>
        <w:rPr>
          <w:sz w:val="24"/>
          <w:lang w:val="sk-SK"/>
        </w:rPr>
      </w:pPr>
      <w:r w:rsidRPr="009D6672">
        <w:rPr>
          <w:rStyle w:val="FootnoteReference"/>
          <w:sz w:val="24"/>
          <w:lang w:val="sk-SK"/>
        </w:rPr>
        <w:footnoteRef/>
      </w:r>
      <w:r w:rsidR="009D6672" w:rsidRPr="009D6672">
        <w:rPr>
          <w:sz w:val="24"/>
          <w:lang w:val="sk-SK"/>
        </w:rPr>
        <w:t xml:space="preserve"> </w:t>
      </w:r>
      <w:r w:rsidR="009D6672" w:rsidRPr="009D6672">
        <w:rPr>
          <w:sz w:val="24"/>
          <w:lang w:val="sk-SK"/>
        </w:rPr>
        <w:tab/>
      </w:r>
      <w:r w:rsidRPr="009D6672">
        <w:rPr>
          <w:sz w:val="24"/>
          <w:lang w:val="sk-SK"/>
        </w:rPr>
        <w:t>Prijaté texty, P10_TA(2026)0012.</w:t>
      </w:r>
    </w:p>
  </w:footnote>
  <w:footnote w:id="8">
    <w:p w14:paraId="7056197C" w14:textId="330E50C7" w:rsidR="00826D56" w:rsidRPr="009D6672" w:rsidRDefault="00826D56" w:rsidP="009D6672">
      <w:pPr>
        <w:pStyle w:val="FootnoteText"/>
        <w:ind w:left="567" w:hanging="567"/>
        <w:rPr>
          <w:sz w:val="24"/>
          <w:lang w:val="sk-SK"/>
        </w:rPr>
      </w:pPr>
      <w:r w:rsidRPr="009D6672">
        <w:rPr>
          <w:rStyle w:val="FootnoteReference"/>
          <w:sz w:val="24"/>
          <w:lang w:val="sk-SK"/>
        </w:rPr>
        <w:footnoteRef/>
      </w:r>
      <w:r w:rsidR="009D6672" w:rsidRPr="009D6672">
        <w:rPr>
          <w:sz w:val="24"/>
          <w:lang w:val="sk-SK"/>
        </w:rPr>
        <w:t xml:space="preserve"> </w:t>
      </w:r>
      <w:r w:rsidR="009D6672" w:rsidRPr="009D6672">
        <w:rPr>
          <w:sz w:val="24"/>
          <w:lang w:val="sk-SK"/>
        </w:rPr>
        <w:tab/>
      </w:r>
      <w:r w:rsidRPr="009D6672">
        <w:rPr>
          <w:sz w:val="24"/>
          <w:lang w:val="sk-SK"/>
        </w:rPr>
        <w:t>Ú. v. </w:t>
      </w:r>
      <w:r w:rsidRPr="009D6672">
        <w:rPr>
          <w:sz w:val="24"/>
          <w:lang w:val="sk-SK"/>
        </w:rPr>
        <w:t xml:space="preserve">EÚ C, C/2025/1809, 4.4.2025, ELI: </w:t>
      </w:r>
      <w:hyperlink r:id="rId5" w:history="1">
        <w:r w:rsidRPr="009D6672">
          <w:rPr>
            <w:rStyle w:val="Hyperlink"/>
            <w:sz w:val="24"/>
            <w:lang w:val="sk-SK"/>
          </w:rPr>
          <w:t>http://data.europa.eu/eli/C/2025/1809/oj</w:t>
        </w:r>
      </w:hyperlink>
      <w:r w:rsidRPr="009D6672">
        <w:rPr>
          <w:sz w:val="24"/>
          <w:lang w:val="sk-SK"/>
        </w:rPr>
        <w:t>.</w:t>
      </w:r>
    </w:p>
  </w:footnote>
  <w:footnote w:id="9">
    <w:p w14:paraId="321C9113" w14:textId="25A97E90" w:rsidR="00826D56" w:rsidRPr="009D6672" w:rsidRDefault="00826D56" w:rsidP="009D6672">
      <w:pPr>
        <w:pStyle w:val="FootnoteText"/>
        <w:ind w:left="567" w:hanging="567"/>
        <w:rPr>
          <w:sz w:val="24"/>
          <w:lang w:val="sk-SK"/>
        </w:rPr>
      </w:pPr>
      <w:r w:rsidRPr="009D6672">
        <w:rPr>
          <w:rStyle w:val="FootnoteReference"/>
          <w:sz w:val="24"/>
          <w:lang w:val="sk-SK"/>
        </w:rPr>
        <w:footnoteRef/>
      </w:r>
      <w:r w:rsidR="009D6672" w:rsidRPr="009D6672">
        <w:rPr>
          <w:sz w:val="24"/>
          <w:lang w:val="sk-SK"/>
        </w:rPr>
        <w:t xml:space="preserve"> </w:t>
      </w:r>
      <w:r w:rsidR="009D6672" w:rsidRPr="009D6672">
        <w:rPr>
          <w:sz w:val="24"/>
          <w:lang w:val="sk-SK"/>
        </w:rPr>
        <w:tab/>
      </w:r>
      <w:r w:rsidRPr="009D6672">
        <w:rPr>
          <w:sz w:val="24"/>
          <w:lang w:val="sk-SK"/>
        </w:rPr>
        <w:t xml:space="preserve">Ú. v. </w:t>
      </w:r>
      <w:r w:rsidRPr="009D6672">
        <w:rPr>
          <w:sz w:val="24"/>
          <w:lang w:val="sk-SK"/>
        </w:rPr>
        <w:t xml:space="preserve">EÚ C, C/2025/487, 29.1.2025, ELI: </w:t>
      </w:r>
      <w:hyperlink r:id="rId6" w:history="1">
        <w:r w:rsidRPr="009D6672">
          <w:rPr>
            <w:rStyle w:val="Hyperlink"/>
            <w:sz w:val="24"/>
            <w:lang w:val="sk-SK"/>
          </w:rPr>
          <w:t>http://data.europa.eu/eli/C/2025/487/oj</w:t>
        </w:r>
      </w:hyperlink>
      <w:r w:rsidRPr="009D6672">
        <w:rPr>
          <w:sz w:val="24"/>
          <w:lang w:val="sk-SK"/>
        </w:rPr>
        <w:t>.</w:t>
      </w:r>
    </w:p>
  </w:footnote>
  <w:footnote w:id="10">
    <w:p w14:paraId="0CF65674" w14:textId="43B5CAE2" w:rsidR="00826D56" w:rsidRPr="009D6672" w:rsidRDefault="00826D56" w:rsidP="009D6672">
      <w:pPr>
        <w:pStyle w:val="FootnoteText"/>
        <w:ind w:left="567" w:hanging="567"/>
        <w:rPr>
          <w:sz w:val="24"/>
          <w:lang w:val="sk-SK"/>
        </w:rPr>
      </w:pPr>
      <w:r w:rsidRPr="009D6672">
        <w:rPr>
          <w:rStyle w:val="FootnoteReference"/>
          <w:sz w:val="24"/>
          <w:lang w:val="sk-SK"/>
        </w:rPr>
        <w:footnoteRef/>
      </w:r>
      <w:r w:rsidR="009D6672" w:rsidRPr="009D6672">
        <w:rPr>
          <w:sz w:val="24"/>
          <w:lang w:val="sk-SK"/>
        </w:rPr>
        <w:t xml:space="preserve"> </w:t>
      </w:r>
      <w:r w:rsidR="009D6672" w:rsidRPr="009D6672">
        <w:rPr>
          <w:sz w:val="24"/>
          <w:lang w:val="sk-SK"/>
        </w:rPr>
        <w:tab/>
      </w:r>
      <w:r w:rsidRPr="009D6672">
        <w:rPr>
          <w:sz w:val="24"/>
          <w:lang w:val="sk-SK"/>
        </w:rPr>
        <w:t>Ú. v. </w:t>
      </w:r>
      <w:r w:rsidRPr="009D6672">
        <w:rPr>
          <w:sz w:val="24"/>
          <w:lang w:val="sk-SK"/>
        </w:rPr>
        <w:t xml:space="preserve">EÚ C, C/2024/4174, 2.8.2024, ELI: </w:t>
      </w:r>
      <w:hyperlink r:id="rId7" w:history="1">
        <w:r w:rsidRPr="009D6672">
          <w:rPr>
            <w:rStyle w:val="Hyperlink"/>
            <w:sz w:val="24"/>
            <w:lang w:val="sk-SK"/>
          </w:rPr>
          <w:t>http://data.europa.eu/eli/C/2024/4174/oj</w:t>
        </w:r>
      </w:hyperlink>
      <w:r w:rsidRPr="009D6672">
        <w:rPr>
          <w:sz w:val="24"/>
          <w:lang w:val="sk-SK"/>
        </w:rPr>
        <w:t>.</w:t>
      </w:r>
    </w:p>
  </w:footnote>
  <w:footnote w:id="11">
    <w:p w14:paraId="615F5DBB" w14:textId="7E709865" w:rsidR="00826D56" w:rsidRPr="009D6672" w:rsidRDefault="00826D56" w:rsidP="009D6672">
      <w:pPr>
        <w:pStyle w:val="FootnoteText"/>
        <w:ind w:left="567" w:hanging="567"/>
        <w:rPr>
          <w:sz w:val="24"/>
          <w:lang w:val="sk-SK"/>
        </w:rPr>
      </w:pPr>
      <w:r w:rsidRPr="009D6672">
        <w:rPr>
          <w:rStyle w:val="FootnoteReference"/>
          <w:sz w:val="24"/>
          <w:lang w:val="sk-SK"/>
        </w:rPr>
        <w:footnoteRef/>
      </w:r>
      <w:r w:rsidR="009D6672" w:rsidRPr="009D6672">
        <w:rPr>
          <w:sz w:val="24"/>
          <w:lang w:val="sk-SK"/>
        </w:rPr>
        <w:t xml:space="preserve"> </w:t>
      </w:r>
      <w:r w:rsidR="009D6672" w:rsidRPr="009D6672">
        <w:rPr>
          <w:sz w:val="24"/>
          <w:lang w:val="sk-SK"/>
        </w:rPr>
        <w:tab/>
      </w:r>
      <w:r w:rsidRPr="009D6672">
        <w:rPr>
          <w:sz w:val="24"/>
          <w:lang w:val="sk-SK"/>
        </w:rPr>
        <w:t>COM(2026)0100.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3A1B4" w14:textId="77777777" w:rsidR="00064002" w:rsidRPr="009D667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6821B" w14:textId="77777777" w:rsidR="00064002" w:rsidRPr="009D667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11986" w14:textId="77777777" w:rsidR="00064002" w:rsidRPr="009D667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54877974">
    <w:abstractNumId w:val="9"/>
  </w:num>
  <w:num w:numId="2" w16cid:durableId="1218315938">
    <w:abstractNumId w:val="9"/>
  </w:num>
  <w:num w:numId="3" w16cid:durableId="333269869">
    <w:abstractNumId w:val="7"/>
  </w:num>
  <w:num w:numId="4" w16cid:durableId="769856888">
    <w:abstractNumId w:val="7"/>
  </w:num>
  <w:num w:numId="5" w16cid:durableId="1411194326">
    <w:abstractNumId w:val="6"/>
  </w:num>
  <w:num w:numId="6" w16cid:durableId="2047370199">
    <w:abstractNumId w:val="6"/>
  </w:num>
  <w:num w:numId="7" w16cid:durableId="865361955">
    <w:abstractNumId w:val="5"/>
  </w:num>
  <w:num w:numId="8" w16cid:durableId="1093356764">
    <w:abstractNumId w:val="5"/>
  </w:num>
  <w:num w:numId="9" w16cid:durableId="924339223">
    <w:abstractNumId w:val="4"/>
  </w:num>
  <w:num w:numId="10" w16cid:durableId="1065952938">
    <w:abstractNumId w:val="4"/>
  </w:num>
  <w:num w:numId="11" w16cid:durableId="279341992">
    <w:abstractNumId w:val="8"/>
  </w:num>
  <w:num w:numId="12" w16cid:durableId="1527786943">
    <w:abstractNumId w:val="8"/>
  </w:num>
  <w:num w:numId="13" w16cid:durableId="1056664298">
    <w:abstractNumId w:val="3"/>
  </w:num>
  <w:num w:numId="14" w16cid:durableId="1317566901">
    <w:abstractNumId w:val="3"/>
  </w:num>
  <w:num w:numId="15" w16cid:durableId="744498684">
    <w:abstractNumId w:val="2"/>
  </w:num>
  <w:num w:numId="16" w16cid:durableId="1602488845">
    <w:abstractNumId w:val="2"/>
  </w:num>
  <w:num w:numId="17" w16cid:durableId="1078135235">
    <w:abstractNumId w:val="1"/>
  </w:num>
  <w:num w:numId="18" w16cid:durableId="893078656">
    <w:abstractNumId w:val="1"/>
  </w:num>
  <w:num w:numId="19" w16cid:durableId="382094793">
    <w:abstractNumId w:val="0"/>
  </w:num>
  <w:num w:numId="20" w16cid:durableId="1880163045">
    <w:abstractNumId w:val="0"/>
  </w:num>
  <w:num w:numId="21" w16cid:durableId="1536849245">
    <w:abstractNumId w:val="9"/>
  </w:num>
  <w:num w:numId="22" w16cid:durableId="1126504004">
    <w:abstractNumId w:val="7"/>
  </w:num>
  <w:num w:numId="23" w16cid:durableId="1019115439">
    <w:abstractNumId w:val="6"/>
  </w:num>
  <w:num w:numId="24" w16cid:durableId="1739665730">
    <w:abstractNumId w:val="5"/>
  </w:num>
  <w:num w:numId="25" w16cid:durableId="862013847">
    <w:abstractNumId w:val="4"/>
  </w:num>
  <w:num w:numId="26" w16cid:durableId="1894341637">
    <w:abstractNumId w:val="8"/>
  </w:num>
  <w:num w:numId="27" w16cid:durableId="759789687">
    <w:abstractNumId w:val="3"/>
  </w:num>
  <w:num w:numId="28" w16cid:durableId="465927040">
    <w:abstractNumId w:val="2"/>
  </w:num>
  <w:num w:numId="29" w16cid:durableId="698819984">
    <w:abstractNumId w:val="1"/>
  </w:num>
  <w:num w:numId="30" w16cid:durableId="1078359183">
    <w:abstractNumId w:val="0"/>
  </w:num>
  <w:num w:numId="31" w16cid:durableId="2067491878">
    <w:abstractNumId w:val="9"/>
  </w:num>
  <w:num w:numId="32" w16cid:durableId="1051538489">
    <w:abstractNumId w:val="7"/>
  </w:num>
  <w:num w:numId="33" w16cid:durableId="1710063025">
    <w:abstractNumId w:val="6"/>
  </w:num>
  <w:num w:numId="34" w16cid:durableId="329798610">
    <w:abstractNumId w:val="5"/>
  </w:num>
  <w:num w:numId="35" w16cid:durableId="261913305">
    <w:abstractNumId w:val="4"/>
  </w:num>
  <w:num w:numId="36" w16cid:durableId="1802724977">
    <w:abstractNumId w:val="8"/>
  </w:num>
  <w:num w:numId="37" w16cid:durableId="80372417">
    <w:abstractNumId w:val="3"/>
  </w:num>
  <w:num w:numId="38" w16cid:durableId="1882984584">
    <w:abstractNumId w:val="2"/>
  </w:num>
  <w:num w:numId="39" w16cid:durableId="79910067">
    <w:abstractNumId w:val="1"/>
  </w:num>
  <w:num w:numId="40" w16cid:durableId="1849831679">
    <w:abstractNumId w:val="0"/>
  </w:num>
  <w:num w:numId="41" w16cid:durableId="1279413644">
    <w:abstractNumId w:val="10"/>
  </w:num>
  <w:num w:numId="42" w16cid:durableId="1879198466">
    <w:abstractNumId w:val="10"/>
  </w:num>
  <w:num w:numId="43" w16cid:durableId="1753158447">
    <w:abstractNumId w:val="10"/>
  </w:num>
  <w:num w:numId="44" w16cid:durableId="5341957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9/2026"/>
    <w:docVar w:name="dvlangue" w:val="SK"/>
    <w:docVar w:name="dvnumam" w:val="39"/>
    <w:docVar w:name="dvpe" w:val="776.904"/>
    <w:docVar w:name="dvrapporteur" w:val="Spravodajca: "/>
    <w:docVar w:name="dvtitre" w:val="Odporúčanie Európskeho parlamentu Rade o odporúčaní Európskeho parlamentu Rade, Komisii a podpredsedníčke Komisie/vysokej predstaviteľke Únie pre zahraničné veci a bezpečnostnú politiku k meniacej sa geopolitickej situácii vo východnej Ázii a k potrebe užšej spolupráce s podobne zmýšľajúcimi partnermi v regióne(2025/2169(INI))"/>
  </w:docVars>
  <w:rsids>
    <w:rsidRoot w:val="00982E1F"/>
    <w:rsid w:val="00002272"/>
    <w:rsid w:val="00064002"/>
    <w:rsid w:val="000677B9"/>
    <w:rsid w:val="000831BA"/>
    <w:rsid w:val="000A42CC"/>
    <w:rsid w:val="000E7DD9"/>
    <w:rsid w:val="0010095E"/>
    <w:rsid w:val="00125B37"/>
    <w:rsid w:val="0013052B"/>
    <w:rsid w:val="00187494"/>
    <w:rsid w:val="001F32AE"/>
    <w:rsid w:val="0022373E"/>
    <w:rsid w:val="002767FF"/>
    <w:rsid w:val="002B18FE"/>
    <w:rsid w:val="002B5493"/>
    <w:rsid w:val="00343214"/>
    <w:rsid w:val="00361C00"/>
    <w:rsid w:val="0037505B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3B3D"/>
    <w:rsid w:val="006F74FA"/>
    <w:rsid w:val="00731ADD"/>
    <w:rsid w:val="00734777"/>
    <w:rsid w:val="00747932"/>
    <w:rsid w:val="00751A4A"/>
    <w:rsid w:val="00756632"/>
    <w:rsid w:val="00762C74"/>
    <w:rsid w:val="00775421"/>
    <w:rsid w:val="00786EC0"/>
    <w:rsid w:val="007D1690"/>
    <w:rsid w:val="007E22AD"/>
    <w:rsid w:val="00817416"/>
    <w:rsid w:val="00826D56"/>
    <w:rsid w:val="00842779"/>
    <w:rsid w:val="00865F67"/>
    <w:rsid w:val="00881A7B"/>
    <w:rsid w:val="008840E5"/>
    <w:rsid w:val="00887B3E"/>
    <w:rsid w:val="008C2AC6"/>
    <w:rsid w:val="0090221B"/>
    <w:rsid w:val="00930C23"/>
    <w:rsid w:val="0093193B"/>
    <w:rsid w:val="00935265"/>
    <w:rsid w:val="009509D8"/>
    <w:rsid w:val="00950B64"/>
    <w:rsid w:val="00981893"/>
    <w:rsid w:val="00982E1F"/>
    <w:rsid w:val="009A7A25"/>
    <w:rsid w:val="009D667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9DC"/>
    <w:rsid w:val="00BE6ADC"/>
    <w:rsid w:val="00C05BFE"/>
    <w:rsid w:val="00C23CD4"/>
    <w:rsid w:val="00C61C0C"/>
    <w:rsid w:val="00C941CB"/>
    <w:rsid w:val="00CC2357"/>
    <w:rsid w:val="00CF071A"/>
    <w:rsid w:val="00D058B8"/>
    <w:rsid w:val="00D540DA"/>
    <w:rsid w:val="00D56C11"/>
    <w:rsid w:val="00D834A0"/>
    <w:rsid w:val="00D872DF"/>
    <w:rsid w:val="00D91E21"/>
    <w:rsid w:val="00DA7FCD"/>
    <w:rsid w:val="00DF0A4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E7169C"/>
  <w15:chartTrackingRefBased/>
  <w15:docId w15:val="{383B6191-5C21-4648-BCE6-4BCDA70C5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26D56"/>
    <w:pPr>
      <w:spacing w:before="480" w:after="240"/>
    </w:pPr>
  </w:style>
  <w:style w:type="paragraph" w:customStyle="1" w:styleId="NormalHanging12a">
    <w:name w:val="NormalHanging12a"/>
    <w:basedOn w:val="Normal"/>
    <w:rsid w:val="00826D56"/>
    <w:pPr>
      <w:spacing w:after="240"/>
      <w:ind w:left="567" w:hanging="567"/>
    </w:pPr>
  </w:style>
  <w:style w:type="paragraph" w:customStyle="1" w:styleId="NormalHangingLeft12a">
    <w:name w:val="NormalHangingLeft12a"/>
    <w:basedOn w:val="Normal"/>
    <w:rsid w:val="00826D56"/>
    <w:pPr>
      <w:spacing w:after="240"/>
      <w:ind w:left="1134" w:hanging="567"/>
    </w:pPr>
  </w:style>
  <w:style w:type="character" w:styleId="Hyperlink">
    <w:name w:val="Hyperlink"/>
    <w:basedOn w:val="DefaultParagraphFont"/>
    <w:rsid w:val="00826D5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E69DC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agree_internation/2011/265/oj" TargetMode="External"/><Relationship Id="rId7" Type="http://schemas.openxmlformats.org/officeDocument/2006/relationships/hyperlink" Target="http://data.europa.eu/eli/C/2024/4174/oj" TargetMode="External"/><Relationship Id="rId2" Type="http://schemas.openxmlformats.org/officeDocument/2006/relationships/hyperlink" Target="http://data.europa.eu/eli/agree_internation/2018/1907/oj" TargetMode="External"/><Relationship Id="rId1" Type="http://schemas.openxmlformats.org/officeDocument/2006/relationships/hyperlink" Target="http://data.europa.eu/eli/agree_internation/2018/1197/oj" TargetMode="External"/><Relationship Id="rId6" Type="http://schemas.openxmlformats.org/officeDocument/2006/relationships/hyperlink" Target="http://data.europa.eu/eli/C/2025/487/oj" TargetMode="External"/><Relationship Id="rId5" Type="http://schemas.openxmlformats.org/officeDocument/2006/relationships/hyperlink" Target="http://data.europa.eu/eli/C/2025/1809/oj" TargetMode="External"/><Relationship Id="rId4" Type="http://schemas.openxmlformats.org/officeDocument/2006/relationships/hyperlink" Target="http://data.europa.eu/eli/C/2024/41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5895</Words>
  <Characters>38552</Characters>
  <Application>Microsoft Office Word</Application>
  <DocSecurity>0</DocSecurity>
  <Lines>321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2026-07-07T13:23:00Z</dcterms:created>
  <dcterms:modified xsi:type="dcterms:W3CDTF">2026-07-07T13:23:00Z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A10-0189/2026</vt:lpwstr>
  </property>
  <property fmtid="{D5CDD505-2E9C-101B-9397-08002B2CF9AE}" pid="4" name="&lt;Type&gt;">
    <vt:lpwstr>RR</vt:lpwstr>
  </property>
</Properties>
</file>