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1CC2" w14:paraId="1F4A411D" w14:textId="77777777" w:rsidTr="0010095E">
        <w:trPr>
          <w:trHeight w:hRule="exact" w:val="1418"/>
        </w:trPr>
        <w:tc>
          <w:tcPr>
            <w:tcW w:w="6804" w:type="dxa"/>
            <w:shd w:val="clear" w:color="auto" w:fill="auto"/>
            <w:vAlign w:val="center"/>
          </w:tcPr>
          <w:p w14:paraId="7D78EDB4" w14:textId="0AB940B1" w:rsidR="00751A4A" w:rsidRPr="00451CC2" w:rsidRDefault="000A5280" w:rsidP="0010095E">
            <w:pPr>
              <w:pStyle w:val="EPName"/>
            </w:pPr>
            <w:r w:rsidRPr="00451CC2">
              <w:t>Evropski parlament</w:t>
            </w:r>
          </w:p>
          <w:p w14:paraId="23441777" w14:textId="77777777" w:rsidR="00751A4A" w:rsidRPr="00451CC2" w:rsidRDefault="005F1B17" w:rsidP="005F1B17">
            <w:pPr>
              <w:pStyle w:val="EPTerm"/>
              <w:rPr>
                <w:rStyle w:val="HideTWBExt"/>
                <w:noProof w:val="0"/>
                <w:vanish w:val="0"/>
                <w:color w:val="auto"/>
              </w:rPr>
            </w:pPr>
            <w:r w:rsidRPr="00451CC2">
              <w:t>2024</w:t>
            </w:r>
            <w:r w:rsidR="00817416" w:rsidRPr="00451CC2">
              <w:t>-202</w:t>
            </w:r>
            <w:r w:rsidRPr="00451CC2">
              <w:t>9</w:t>
            </w:r>
          </w:p>
        </w:tc>
        <w:tc>
          <w:tcPr>
            <w:tcW w:w="2268" w:type="dxa"/>
            <w:shd w:val="clear" w:color="auto" w:fill="auto"/>
          </w:tcPr>
          <w:p w14:paraId="0644FA7D" w14:textId="77777777" w:rsidR="00751A4A" w:rsidRPr="00451CC2" w:rsidRDefault="00187494" w:rsidP="0010095E">
            <w:pPr>
              <w:pStyle w:val="EPLogo"/>
            </w:pPr>
            <w:r w:rsidRPr="00451CC2">
              <w:rPr>
                <w:noProof/>
                <w:lang w:eastAsia="ja-JP"/>
              </w:rPr>
              <w:drawing>
                <wp:inline distT="0" distB="0" distL="0" distR="0" wp14:anchorId="040AAD3B" wp14:editId="28A450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0B5BF" w14:textId="77777777" w:rsidR="00D058B8" w:rsidRPr="00451CC2" w:rsidRDefault="00D058B8" w:rsidP="004C5D52">
      <w:pPr>
        <w:pStyle w:val="LineTop"/>
      </w:pPr>
    </w:p>
    <w:p w14:paraId="5C3953C6" w14:textId="3ADB75BB" w:rsidR="00680577" w:rsidRPr="00451CC2" w:rsidRDefault="000A5280" w:rsidP="00680577">
      <w:pPr>
        <w:pStyle w:val="EPBodyTA1"/>
      </w:pPr>
      <w:r w:rsidRPr="00451CC2">
        <w:t>SPREJETA BESEDILA</w:t>
      </w:r>
    </w:p>
    <w:p w14:paraId="1E4FC8A5" w14:textId="77777777" w:rsidR="00D058B8" w:rsidRPr="00451CC2" w:rsidRDefault="00D058B8" w:rsidP="00D058B8">
      <w:pPr>
        <w:pStyle w:val="LineBottom"/>
      </w:pPr>
    </w:p>
    <w:p w14:paraId="64753D47" w14:textId="4133BF92" w:rsidR="000A5280" w:rsidRPr="00451CC2" w:rsidRDefault="000A5280" w:rsidP="000A5280">
      <w:pPr>
        <w:pStyle w:val="ATHeading1"/>
      </w:pPr>
      <w:bookmarkStart w:id="0" w:name="TANumber"/>
      <w:r w:rsidRPr="00451CC2">
        <w:t>P10_TA(2026)0</w:t>
      </w:r>
      <w:bookmarkEnd w:id="0"/>
      <w:r w:rsidR="00451CC2" w:rsidRPr="00451CC2">
        <w:t>246</w:t>
      </w:r>
    </w:p>
    <w:p w14:paraId="5AEBB9B7" w14:textId="77777777" w:rsidR="000A5280" w:rsidRPr="00451CC2" w:rsidRDefault="000A5280" w:rsidP="000A5280">
      <w:pPr>
        <w:pStyle w:val="ATHeading2"/>
      </w:pPr>
      <w:bookmarkStart w:id="1" w:name="title"/>
      <w:r w:rsidRPr="00451CC2">
        <w:t>Priporočilo o spreminjajočih se geopolitičnih razmerah v vzhodni Aziji in nujnosti tesnejšega sodelovanja s podobno mislečimi partnerji v regiji</w:t>
      </w:r>
      <w:bookmarkEnd w:id="1"/>
    </w:p>
    <w:p w14:paraId="23B9AC4D" w14:textId="77777777" w:rsidR="000A5280" w:rsidRPr="00451CC2" w:rsidRDefault="000A5280" w:rsidP="000A5280">
      <w:pPr>
        <w:rPr>
          <w:i/>
          <w:vanish/>
        </w:rPr>
      </w:pPr>
      <w:r w:rsidRPr="00451CC2">
        <w:rPr>
          <w:i/>
        </w:rPr>
        <w:fldChar w:fldCharType="begin"/>
      </w:r>
      <w:r w:rsidRPr="00451CC2">
        <w:rPr>
          <w:i/>
        </w:rPr>
        <w:instrText xml:space="preserve"> TC"(</w:instrText>
      </w:r>
      <w:bookmarkStart w:id="2" w:name="DocNumber"/>
      <w:r w:rsidRPr="00451CC2">
        <w:rPr>
          <w:i/>
        </w:rPr>
        <w:instrText>A10-0189/2026</w:instrText>
      </w:r>
      <w:bookmarkEnd w:id="2"/>
      <w:r w:rsidRPr="00451CC2">
        <w:rPr>
          <w:i/>
        </w:rPr>
        <w:instrText xml:space="preserve"> - Poročevalec: Adam Bielan)"\l3 \n&gt; \* MERGEFORMAT </w:instrText>
      </w:r>
      <w:r w:rsidRPr="00451CC2">
        <w:rPr>
          <w:i/>
        </w:rPr>
        <w:fldChar w:fldCharType="end"/>
      </w:r>
    </w:p>
    <w:p w14:paraId="3B8854FB" w14:textId="77777777" w:rsidR="000A5280" w:rsidRPr="00451CC2" w:rsidRDefault="000A5280" w:rsidP="000A5280">
      <w:pPr>
        <w:rPr>
          <w:vanish/>
        </w:rPr>
      </w:pPr>
      <w:bookmarkStart w:id="3" w:name="Commission"/>
      <w:r w:rsidRPr="00451CC2">
        <w:rPr>
          <w:vanish/>
        </w:rPr>
        <w:t>Odbor za zunanje zadeve</w:t>
      </w:r>
      <w:bookmarkEnd w:id="3"/>
    </w:p>
    <w:p w14:paraId="15AE1ED0" w14:textId="77777777" w:rsidR="000A5280" w:rsidRPr="00451CC2" w:rsidRDefault="000A5280" w:rsidP="000A5280">
      <w:pPr>
        <w:rPr>
          <w:vanish/>
        </w:rPr>
      </w:pPr>
      <w:bookmarkStart w:id="4" w:name="PE"/>
      <w:r w:rsidRPr="00451CC2">
        <w:rPr>
          <w:vanish/>
        </w:rPr>
        <w:t>PE776.904</w:t>
      </w:r>
      <w:bookmarkEnd w:id="4"/>
    </w:p>
    <w:p w14:paraId="7824AD8D" w14:textId="2E06C08A" w:rsidR="000A5280" w:rsidRPr="00451CC2" w:rsidRDefault="000A5280" w:rsidP="000A5280">
      <w:pPr>
        <w:pStyle w:val="ATHeading3"/>
      </w:pPr>
      <w:bookmarkStart w:id="5" w:name="Sujet"/>
      <w:r w:rsidRPr="00451CC2">
        <w:t>Priporočilo Evropskega parlamenta</w:t>
      </w:r>
      <w:r w:rsidR="00485231" w:rsidRPr="00451CC2">
        <w:t xml:space="preserve"> z dne 7. julija 2026</w:t>
      </w:r>
      <w:r w:rsidRPr="00451CC2">
        <w:t xml:space="preserve"> Svetu, Komisiji in podpredsednici Komisije/visoki predstavnici Unije za zunanje zadeve in varnostno politiko o spreminjajočih se geopolitičnih razmerah v vzhodni Aziji in nujnosti tesnejšega sodelovanja s podobno mislečimi partnerji v regiji</w:t>
      </w:r>
      <w:bookmarkEnd w:id="5"/>
      <w:r w:rsidRPr="00451CC2">
        <w:t xml:space="preserve"> </w:t>
      </w:r>
      <w:bookmarkStart w:id="6" w:name="References"/>
      <w:r w:rsidRPr="00451CC2">
        <w:t>(2025/2169(INI))</w:t>
      </w:r>
      <w:bookmarkEnd w:id="6"/>
    </w:p>
    <w:p w14:paraId="24563547" w14:textId="77777777" w:rsidR="003F5986" w:rsidRPr="00451CC2" w:rsidRDefault="003F5986" w:rsidP="003F5986">
      <w:pPr>
        <w:pStyle w:val="EPComma"/>
      </w:pPr>
      <w:r w:rsidRPr="00451CC2">
        <w:rPr>
          <w:i/>
        </w:rPr>
        <w:t>Evropski parlament</w:t>
      </w:r>
      <w:r w:rsidRPr="00451CC2">
        <w:t>,</w:t>
      </w:r>
    </w:p>
    <w:p w14:paraId="1A46A83B" w14:textId="77777777" w:rsidR="003F5986" w:rsidRPr="00451CC2" w:rsidRDefault="003F5986" w:rsidP="003F5986">
      <w:pPr>
        <w:pStyle w:val="NormalHanging12a"/>
      </w:pPr>
      <w:r w:rsidRPr="00451CC2">
        <w:t>–</w:t>
      </w:r>
      <w:r w:rsidRPr="00451CC2">
        <w:tab/>
        <w:t>ob upoštevanju naslova V Pogodbe o Evropski uniji,</w:t>
      </w:r>
    </w:p>
    <w:p w14:paraId="23B0A532" w14:textId="77777777" w:rsidR="003F5986" w:rsidRPr="00451CC2" w:rsidRDefault="003F5986" w:rsidP="003F5986">
      <w:pPr>
        <w:pStyle w:val="NormalHanging12a"/>
      </w:pPr>
      <w:r w:rsidRPr="00451CC2">
        <w:t>–</w:t>
      </w:r>
      <w:r w:rsidRPr="00451CC2">
        <w:tab/>
        <w:t>ob upoštevanju skupnega sporočila Komisije in visokega predstavnika Unije za zunanje zadeve in varnostno politiko z dne 16. septembra 2021 z naslovom Strategija EU za sodelovanje v indijsko-pacifiški regiji (JOIN(2021)0024),</w:t>
      </w:r>
    </w:p>
    <w:p w14:paraId="4ABE26C3" w14:textId="77777777" w:rsidR="003F5986" w:rsidRPr="00451CC2" w:rsidRDefault="003F5986" w:rsidP="003F5986">
      <w:pPr>
        <w:pStyle w:val="NormalHanging12a"/>
      </w:pPr>
      <w:r w:rsidRPr="00451CC2">
        <w:t>–</w:t>
      </w:r>
      <w:r w:rsidRPr="00451CC2">
        <w:tab/>
        <w:t>ob upoštevanju strateškega kompasa za varnost in obrambo, ki ga je Svet odobril 21. marca 2022 in v katerem je poudarjena vloga partnerstev za varnost in odpornost Unije, tudi v indijsko-pacifiški regiji,</w:t>
      </w:r>
    </w:p>
    <w:p w14:paraId="7BE1D822" w14:textId="77777777" w:rsidR="003F5986" w:rsidRPr="00451CC2" w:rsidRDefault="003F5986" w:rsidP="003F5986">
      <w:pPr>
        <w:pStyle w:val="NormalHanging12a"/>
        <w:rPr>
          <w:bCs/>
          <w:iCs/>
        </w:rPr>
      </w:pPr>
      <w:r w:rsidRPr="00451CC2">
        <w:t>–</w:t>
      </w:r>
      <w:r w:rsidRPr="00451CC2">
        <w:tab/>
        <w:t>ob upoštevanju skupnega sporočila Komisije in visokega predstavnika Unije za zunanje zadeve in varnostno politiko z dne 1. decembra 2021 z naslovom Strategija Global Gateway (JOIN(2021)0030),</w:t>
      </w:r>
    </w:p>
    <w:p w14:paraId="222D93A1" w14:textId="77777777" w:rsidR="003F5986" w:rsidRPr="00451CC2" w:rsidRDefault="003F5986" w:rsidP="003F5986">
      <w:pPr>
        <w:pStyle w:val="NormalHanging12a"/>
        <w:rPr>
          <w:bCs/>
          <w:iCs/>
        </w:rPr>
      </w:pPr>
      <w:r w:rsidRPr="00451CC2">
        <w:t>–</w:t>
      </w:r>
      <w:r w:rsidRPr="00451CC2">
        <w:tab/>
        <w:t xml:space="preserve">ob upoštevanju skupnega sporočila Komisije in visokega predstavnika Unije za zunanje zadeve in varnostno politiko z dne 20. junija 2023 o evropski strategiji za gospodarsko varnost, </w:t>
      </w:r>
    </w:p>
    <w:p w14:paraId="498543F5" w14:textId="77777777" w:rsidR="003F5986" w:rsidRPr="00451CC2" w:rsidRDefault="003F5986" w:rsidP="003F5986">
      <w:pPr>
        <w:pStyle w:val="NormalHanging12a"/>
        <w:rPr>
          <w:bCs/>
          <w:iCs/>
        </w:rPr>
      </w:pPr>
      <w:r w:rsidRPr="00451CC2">
        <w:t>–</w:t>
      </w:r>
      <w:r w:rsidRPr="00451CC2">
        <w:tab/>
        <w:t>ob upoštevanju skupnega sporočila Komisije in visokega predstavnika Unije za zunanje zadeve in varnostno politiko z dne 12. novembra 2025 z naslovom Evropski ščit za demokracijo: spodbujanje močnejših in odpornejših demokracij (JOIN(2025)0791),</w:t>
      </w:r>
    </w:p>
    <w:p w14:paraId="188CD7E3" w14:textId="77777777" w:rsidR="003F5986" w:rsidRPr="00451CC2" w:rsidRDefault="003F5986" w:rsidP="003F5986">
      <w:pPr>
        <w:pStyle w:val="NormalHanging12a"/>
        <w:rPr>
          <w:bCs/>
          <w:iCs/>
        </w:rPr>
      </w:pPr>
      <w:r w:rsidRPr="00451CC2">
        <w:t>–</w:t>
      </w:r>
      <w:r w:rsidRPr="00451CC2">
        <w:tab/>
        <w:t>ob upoštevanju skupnega sporočila Komisije in visokega predstavnika Unije za zunanje zadeve in varnostno politiko z dne 16. decembra 2020 z naslovom Strategija EU za kibernetsko varnost v digitalnem desetletju (JOIN(2020)0018),</w:t>
      </w:r>
    </w:p>
    <w:p w14:paraId="6E42D6AF" w14:textId="77777777" w:rsidR="003F5986" w:rsidRPr="00451CC2" w:rsidRDefault="003F5986" w:rsidP="003F5986">
      <w:pPr>
        <w:pStyle w:val="NormalHanging12a"/>
      </w:pPr>
      <w:r w:rsidRPr="00451CC2">
        <w:t>–</w:t>
      </w:r>
      <w:r w:rsidRPr="00451CC2">
        <w:tab/>
        <w:t xml:space="preserve">ob upoštevanju partnerstva na področju varnosti in obrambe med Evropsko unijo in </w:t>
      </w:r>
      <w:r w:rsidRPr="00451CC2">
        <w:lastRenderedPageBreak/>
        <w:t>Japonsko z dne 1. novembra 2024,</w:t>
      </w:r>
    </w:p>
    <w:p w14:paraId="1532F2C2" w14:textId="77777777" w:rsidR="003F5986" w:rsidRPr="00451CC2" w:rsidRDefault="003F5986" w:rsidP="003F5986">
      <w:pPr>
        <w:pStyle w:val="NormalHanging12a"/>
      </w:pPr>
      <w:r w:rsidRPr="00451CC2">
        <w:t>–</w:t>
      </w:r>
      <w:r w:rsidRPr="00451CC2">
        <w:tab/>
        <w:t>ob upoštevanju partnerstva na področju varnosti in obrambe med Evropsko unijo in Republiko Korejo z dne 4. novembra 2024,</w:t>
      </w:r>
    </w:p>
    <w:p w14:paraId="5E97C7A1" w14:textId="77777777" w:rsidR="003F5986" w:rsidRPr="00451CC2" w:rsidRDefault="003F5986" w:rsidP="003F5986">
      <w:pPr>
        <w:pStyle w:val="NormalHanging12a"/>
      </w:pPr>
      <w:r w:rsidRPr="00451CC2">
        <w:t>–</w:t>
      </w:r>
      <w:r w:rsidRPr="00451CC2">
        <w:tab/>
        <w:t>ob upoštevanju Sporazuma o strateškem partnerstvu med Evropsko unijo in njenimi državami članicami na eni strani ter Japonsko na drugi strani</w:t>
      </w:r>
      <w:r w:rsidRPr="00451CC2">
        <w:rPr>
          <w:rStyle w:val="FootnoteReference"/>
        </w:rPr>
        <w:footnoteReference w:id="1"/>
      </w:r>
      <w:r w:rsidRPr="00451CC2">
        <w:t>,</w:t>
      </w:r>
    </w:p>
    <w:p w14:paraId="7FD24C71" w14:textId="77777777" w:rsidR="003F5986" w:rsidRPr="00451CC2" w:rsidRDefault="003F5986" w:rsidP="003F5986">
      <w:pPr>
        <w:pStyle w:val="NormalHanging12a"/>
      </w:pPr>
      <w:r w:rsidRPr="00451CC2">
        <w:t>–</w:t>
      </w:r>
      <w:r w:rsidRPr="00451CC2">
        <w:tab/>
        <w:t>ob upoštevanju okvirnega sporazuma med Evropsko unijo in njenimi državami članicami na eni strani ter Republiko Korejo na drugi strani</w:t>
      </w:r>
      <w:r w:rsidRPr="00451CC2">
        <w:rPr>
          <w:rStyle w:val="FootnoteReference"/>
        </w:rPr>
        <w:footnoteReference w:id="2"/>
      </w:r>
      <w:r w:rsidRPr="00451CC2">
        <w:t>,</w:t>
      </w:r>
    </w:p>
    <w:p w14:paraId="41CB8CE7" w14:textId="77777777" w:rsidR="003F5986" w:rsidRPr="00451CC2" w:rsidRDefault="003F5986" w:rsidP="003F5986">
      <w:pPr>
        <w:pStyle w:val="NormalHanging12a"/>
        <w:rPr>
          <w:b/>
          <w:i/>
        </w:rPr>
      </w:pPr>
      <w:r w:rsidRPr="00451CC2">
        <w:t>–</w:t>
      </w:r>
      <w:r w:rsidRPr="00451CC2">
        <w:tab/>
        <w:t>ob upoštevanju sporazuma o gospodarskem partnerstvu med EU in Japonsko</w:t>
      </w:r>
      <w:r w:rsidRPr="00451CC2">
        <w:rPr>
          <w:rStyle w:val="FootnoteReference"/>
          <w:bCs/>
          <w:iCs/>
        </w:rPr>
        <w:footnoteReference w:id="3"/>
      </w:r>
      <w:r w:rsidRPr="00451CC2">
        <w:t>,</w:t>
      </w:r>
    </w:p>
    <w:p w14:paraId="38E94B84" w14:textId="77777777" w:rsidR="003F5986" w:rsidRPr="00451CC2" w:rsidRDefault="003F5986" w:rsidP="003F5986">
      <w:pPr>
        <w:pStyle w:val="NormalHanging12a"/>
        <w:rPr>
          <w:bCs/>
          <w:iCs/>
        </w:rPr>
      </w:pPr>
      <w:r w:rsidRPr="00451CC2">
        <w:t>–</w:t>
      </w:r>
      <w:r w:rsidRPr="00451CC2">
        <w:tab/>
        <w:t>ob upoštevanju Sporazuma o prosti trgovini med Evropsko unijo in njenimi državami članicami na eni strani ter Republiko Korejo na drugi strani</w:t>
      </w:r>
      <w:r w:rsidRPr="00451CC2">
        <w:rPr>
          <w:rStyle w:val="FootnoteReference"/>
          <w:bCs/>
          <w:iCs/>
        </w:rPr>
        <w:footnoteReference w:id="4"/>
      </w:r>
      <w:r w:rsidRPr="00451CC2">
        <w:t>,</w:t>
      </w:r>
    </w:p>
    <w:p w14:paraId="6902D95F" w14:textId="77777777" w:rsidR="003F5986" w:rsidRPr="00451CC2" w:rsidRDefault="003F5986" w:rsidP="003F5986">
      <w:pPr>
        <w:pStyle w:val="NormalHanging12a"/>
        <w:rPr>
          <w:bCs/>
          <w:iCs/>
        </w:rPr>
      </w:pPr>
      <w:r w:rsidRPr="00451CC2">
        <w:t>–</w:t>
      </w:r>
      <w:r w:rsidRPr="00451CC2">
        <w:tab/>
        <w:t>ob upoštevanju Konvencije OZN o pomorskem mednarodnem pravu (UNCLOS),</w:t>
      </w:r>
    </w:p>
    <w:p w14:paraId="2D5A0A39" w14:textId="77777777" w:rsidR="003F5986" w:rsidRPr="00451CC2" w:rsidRDefault="003F5986" w:rsidP="003F5986">
      <w:pPr>
        <w:pStyle w:val="NormalHanging12a"/>
      </w:pPr>
      <w:r w:rsidRPr="00451CC2">
        <w:t>–</w:t>
      </w:r>
      <w:r w:rsidRPr="00451CC2">
        <w:tab/>
        <w:t>ob upoštevanju skupne izjave, sprejete na 30. vrhu EU-Japonska 23. julija 2025 v Tokiu,</w:t>
      </w:r>
    </w:p>
    <w:p w14:paraId="7246F815" w14:textId="77777777" w:rsidR="003F5986" w:rsidRPr="00451CC2" w:rsidRDefault="003F5986" w:rsidP="003F5986">
      <w:pPr>
        <w:pStyle w:val="NormalHanging12a"/>
      </w:pPr>
      <w:r w:rsidRPr="00451CC2">
        <w:t>–</w:t>
      </w:r>
      <w:r w:rsidRPr="00451CC2">
        <w:tab/>
        <w:t>ob upoštevanju 42. medparlamentarnega srečanja EU-Japonska 28. in 29. maja 2025 v Tokiu,</w:t>
      </w:r>
    </w:p>
    <w:p w14:paraId="27A8337E" w14:textId="39E2AB7F" w:rsidR="003F5986" w:rsidRPr="00451CC2" w:rsidRDefault="003F5986" w:rsidP="003F5986">
      <w:pPr>
        <w:pStyle w:val="NormalHanging12a"/>
        <w:rPr>
          <w:bCs/>
          <w:iCs/>
        </w:rPr>
      </w:pPr>
      <w:r w:rsidRPr="00451CC2">
        <w:t>–</w:t>
      </w:r>
      <w:r w:rsidRPr="00451CC2">
        <w:tab/>
        <w:t xml:space="preserve">ob upoštevanju </w:t>
      </w:r>
      <w:r w:rsidR="00897133">
        <w:t>tretje</w:t>
      </w:r>
      <w:r w:rsidR="00D97D72">
        <w:t>g</w:t>
      </w:r>
      <w:r w:rsidR="00897133">
        <w:t>a</w:t>
      </w:r>
      <w:r w:rsidR="00897133" w:rsidRPr="00451CC2">
        <w:t xml:space="preserve"> </w:t>
      </w:r>
      <w:r w:rsidRPr="00451CC2">
        <w:t xml:space="preserve">strateškega dialoga med EU in Japonsko, ki je potekal </w:t>
      </w:r>
      <w:r w:rsidR="00897133" w:rsidRPr="00897133">
        <w:t>26. marca 2026 v Vaux-de-Cernayju</w:t>
      </w:r>
      <w:r w:rsidRPr="00451CC2">
        <w:t xml:space="preserve">, </w:t>
      </w:r>
    </w:p>
    <w:p w14:paraId="7ACC37F8" w14:textId="119AE60A" w:rsidR="003F5986" w:rsidRPr="00451CC2" w:rsidRDefault="003F5986" w:rsidP="003F5986">
      <w:pPr>
        <w:pStyle w:val="NormalHanging12a"/>
        <w:rPr>
          <w:bCs/>
          <w:iCs/>
        </w:rPr>
      </w:pPr>
      <w:r w:rsidRPr="00451CC2">
        <w:t>–</w:t>
      </w:r>
      <w:r w:rsidRPr="00451CC2">
        <w:tab/>
        <w:t xml:space="preserve">ob upoštevanju </w:t>
      </w:r>
      <w:r w:rsidR="00897133">
        <w:t>devetega</w:t>
      </w:r>
      <w:r w:rsidR="00897133" w:rsidRPr="00451CC2">
        <w:t xml:space="preserve"> </w:t>
      </w:r>
      <w:r w:rsidRPr="00451CC2">
        <w:t xml:space="preserve">dialoga o digitalni politiki med EU in Japonsko, ki je potekal </w:t>
      </w:r>
      <w:r w:rsidR="00897133" w:rsidRPr="00D97D72">
        <w:rPr>
          <w:bCs/>
          <w:iCs/>
        </w:rPr>
        <w:t>25</w:t>
      </w:r>
      <w:r w:rsidR="00897133" w:rsidRPr="00897133">
        <w:rPr>
          <w:bCs/>
          <w:iCs/>
        </w:rPr>
        <w:t>. </w:t>
      </w:r>
      <w:r w:rsidR="00897133" w:rsidRPr="00D97D72">
        <w:rPr>
          <w:bCs/>
          <w:iCs/>
        </w:rPr>
        <w:t>marca 2026</w:t>
      </w:r>
      <w:r w:rsidR="00897133" w:rsidRPr="00897133">
        <w:rPr>
          <w:bCs/>
          <w:iCs/>
        </w:rPr>
        <w:t xml:space="preserve"> v </w:t>
      </w:r>
      <w:r w:rsidR="00897133" w:rsidRPr="00D97D72">
        <w:rPr>
          <w:bCs/>
          <w:iCs/>
        </w:rPr>
        <w:t>Tokiu</w:t>
      </w:r>
      <w:r w:rsidRPr="00451CC2">
        <w:t>,</w:t>
      </w:r>
    </w:p>
    <w:p w14:paraId="078C2513" w14:textId="77777777" w:rsidR="003F5986" w:rsidRPr="00451CC2" w:rsidRDefault="003F5986" w:rsidP="003F5986">
      <w:pPr>
        <w:pStyle w:val="NormalHanging12a"/>
        <w:rPr>
          <w:bCs/>
          <w:iCs/>
        </w:rPr>
      </w:pPr>
      <w:r w:rsidRPr="00451CC2">
        <w:t>–</w:t>
      </w:r>
      <w:r w:rsidRPr="00451CC2">
        <w:tab/>
        <w:t>ob upoštevanju pisma o nameri, ki sta ga 13. marca 2025 podpisali EU in Japonska, o okrepitvi sodelovanja na področju kvantne znanosti in tehnologije za poglobitev skupnih raziskav, izmenjav in razvoja ekosistemov,</w:t>
      </w:r>
    </w:p>
    <w:p w14:paraId="267706AC" w14:textId="77777777" w:rsidR="003F5986" w:rsidRPr="00451CC2" w:rsidRDefault="003F5986" w:rsidP="003F5986">
      <w:pPr>
        <w:pStyle w:val="NormalHanging12a"/>
        <w:rPr>
          <w:bCs/>
          <w:iCs/>
        </w:rPr>
      </w:pPr>
      <w:r w:rsidRPr="00451CC2">
        <w:t>–</w:t>
      </w:r>
      <w:r w:rsidRPr="00451CC2">
        <w:tab/>
        <w:t>ob upoštevanju zaveze za okrepitev sodelovanja na področju kritičnih surovin, ki so jo EU, Japonska in Združene države Amerike sprejele na ministrskem srečanju o kritičnih mineralih 4. februarja 2026,</w:t>
      </w:r>
    </w:p>
    <w:p w14:paraId="3F47B3E0" w14:textId="77777777" w:rsidR="003F5986" w:rsidRPr="00451CC2" w:rsidRDefault="003F5986" w:rsidP="003F5986">
      <w:pPr>
        <w:pStyle w:val="NormalHanging12a"/>
        <w:rPr>
          <w:bCs/>
          <w:iCs/>
        </w:rPr>
      </w:pPr>
      <w:r w:rsidRPr="00451CC2">
        <w:t>–</w:t>
      </w:r>
      <w:r w:rsidRPr="00451CC2">
        <w:tab/>
        <w:t>ob upoštevanju zelenega zavezništva med EU in Japonsko, ki je bilo sklenjeno 27. maja 2021,</w:t>
      </w:r>
    </w:p>
    <w:p w14:paraId="3CCC657A" w14:textId="77777777" w:rsidR="003F5986" w:rsidRPr="00451CC2" w:rsidRDefault="003F5986" w:rsidP="003F5986">
      <w:pPr>
        <w:pStyle w:val="NormalHanging12a"/>
      </w:pPr>
      <w:r w:rsidRPr="00451CC2">
        <w:t>–</w:t>
      </w:r>
      <w:r w:rsidRPr="00451CC2">
        <w:tab/>
        <w:t>ob upoštevanju skupne izjave, sprejete na 11. vrhu EU-Republika Koreja 10. junija 2026 v Bruslju,</w:t>
      </w:r>
    </w:p>
    <w:p w14:paraId="085DCFA4" w14:textId="77777777" w:rsidR="003F5986" w:rsidRPr="00451CC2" w:rsidRDefault="003F5986" w:rsidP="003F5986">
      <w:pPr>
        <w:pStyle w:val="NormalHanging12a"/>
      </w:pPr>
      <w:r w:rsidRPr="00451CC2">
        <w:t>–</w:t>
      </w:r>
      <w:r w:rsidRPr="00451CC2">
        <w:tab/>
        <w:t xml:space="preserve">ob upoštevanju 23. medparlamentarnega srečanja EU-Republika Koreja 18. novembra </w:t>
      </w:r>
      <w:r w:rsidRPr="00451CC2">
        <w:lastRenderedPageBreak/>
        <w:t>2025 v Bruslju,</w:t>
      </w:r>
    </w:p>
    <w:p w14:paraId="11F383A6" w14:textId="77777777" w:rsidR="003F5986" w:rsidRPr="00451CC2" w:rsidRDefault="003F5986" w:rsidP="003F5986">
      <w:pPr>
        <w:pStyle w:val="NormalHanging12a"/>
        <w:rPr>
          <w:bCs/>
          <w:iCs/>
        </w:rPr>
      </w:pPr>
      <w:r w:rsidRPr="00451CC2">
        <w:t>–</w:t>
      </w:r>
      <w:r w:rsidRPr="00451CC2">
        <w:tab/>
        <w:t>ob upoštevanju drugega strateškega dialoga med EU in Republiko Korejo, ki je potekal 22. januarja 2026 v Bruslju,</w:t>
      </w:r>
    </w:p>
    <w:p w14:paraId="460E2C34" w14:textId="77777777" w:rsidR="003F5986" w:rsidRPr="00451CC2" w:rsidRDefault="003F5986" w:rsidP="003F5986">
      <w:pPr>
        <w:pStyle w:val="NormalHanging12a"/>
        <w:rPr>
          <w:bCs/>
          <w:iCs/>
        </w:rPr>
      </w:pPr>
      <w:r w:rsidRPr="00451CC2">
        <w:t>–</w:t>
      </w:r>
      <w:r w:rsidRPr="00451CC2">
        <w:tab/>
        <w:t>ob upoštevanju zelenega partnerstva med EU in Republiko Korejo, ki je bilo sklenjeno 22. maja 2023,</w:t>
      </w:r>
    </w:p>
    <w:p w14:paraId="28C2A9DF" w14:textId="77777777" w:rsidR="003F5986" w:rsidRPr="00451CC2" w:rsidRDefault="003F5986" w:rsidP="003F5986">
      <w:pPr>
        <w:pStyle w:val="NormalHanging12a"/>
      </w:pPr>
      <w:r w:rsidRPr="00451CC2">
        <w:t>–</w:t>
      </w:r>
      <w:r w:rsidRPr="00451CC2">
        <w:tab/>
        <w:t>ob upoštevanju 4. ministrskega foruma EU in držav indijsko-pacifiške regije v Bruslju 20. in 21. novembra 2025,</w:t>
      </w:r>
    </w:p>
    <w:p w14:paraId="4EFBA7D4" w14:textId="77777777" w:rsidR="003F5986" w:rsidRPr="00451CC2" w:rsidRDefault="003F5986" w:rsidP="003F5986">
      <w:pPr>
        <w:pStyle w:val="NormalHanging12a"/>
        <w:rPr>
          <w:bCs/>
          <w:iCs/>
        </w:rPr>
      </w:pPr>
      <w:r w:rsidRPr="00451CC2">
        <w:t>–</w:t>
      </w:r>
      <w:r w:rsidRPr="00451CC2">
        <w:tab/>
        <w:t>ob upoštevanju izjave po nedavnem obisku delegacije Odbora za zunanje zadeve v Republiki Koreji in na Japonskem od 31. marca do 2. aprila 2026,</w:t>
      </w:r>
    </w:p>
    <w:p w14:paraId="2762455C" w14:textId="77777777" w:rsidR="003F5986" w:rsidRPr="00451CC2" w:rsidRDefault="003F5986" w:rsidP="003F5986">
      <w:pPr>
        <w:pStyle w:val="NormalHanging12a"/>
      </w:pPr>
      <w:r w:rsidRPr="00451CC2">
        <w:t>–</w:t>
      </w:r>
      <w:r w:rsidRPr="00451CC2">
        <w:tab/>
        <w:t>ob upoštevanju svoje resolucije z dne 7. junija 2022 o EU in varnostnih izzivih v indijsko-pacifiški regiji</w:t>
      </w:r>
      <w:r w:rsidRPr="00451CC2">
        <w:rPr>
          <w:rStyle w:val="FootnoteReference"/>
        </w:rPr>
        <w:footnoteReference w:id="5"/>
      </w:r>
      <w:r w:rsidRPr="00451CC2">
        <w:t>,</w:t>
      </w:r>
    </w:p>
    <w:p w14:paraId="000BAFFF" w14:textId="77777777" w:rsidR="003F5986" w:rsidRPr="00451CC2" w:rsidRDefault="003F5986" w:rsidP="003F5986">
      <w:pPr>
        <w:pStyle w:val="NormalHanging12a"/>
      </w:pPr>
      <w:r w:rsidRPr="00451CC2">
        <w:t>–</w:t>
      </w:r>
      <w:r w:rsidRPr="00451CC2">
        <w:tab/>
        <w:t>ob upoštevanju svoje resolucije z dne 13. decembra 2023 o odnosih med EU in Japonsko</w:t>
      </w:r>
      <w:r w:rsidRPr="00451CC2">
        <w:rPr>
          <w:rStyle w:val="FootnoteReference"/>
        </w:rPr>
        <w:footnoteReference w:id="6"/>
      </w:r>
      <w:r w:rsidRPr="00451CC2">
        <w:t>,</w:t>
      </w:r>
    </w:p>
    <w:p w14:paraId="5B6B6762" w14:textId="77777777" w:rsidR="003F5986" w:rsidRPr="00451CC2" w:rsidRDefault="003F5986" w:rsidP="003F5986">
      <w:pPr>
        <w:pStyle w:val="NormalHanging12a"/>
      </w:pPr>
      <w:r w:rsidRPr="00451CC2">
        <w:t>–</w:t>
      </w:r>
      <w:r w:rsidRPr="00451CC2">
        <w:tab/>
        <w:t>ob upoštevanju svoje resolucije z dne 21. januarja 2026 o izvajanju skupne zunanje in varnostne politike – letno poročilo za leto 2025</w:t>
      </w:r>
      <w:r w:rsidRPr="00451CC2">
        <w:rPr>
          <w:rStyle w:val="FootnoteReference"/>
        </w:rPr>
        <w:footnoteReference w:id="7"/>
      </w:r>
      <w:r w:rsidRPr="00451CC2">
        <w:t>,</w:t>
      </w:r>
    </w:p>
    <w:p w14:paraId="4269F8B7" w14:textId="77777777" w:rsidR="003F5986" w:rsidRPr="00451CC2" w:rsidRDefault="003F5986" w:rsidP="003F5986">
      <w:pPr>
        <w:pStyle w:val="NormalHanging12a"/>
        <w:rPr>
          <w:bCs/>
          <w:iCs/>
        </w:rPr>
      </w:pPr>
      <w:r w:rsidRPr="00451CC2">
        <w:t>–</w:t>
      </w:r>
      <w:r w:rsidRPr="00451CC2">
        <w:tab/>
        <w:t>ob upoštevanju svoje resolucije z dne 28. novembra 2024 o okrepitvi neomajne podpore EU Ukrajini zoper rusko vojaško agresijo in vse večje vojaško sodelovanje med Severno Korejo in Rusijo</w:t>
      </w:r>
      <w:r w:rsidRPr="00451CC2">
        <w:rPr>
          <w:rStyle w:val="FootnoteReference"/>
          <w:bCs/>
          <w:iCs/>
        </w:rPr>
        <w:footnoteReference w:id="8"/>
      </w:r>
      <w:r w:rsidRPr="00451CC2">
        <w:t>,</w:t>
      </w:r>
    </w:p>
    <w:p w14:paraId="76774AFC" w14:textId="77777777" w:rsidR="003F5986" w:rsidRPr="00451CC2" w:rsidRDefault="003F5986" w:rsidP="003F5986">
      <w:pPr>
        <w:pStyle w:val="NormalHanging12a"/>
        <w:rPr>
          <w:b/>
          <w:i/>
        </w:rPr>
      </w:pPr>
      <w:r w:rsidRPr="00451CC2">
        <w:t>–</w:t>
      </w:r>
      <w:r w:rsidRPr="00451CC2">
        <w:tab/>
        <w:t>ob upoštevanju svoje resolucije z dne 24. oktobra 2024 o napačni razlagi resolucije OZN 2758 s strani Ljudske republike Kitajske in njenih stalnih vojaških provokacijah okoli Tajvana</w:t>
      </w:r>
      <w:r w:rsidRPr="00451CC2">
        <w:rPr>
          <w:rStyle w:val="FootnoteReference"/>
          <w:bCs/>
          <w:iCs/>
        </w:rPr>
        <w:footnoteReference w:id="9"/>
      </w:r>
      <w:r w:rsidRPr="00451CC2">
        <w:t>,</w:t>
      </w:r>
    </w:p>
    <w:p w14:paraId="5984A2D3" w14:textId="77777777" w:rsidR="003F5986" w:rsidRPr="00451CC2" w:rsidRDefault="003F5986" w:rsidP="003F5986">
      <w:pPr>
        <w:pStyle w:val="NormalHanging12a"/>
        <w:rPr>
          <w:bCs/>
          <w:iCs/>
        </w:rPr>
      </w:pPr>
      <w:r w:rsidRPr="00451CC2">
        <w:t>–</w:t>
      </w:r>
      <w:r w:rsidRPr="00451CC2">
        <w:tab/>
        <w:t>ob upoštevanju svoje resolucije z dne 13. decembra 2023 o trgovinskih in naložbenih odnosih med EU in Tajvanom</w:t>
      </w:r>
      <w:r w:rsidRPr="00451CC2">
        <w:rPr>
          <w:rStyle w:val="FootnoteReference"/>
          <w:bCs/>
          <w:iCs/>
        </w:rPr>
        <w:footnoteReference w:id="10"/>
      </w:r>
      <w:r w:rsidRPr="00451CC2">
        <w:t xml:space="preserve">, </w:t>
      </w:r>
    </w:p>
    <w:p w14:paraId="50676D77" w14:textId="77777777" w:rsidR="003F5986" w:rsidRPr="00451CC2" w:rsidRDefault="003F5986" w:rsidP="003F5986">
      <w:pPr>
        <w:pStyle w:val="NormalHanging12a"/>
      </w:pPr>
      <w:r w:rsidRPr="00451CC2">
        <w:t>–</w:t>
      </w:r>
      <w:r w:rsidRPr="00451CC2">
        <w:tab/>
        <w:t>ob upoštevanju svojih stališč in priporočil o indijsko-pacifiškem sodelovanju, vključno s pozivi k sodelovanju s podobno mislečimi partnerji za ohranjanje svobode plovbe in stabilnosti v Tajvanski ožini ter Vzhodnokitajskem in Južnokitajskem morju,</w:t>
      </w:r>
    </w:p>
    <w:p w14:paraId="2ADF4EE4" w14:textId="77777777" w:rsidR="003F5986" w:rsidRPr="00451CC2" w:rsidRDefault="003F5986" w:rsidP="003F5986">
      <w:pPr>
        <w:pStyle w:val="NormalHanging12a"/>
      </w:pPr>
      <w:r w:rsidRPr="00451CC2">
        <w:t>–</w:t>
      </w:r>
      <w:r w:rsidRPr="00451CC2">
        <w:tab/>
        <w:t>ob upoštevanju člena 121 Poslovnika,</w:t>
      </w:r>
    </w:p>
    <w:p w14:paraId="53E24071" w14:textId="77777777" w:rsidR="003F5986" w:rsidRPr="00451CC2" w:rsidRDefault="003F5986" w:rsidP="003F5986">
      <w:pPr>
        <w:pStyle w:val="NormalHanging12a"/>
      </w:pPr>
      <w:r w:rsidRPr="00451CC2">
        <w:t>–</w:t>
      </w:r>
      <w:r w:rsidRPr="00451CC2">
        <w:tab/>
        <w:t>ob upoštevanju poročila Odbora za zunanje zadeve (A10-0189/2026),</w:t>
      </w:r>
    </w:p>
    <w:p w14:paraId="29CF110F" w14:textId="77777777" w:rsidR="003F5986" w:rsidRPr="00451CC2" w:rsidRDefault="003F5986" w:rsidP="003F5986">
      <w:pPr>
        <w:pStyle w:val="NormalHanging12a"/>
      </w:pPr>
      <w:r w:rsidRPr="00451CC2">
        <w:t>A.</w:t>
      </w:r>
      <w:r w:rsidRPr="00451CC2">
        <w:tab/>
        <w:t xml:space="preserve">ker se zaradi sedanjih geopolitičnih sprememb in vse večje strateške pomembnosti indijsko-pacifiške regije preoblikuje svetovni red; ker sta vzhodna Azija in širša indijsko-pacifiška regija ključni za svetovno blaginjo in varnost, energetsko varnost in demokratično odpornost, saj so tam ključne pomorske plovne poti, napredni tehnološki </w:t>
      </w:r>
      <w:r w:rsidRPr="00451CC2">
        <w:lastRenderedPageBreak/>
        <w:t>ekosistemi, pomembne trgovinske poti, več kot polovica svetovnega prebivalstva in kritične dobavne verige, ki so bistvene za gospodarsko konkurenčnost in dolgoročno industrijsko odpornost EU v strateških sektorjih, pa tudi njen geopolitični vpliv;</w:t>
      </w:r>
    </w:p>
    <w:p w14:paraId="07CE3668" w14:textId="77777777" w:rsidR="003F5986" w:rsidRPr="00451CC2" w:rsidRDefault="003F5986" w:rsidP="003F5986">
      <w:pPr>
        <w:pStyle w:val="NormalHanging12a"/>
        <w:rPr>
          <w:bCs/>
          <w:iCs/>
        </w:rPr>
      </w:pPr>
      <w:r w:rsidRPr="00451CC2">
        <w:t>B.</w:t>
      </w:r>
      <w:r w:rsidRPr="00451CC2">
        <w:tab/>
        <w:t>ker je gospodarska varnost, vključno z odpornimi in diverzificiranimi dobavnimi verigami kritičnih surovin, polprevodnikov in čistih tehnologij, sestavni del trgovinske, zunanje in varnostne politike; ker so zmanjšanje strateških odvisnosti ter izboljšanje odpornosti in večja diverzifikacija dobavnih verig v kritičnih sektorjih bistveni za gospodarsko varnost in konkurenčnost EU v skladu z njeno strategijo za zmanjševanje tveganj ob hkratnem izogibanju nepotrebnemu gospodarskemu ločevanju;</w:t>
      </w:r>
    </w:p>
    <w:p w14:paraId="0D09F1FA" w14:textId="77777777" w:rsidR="003F5986" w:rsidRDefault="003F5986" w:rsidP="003F5986">
      <w:pPr>
        <w:pStyle w:val="NormalHanging12a"/>
      </w:pPr>
      <w:r w:rsidRPr="00451CC2">
        <w:t>C.</w:t>
      </w:r>
      <w:r w:rsidRPr="00451CC2">
        <w:tab/>
        <w:t>ker je geopolitično okolje vzhodne Azije v zadnjih letih postalo vse bolj in bolj nestabilno, pri čemer na regionalno dinamiko moči vse bolj vplivajo sistemsko rivalstvo, pomorski spori, kopičenje vojaških sil in širjenje vpliva modelov avtoritarnega upravljanja, ki uporabljajo gospodarsko prisilo, vključno z diskriminatornim dostopom do trga, hibridnimi grožnjami, vključno s tujim manipuliranjem z informacijami in vmešavanjem, ter komercialnim in političnim vohunjenjem, ki ogrožajo mir, stabilnost in mednarodni red, ki temelji na pravilih, ter zahtevajo usklajene odzive s partnerji, ki imajo enake demokratične vrednote in visoke regulativne standarde;</w:t>
      </w:r>
    </w:p>
    <w:p w14:paraId="63368791" w14:textId="00774BB4" w:rsidR="00897133" w:rsidRPr="00451CC2" w:rsidRDefault="00897133" w:rsidP="003F5986">
      <w:pPr>
        <w:pStyle w:val="NormalHanging12a"/>
        <w:rPr>
          <w:bCs/>
          <w:iCs/>
        </w:rPr>
      </w:pPr>
      <w:r>
        <w:rPr>
          <w:bCs/>
          <w:iCs/>
        </w:rPr>
        <w:t>D</w:t>
      </w:r>
      <w:r w:rsidRPr="00897133">
        <w:rPr>
          <w:bCs/>
          <w:iCs/>
        </w:rPr>
        <w:t>.</w:t>
      </w:r>
      <w:r w:rsidRPr="00897133">
        <w:rPr>
          <w:bCs/>
          <w:iCs/>
        </w:rPr>
        <w:tab/>
        <w:t>ker je varnost Japonske, Južne Koreje in Tajvana še vedno v veliki meri odvisna od Združenih držav Amerike; ker na te partnerje vse bolj vplivata nepredvidljivost ZDA in gospodarska prisila, ki se včasih uporablja tudi proti najtesnejšim zavezni-kom; ker morajo ti demokratični partnerji zato poglobiti in diverzificirati svoja partnerstva z drugimi akterji, zlasti z EU, da bi okrepili odpornost in skupne varnostne interese;</w:t>
      </w:r>
    </w:p>
    <w:p w14:paraId="5194AE27" w14:textId="61D6E967" w:rsidR="003F5986" w:rsidRPr="00451CC2" w:rsidRDefault="00C01CEF" w:rsidP="003F5986">
      <w:pPr>
        <w:pStyle w:val="NormalHanging12a"/>
        <w:rPr>
          <w:bCs/>
          <w:iCs/>
        </w:rPr>
      </w:pPr>
      <w:r>
        <w:t>E</w:t>
      </w:r>
      <w:r w:rsidR="003F5986" w:rsidRPr="00451CC2">
        <w:t>.</w:t>
      </w:r>
      <w:r w:rsidR="003F5986" w:rsidRPr="00451CC2">
        <w:tab/>
        <w:t>ker strategija EU za sodelovanje v indijsko-pacifiški regiji temelji na prepričanju, da sta varnost in blaginja EU in indijsko-pacifiške regije neločljivo povezani; ker je v strategiji poudarjeno, kako pomembno je okrepiti sodelovanje EU s to regijo, in sicer z globljim političnim dialogom, tesnejšim gospodarskim sodelovanjem in razširjenimi varnostnimi partnerstvi; ker so zaradi razpadanja na pravilih temelječega reda in tradicionalnih zavezništev ter vzpona agresivnih akterjev, ki jih vodijo imperialistične ambicije, potrebne tesnejše vezi med EU in podobno mislečimi partnerji v regiji, da bi povečali vzajemno varnost in blaginjo;</w:t>
      </w:r>
    </w:p>
    <w:p w14:paraId="4FEA000F" w14:textId="0CC4F800" w:rsidR="003F5986" w:rsidRPr="00451CC2" w:rsidRDefault="00C01CEF" w:rsidP="003F5986">
      <w:pPr>
        <w:pStyle w:val="NormalHanging12a"/>
        <w:rPr>
          <w:bCs/>
          <w:iCs/>
        </w:rPr>
      </w:pPr>
      <w:r>
        <w:t>F</w:t>
      </w:r>
      <w:r w:rsidR="003F5986" w:rsidRPr="00451CC2">
        <w:t>.</w:t>
      </w:r>
      <w:r w:rsidR="003F5986" w:rsidRPr="00451CC2">
        <w:tab/>
        <w:t>ker sta svoboda plovbe in preletov temeljni načeli mednarodnega prava, kot sta zapisani zlasti v Konvenciji OZN o pomorskem mednarodnem pravu, in sta ključnega pomena za gospodarsko varnost Unije;</w:t>
      </w:r>
    </w:p>
    <w:p w14:paraId="5F111CE2" w14:textId="7B6ADAD5" w:rsidR="003F5986" w:rsidRPr="00451CC2" w:rsidRDefault="00C01CEF" w:rsidP="003F5986">
      <w:pPr>
        <w:pStyle w:val="NormalHanging12a"/>
      </w:pPr>
      <w:r>
        <w:t>G</w:t>
      </w:r>
      <w:r w:rsidR="003F5986" w:rsidRPr="00451CC2">
        <w:t>.</w:t>
      </w:r>
      <w:r w:rsidR="003F5986" w:rsidRPr="00451CC2">
        <w:tab/>
        <w:t>ker vse bolj zapleteni varnostni izzivi močno vplivajo na stabilnost in blaginjo Evrope in indijsko-pacifiške regije, saj je stabilnost obeh regij medsebojno bolj povezana kot kdaj koli prej; ker na obe neposredno vplivata obsežna nezakonita ruska invazija na Ukrajino in podpora tretjih držav, kot sta Kitajska in Severna Koreja, ki omogočajo rusko agresijo; ker je nujno zanesljivo sodelovanje med EU in Japonsko ter EU in Republiko Korejo na področju obrambne industrije; ker Japonska in Republika Koreja izstopata, ker Ukrajini namenjata znatno finančno in humanitarno pomoč; ker je Japonska Ukrajini od leta 2022 zagotovila finančno in vojaško pomoč v vrednosti 20 milijard USD in se k temu zavezala; ker ima nestabilnost na Bližnjem vzhodu pomembne posledice za Evropo in vzhodno Azijo v zvezi z energetsko varnostjo in motnjami v dobavni verigi;</w:t>
      </w:r>
    </w:p>
    <w:p w14:paraId="2E8DF759" w14:textId="4D5A1E7B" w:rsidR="003F5986" w:rsidRPr="00451CC2" w:rsidRDefault="00C01CEF" w:rsidP="003F5986">
      <w:pPr>
        <w:pStyle w:val="NormalHanging12a"/>
        <w:rPr>
          <w:bCs/>
          <w:iCs/>
        </w:rPr>
      </w:pPr>
      <w:r>
        <w:lastRenderedPageBreak/>
        <w:t>H</w:t>
      </w:r>
      <w:r w:rsidR="003F5986" w:rsidRPr="00451CC2">
        <w:t>.</w:t>
      </w:r>
      <w:r w:rsidR="003F5986" w:rsidRPr="00451CC2">
        <w:tab/>
        <w:t>ker je v strateškem kompasu za varnost in obrambo navedeno, da nekateri akterji, na primer Demokratična ljudska republika Koreja (DLRK), še naprej ogrožajo regionalni in mednarodni mir in varnost; ker DLRK s svojim jedrskim in raketnim programom, pa tudi morebitnim prenosom tehnologije, povezane z jedrsko oborožitvijo, balističnimi izstrelki in brezpilotnimi zrakoplovi, v Rusijo v zameno za orožje in vojaško osebje resno ogroža mednarodni red, ki temelji na pravilih; ker DLRK s stalnim izstreljevanjem, tudi s preskusi nad Japonsko, vedno znova krši resolucije Varnostnega sveta Združenih narodov;</w:t>
      </w:r>
    </w:p>
    <w:p w14:paraId="1756E4BB" w14:textId="15502D54" w:rsidR="003F5986" w:rsidRPr="00451CC2" w:rsidRDefault="00C01CEF" w:rsidP="003F5986">
      <w:pPr>
        <w:pStyle w:val="NormalHanging12a"/>
        <w:rPr>
          <w:bCs/>
          <w:iCs/>
        </w:rPr>
      </w:pPr>
      <w:r>
        <w:t>I</w:t>
      </w:r>
      <w:r w:rsidR="003F5986" w:rsidRPr="00451CC2">
        <w:t>.</w:t>
      </w:r>
      <w:r w:rsidR="003F5986" w:rsidRPr="00451CC2">
        <w:tab/>
        <w:t>ker sta se zaradi vse večjega pomena digitalnega prostora za delovanje naših družb in gospodarstev povečala število in obseg kibernetskih napadov; ker je v skupnem sporočilu o strategiji EU za kibernetsko varnost v digitalnem desetletju navedeno, da je za boj proti tem grožnjam in ranljivostim potrebno sodelovanje s partnerji, ki spoštujejo pravno državo, temeljne svoboščine, demokracijo in človekove pravice;</w:t>
      </w:r>
    </w:p>
    <w:p w14:paraId="7B9193C6" w14:textId="3FE79E6C" w:rsidR="003F5986" w:rsidRPr="00451CC2" w:rsidRDefault="00C01CEF" w:rsidP="003F5986">
      <w:pPr>
        <w:pStyle w:val="NormalHanging12a"/>
      </w:pPr>
      <w:r>
        <w:t>J</w:t>
      </w:r>
      <w:r w:rsidR="003F5986" w:rsidRPr="00451CC2">
        <w:t>.</w:t>
      </w:r>
      <w:r w:rsidR="003F5986" w:rsidRPr="00451CC2">
        <w:tab/>
        <w:t>ker se interesi EU in svetovna varnost najbolje zaščitijo s poglabljanjem praktičnega sodelovanja s podobno mislečimi partnerji v regiji, zlasti Japonsko, Republiko Korejo in Tajvanom, hkrati pa si je treba prizadevati za načelno in konstruktivno udeležbo regionalnih akterjev, ter s sodelovanjem z Združenjem držav jugovzhodne Azije (ASEAN) kot osrednjim povezovalnim akterjem; ker bi morala ta partnerstva krepiti strateško avtonomijo EU z utrditvijo močne industrijsko-tehnološke baze za evropsko obrambo, pri čemer EU ne bi smela biti premočno odvisna od zunanjih sil; ker bi morala EU preprečiti dinamiko spopadov med bloki ter namesto tega spodbujati sodelovalni multilateralizem in dialog na podlagi mednarodnega prava;</w:t>
      </w:r>
    </w:p>
    <w:p w14:paraId="1ADF1BD4" w14:textId="33B563D6" w:rsidR="003F5986" w:rsidRPr="00451CC2" w:rsidRDefault="00C01CEF" w:rsidP="003F5986">
      <w:pPr>
        <w:pStyle w:val="NormalHanging12a"/>
      </w:pPr>
      <w:r>
        <w:t>K</w:t>
      </w:r>
      <w:r w:rsidR="003F5986" w:rsidRPr="00451CC2">
        <w:t>.</w:t>
      </w:r>
      <w:r w:rsidR="003F5986" w:rsidRPr="00451CC2">
        <w:tab/>
        <w:t>ker je strateško partnerstvo med EU in Japonsko vzor za učinkovito dvostransko sodelovanje, ki krepi oblikovanje politik v multilateralnih forumih; ker začetek veljavnosti sporazuma o strateškem partnerstvu med EU in Japonsko 1. januarja 2025 omogoča tesnejše sodelovanje, tudi na področjih, kot so varnost in obramba, hibridne grožnje, pomorska varnost, kibernetska varnost, vesolje in neširjenje orožja, skupaj z oprijemljivimi skupnimi prizadevanji v okviru zavezništva za konkurenčnost, zelenega zavezništva ter digitalnega partnerstva in energetskega dialoga;</w:t>
      </w:r>
    </w:p>
    <w:p w14:paraId="7C3B4218" w14:textId="50C3D0F9" w:rsidR="003F5986" w:rsidRPr="00451CC2" w:rsidRDefault="00C01CEF" w:rsidP="003F5986">
      <w:pPr>
        <w:pStyle w:val="NormalHanging12a"/>
        <w:rPr>
          <w:bCs/>
          <w:iCs/>
        </w:rPr>
      </w:pPr>
      <w:r>
        <w:t>L</w:t>
      </w:r>
      <w:r w:rsidR="003F5986" w:rsidRPr="00451CC2">
        <w:t>.</w:t>
      </w:r>
      <w:r w:rsidR="003F5986" w:rsidRPr="00451CC2">
        <w:tab/>
        <w:t>ker je v indijsko-pacifiški regiji Japonska najbližja strateška partnerica EU; ker je zaradi svetovnih izzivov in zlasti vse večjih napetosti v indijsko-pacifiški regiji potrebno vse tesnejše partnerstvo med EU in Japonsko; ker je svobodna in odprta indijsko-pacifiška regija v temeljnem interesu Japonske in EU, za katerega si prizadevata zlasti s spodbujanjem mednarodnega reda, ki temelji na pravilih, kjer vse države spoštujejo mednarodno pravo in načelo mirnega reševanja sporov; ker je Japonska pomembna akterka na več forumih v indijsko-pacifiški regiji, kot je vzhodnoazijski vrh; ker si EU in Japonska prizadevata za skupne pristope na dvostranski ravni in v večstranskih forumih, kot so skupini G7 in G20, OZN, Svetovna trgovinska organizacija (STO), Svetovna zdravstvena organizacija (SZO) in Organizacija za gospodarsko sodelovanje in razvoj (OECD), pa tudi za usklajevanje kot podobno misleči donatorki;</w:t>
      </w:r>
    </w:p>
    <w:p w14:paraId="086387C3" w14:textId="0334BE32" w:rsidR="003F5986" w:rsidRPr="00451CC2" w:rsidRDefault="00C01CEF" w:rsidP="003F5986">
      <w:pPr>
        <w:pStyle w:val="NormalHanging12a"/>
        <w:rPr>
          <w:bCs/>
          <w:iCs/>
        </w:rPr>
      </w:pPr>
      <w:r>
        <w:t>M</w:t>
      </w:r>
      <w:r w:rsidR="003F5986" w:rsidRPr="00451CC2">
        <w:t>.</w:t>
      </w:r>
      <w:r w:rsidR="003F5986" w:rsidRPr="00451CC2">
        <w:tab/>
        <w:t>ker je sporazum o gospodarskem partnerstvu med EU in Japonsko začel veljati leta 2019 in je bil leta 2024 spremenjen, da bi vključeval določbe o prostem pretoku podatkov; ker je Japonska sedma največja trgovinska partnerica EU;</w:t>
      </w:r>
    </w:p>
    <w:p w14:paraId="6D5BECD3" w14:textId="60F3323A" w:rsidR="003F5986" w:rsidRPr="00451CC2" w:rsidRDefault="00C01CEF" w:rsidP="003F5986">
      <w:pPr>
        <w:pStyle w:val="NormalHanging12a"/>
        <w:rPr>
          <w:bCs/>
          <w:iCs/>
        </w:rPr>
      </w:pPr>
      <w:r>
        <w:t>N</w:t>
      </w:r>
      <w:r w:rsidR="003F5986" w:rsidRPr="00451CC2">
        <w:t>.</w:t>
      </w:r>
      <w:r w:rsidR="003F5986" w:rsidRPr="00451CC2">
        <w:tab/>
      </w:r>
      <w:bookmarkStart w:id="7" w:name="_Hlk233719618"/>
      <w:r w:rsidR="003F5986" w:rsidRPr="00451CC2">
        <w:t xml:space="preserve">ker je bilo na </w:t>
      </w:r>
      <w:r w:rsidR="00897133">
        <w:t>četrtem</w:t>
      </w:r>
      <w:r w:rsidR="00897133" w:rsidRPr="00451CC2">
        <w:t xml:space="preserve"> </w:t>
      </w:r>
      <w:r w:rsidR="003F5986" w:rsidRPr="00451CC2">
        <w:t>zasedanju sveta za digitalno partnerstvo med EU in Japonsko maja 202</w:t>
      </w:r>
      <w:r w:rsidR="00897133">
        <w:t>6</w:t>
      </w:r>
      <w:r w:rsidR="003F5986" w:rsidRPr="00451CC2">
        <w:t xml:space="preserve"> razširjeno sodelovanje na področju umetne inteligence, 5G/6G, polprevodnikov, kibernetske varnosti in upravljanja podatkov, in </w:t>
      </w:r>
      <w:r w:rsidR="00897133" w:rsidRPr="00897133">
        <w:t xml:space="preserve">pozdravljen napredek </w:t>
      </w:r>
      <w:r w:rsidR="00897133" w:rsidRPr="00897133">
        <w:lastRenderedPageBreak/>
        <w:t>pri skupnem raziskovalnem projektu</w:t>
      </w:r>
      <w:r w:rsidR="003F5986" w:rsidRPr="00451CC2">
        <w:t> 6G MIRAI-HARMONY</w:t>
      </w:r>
      <w:bookmarkEnd w:id="7"/>
      <w:r w:rsidR="003F5986" w:rsidRPr="00451CC2">
        <w:t>;</w:t>
      </w:r>
    </w:p>
    <w:p w14:paraId="7A994233" w14:textId="5C12E5E2" w:rsidR="003F5986" w:rsidRPr="00451CC2" w:rsidRDefault="00C01CEF" w:rsidP="003F5986">
      <w:pPr>
        <w:pStyle w:val="NormalHanging12a"/>
        <w:rPr>
          <w:bCs/>
          <w:iCs/>
        </w:rPr>
      </w:pPr>
      <w:r>
        <w:t>O</w:t>
      </w:r>
      <w:r w:rsidR="003F5986" w:rsidRPr="00451CC2">
        <w:t>.</w:t>
      </w:r>
      <w:r w:rsidR="003F5986" w:rsidRPr="00451CC2">
        <w:tab/>
        <w:t>ker je bilo v energetskem dialogu med EU in Japonsko leta 2025 poudarjeno skupno delo na področju dobavnih verig čiste energije, varnosti utekočinjenega zemeljskega plina in sodelovanja na področju vodika v podporo podnebni nevtralnosti;</w:t>
      </w:r>
    </w:p>
    <w:p w14:paraId="648D9FED" w14:textId="5C09E9D7" w:rsidR="003F5986" w:rsidRPr="00451CC2" w:rsidRDefault="00C01CEF" w:rsidP="003F5986">
      <w:pPr>
        <w:pStyle w:val="NormalHanging12a"/>
        <w:rPr>
          <w:b/>
          <w:bCs/>
          <w:i/>
          <w:iCs/>
          <w:szCs w:val="24"/>
        </w:rPr>
      </w:pPr>
      <w:r>
        <w:t>P</w:t>
      </w:r>
      <w:r w:rsidR="003F5986" w:rsidRPr="00451CC2">
        <w:t>.</w:t>
      </w:r>
      <w:r w:rsidR="003F5986" w:rsidRPr="00451CC2">
        <w:tab/>
        <w:t xml:space="preserve">ker strateško partnerstvo med EU in Republiko Korejo, ki je ključna zaveznico v indijsko-pacifiški regiji, zajema politični dialog ter trgovinsko in varnostno sodelovanje; ker je sporazum o prosti trgovini med EU in Republiko Korejo od začetka veljavnosti prispeval k znatni rasti dvostranske trgovine; ker se z </w:t>
      </w:r>
      <w:bookmarkStart w:id="8" w:name="_Hlk233719710"/>
      <w:r w:rsidR="003F5986" w:rsidRPr="00451CC2">
        <w:t>okvirnim sporazumom med EU in Republiko Korejo</w:t>
      </w:r>
      <w:bookmarkEnd w:id="8"/>
      <w:r w:rsidR="003F5986" w:rsidRPr="00451CC2">
        <w:t xml:space="preserve"> poglabljajo politične, gospodarske in institucionalne vezi, tudi na področju varnosti; ker okvirni sporazum o sodelovanju utrjuje politične in varnostne odnose med EU in Republiko Korejo ter poudarja njune skupne vrednote in interese; ker so se voditelji na vrhu med EU in Republiko Korejo leta 2023 dogovorili o vzpostavitvi varnostnega partnerstva in strateškega dialoga na ravni zunanjih ministrov, da bi povečali sodelovanje na področju svetovnega miru in varnosti; ker partnerstvo med EU in Republiko Korejo na področju varnosti in obrambe zagotavlja strukturiran okvir za sodelovanje na vseh varnostnih področjih; ker so v sporazumu o digitalni trgovini med EU in Republiko Korejo določena vzajemno koristna pravila v zvezi s podatki in digitalnimi tehnologijami; ker ima Republika Koreja ključno vlogo pri regionalni stabilnosti;</w:t>
      </w:r>
    </w:p>
    <w:p w14:paraId="283D3B9D" w14:textId="035CB5AD" w:rsidR="003F5986" w:rsidRPr="00451CC2" w:rsidRDefault="00C01CEF" w:rsidP="003F5986">
      <w:pPr>
        <w:pStyle w:val="NormalHanging12a"/>
        <w:rPr>
          <w:szCs w:val="24"/>
        </w:rPr>
      </w:pPr>
      <w:r>
        <w:t>Q</w:t>
      </w:r>
      <w:r w:rsidR="003F5986" w:rsidRPr="00451CC2">
        <w:t>.</w:t>
      </w:r>
      <w:r w:rsidR="003F5986" w:rsidRPr="00451CC2">
        <w:tab/>
        <w:t>ker je bil sporazum o prosti trgovini med EU in Republiko Korejo prvi v novi generaciji sporazumov o prosti trgovini EU; ker je še vedno pomembno, da se poglavje o trgovini in trajnostnem razvoju iz sporazuma o prosti trgovini med EU in Republiko Korejo izvaja v celoti, vključno z nadaljnjim napredkom na področju pravic delavcev in ratifikacijo Konvencije Mednarodne organizacije dela (MOD) o odpravi prisilnega dela iz leta 1957 (št. 105); ker je Republika Koreja osma največja trgovinska partnerica EU;</w:t>
      </w:r>
    </w:p>
    <w:p w14:paraId="5024BAD2" w14:textId="16B255CA" w:rsidR="003F5986" w:rsidRPr="00451CC2" w:rsidRDefault="00C01CEF" w:rsidP="003F5986">
      <w:pPr>
        <w:pStyle w:val="NormalHanging12a"/>
      </w:pPr>
      <w:r>
        <w:t>R</w:t>
      </w:r>
      <w:r w:rsidR="003F5986" w:rsidRPr="00451CC2">
        <w:t>.</w:t>
      </w:r>
      <w:r w:rsidR="003F5986" w:rsidRPr="00451CC2">
        <w:tab/>
        <w:t>ker je EU že vzpostavila strateški partnerstvi z Japonsko in Republiko Korejo kot podobno mislečima partnericama v regiji; ker Japonska in Republika Koreja namenjata precejšnja sredstva za pospešitev svojega energetskega prehoda, tudi ob upoštevanju njune ratifikacije Pariškega sporazuma leta 2015 in njunih velikih naložb v sončno energijo in odobalno vetrno energijo; ker namerava EU v svojih strateških partnerstvih narediti korak naprej ter okrepiti sodelovanje z Japonsko in Republiko Korejo na področju energije iz obnovljivih virov, da bi do leta 2050 dosegla ogljično nevtralnost;</w:t>
      </w:r>
    </w:p>
    <w:p w14:paraId="2C1FDA64" w14:textId="5291D2BD" w:rsidR="003F5986" w:rsidRPr="00451CC2" w:rsidRDefault="00C01CEF" w:rsidP="003F5986">
      <w:pPr>
        <w:pStyle w:val="NormalHanging12a"/>
      </w:pPr>
      <w:r>
        <w:t>S</w:t>
      </w:r>
      <w:r w:rsidR="003F5986" w:rsidRPr="00451CC2">
        <w:t>.</w:t>
      </w:r>
      <w:r w:rsidR="003F5986" w:rsidRPr="00451CC2">
        <w:tab/>
        <w:t>ker sta Republika Koreja in Japonska vodilni tehnološki akterki, ki z razvojem umetne inteligence, tudi na področju obrambe, oblikujeta odzive na kibernetske in vojaške grožnje, zlasti glede na stalne grožnje DLRK;</w:t>
      </w:r>
    </w:p>
    <w:p w14:paraId="5D09E879" w14:textId="3F4E8AE1" w:rsidR="003F5986" w:rsidRPr="00451CC2" w:rsidRDefault="00C01CEF" w:rsidP="003F5986">
      <w:pPr>
        <w:pStyle w:val="NormalHanging12a"/>
      </w:pPr>
      <w:r>
        <w:t>T</w:t>
      </w:r>
      <w:r w:rsidR="003F5986" w:rsidRPr="00451CC2">
        <w:t>.</w:t>
      </w:r>
      <w:r w:rsidR="003F5986" w:rsidRPr="00451CC2">
        <w:tab/>
        <w:t>ker Avstralija, Japonska in Republika Koreja poglabljajo tristransko sodelovanje, da bi povečale varnost in stabilnost v indijsko-pacifiški regiji, med drugim s skupnimi vojaškimi vajami ter tesnejšim sodelovanjem na področju obrambne tehnologije in odpornosti dobavnih verig; ker to rastoče tristransko usklajevanje temelji na zagonu, ki izhaja iz celovitega strateškega partnerstva Avstralije z Republiko Korejo in njenega posebnega strateškega partnerstva z Japonsko;</w:t>
      </w:r>
    </w:p>
    <w:p w14:paraId="602841FF" w14:textId="4332BAFF" w:rsidR="003F5986" w:rsidRPr="00451CC2" w:rsidRDefault="00C01CEF" w:rsidP="003F5986">
      <w:pPr>
        <w:pStyle w:val="NormalHanging12a"/>
      </w:pPr>
      <w:r>
        <w:t>U</w:t>
      </w:r>
      <w:r w:rsidR="003F5986" w:rsidRPr="00451CC2">
        <w:t>.</w:t>
      </w:r>
      <w:r w:rsidR="003F5986" w:rsidRPr="00451CC2">
        <w:tab/>
        <w:t>ker je Republika Koreja 1. januarja 2025 postala prva azijska država, ki se je pridružila programu Obzorje Evropa, 22. decembra 2025 pa je sledil</w:t>
      </w:r>
      <w:r w:rsidR="00485231" w:rsidRPr="00451CC2">
        <w:t xml:space="preserve"> zaključek pogajanj z</w:t>
      </w:r>
      <w:r w:rsidR="003F5986" w:rsidRPr="00451CC2">
        <w:t xml:space="preserve"> Japonsk</w:t>
      </w:r>
      <w:r w:rsidR="00485231" w:rsidRPr="00451CC2">
        <w:t>o</w:t>
      </w:r>
      <w:r w:rsidR="003F5986" w:rsidRPr="00451CC2">
        <w:t>; ker pristop obeh držav k programu dokazuje njuno trdno zavezanost sodelovanju z EU na področju raziskav in inovacij;</w:t>
      </w:r>
    </w:p>
    <w:p w14:paraId="0378BDE4" w14:textId="0C3C99A3" w:rsidR="003F5986" w:rsidRPr="00451CC2" w:rsidRDefault="00C01CEF" w:rsidP="003F5986">
      <w:pPr>
        <w:pStyle w:val="NormalHanging12a"/>
        <w:rPr>
          <w:bCs/>
          <w:iCs/>
        </w:rPr>
      </w:pPr>
      <w:r>
        <w:lastRenderedPageBreak/>
        <w:t>V</w:t>
      </w:r>
      <w:r w:rsidR="003F5986" w:rsidRPr="00451CC2">
        <w:t>.</w:t>
      </w:r>
      <w:r w:rsidR="003F5986" w:rsidRPr="00451CC2">
        <w:tab/>
        <w:t>ker je Tajvan ključni demokratični partner EU v vzhodnoazijski regiji; ker imata EU in Tajvan skupne vrednote, kot so demokracija, pravna država in človekove pravice, ter sta zavezana ohranjanju multilateralizma in mednarodnega reda, ki temelji na pravilih; ker je v beli knjigi o evropski obrambi – pripravljenost do leta 2030 (JOIN(2025)0120) izražena zaskrbljenost zaradi zaostrovanja političnih, gospodarskih, vojaških in kibernetskih ukrepov kitajske prisile zoper Tajvan; ker sta mir in stabilnost v Tajvanski ožini in Južnokitajskem morju ključnega strateškega pomena za EU in bistvena za svetovno varnost in blaginjo, tudi za mednarodne trgovinske tokove, varnost naložb in delovanje svetovnih dobavnih verig;</w:t>
      </w:r>
    </w:p>
    <w:p w14:paraId="4A1976AB" w14:textId="0BDEC342" w:rsidR="003F5986" w:rsidRPr="00451CC2" w:rsidRDefault="00C01CEF" w:rsidP="003F5986">
      <w:pPr>
        <w:pStyle w:val="NormalHanging12a"/>
        <w:rPr>
          <w:bCs/>
          <w:iCs/>
        </w:rPr>
      </w:pPr>
      <w:r>
        <w:t>W</w:t>
      </w:r>
      <w:r w:rsidR="003F5986" w:rsidRPr="00451CC2">
        <w:t>.</w:t>
      </w:r>
      <w:r w:rsidR="003F5986" w:rsidRPr="00451CC2">
        <w:tab/>
        <w:t>ker je Tajvan 13. največji trgovinski partner EU in ključni gospodarski partner, saj se uvršča med najpomembnejše trgovinske in naložbene partnerje EU v Aziji ter ima osrednjo vlogo v svetovnih vrednostnih verigah, zlasti v proizvodnji polprevodnikov, javnem zdravju, demokratični odpornosti in pripravljenosti na nesreče;</w:t>
      </w:r>
    </w:p>
    <w:p w14:paraId="4DEA69B8" w14:textId="7BF56190" w:rsidR="003F5986" w:rsidRPr="00451CC2" w:rsidRDefault="00C01CEF" w:rsidP="003F5986">
      <w:pPr>
        <w:pStyle w:val="NormalHanging12a"/>
        <w:rPr>
          <w:bCs/>
          <w:iCs/>
        </w:rPr>
      </w:pPr>
      <w:r>
        <w:t>X</w:t>
      </w:r>
      <w:r w:rsidR="003F5986" w:rsidRPr="00451CC2">
        <w:t>.</w:t>
      </w:r>
      <w:r w:rsidR="003F5986" w:rsidRPr="00451CC2">
        <w:tab/>
        <w:t>ker je lega Tajvana strateško pomembna za trgovino; ker je Tajvanska ožina glavna pot za ladje, ki iz Kitajske, Japonske, Republike Koreje in s Tajvana plujejo v Evropo; ker je Tajvan vodilni na trgu proizvodnje polprevodnikov, saj njegovi proizvajalci proizvedejo približno 50 % vseh polprevodnikov na svetu; ker se EU v okviru indijsko-pacifiške strategije zavzema za povečanje trgovinskega in naložbenega sodelovanja s Tajvanom ter stabilizacijo napetosti v Južnokitajskem morju in Tajvanski ožini;</w:t>
      </w:r>
    </w:p>
    <w:p w14:paraId="34E68B64" w14:textId="0FACC00F" w:rsidR="003F5986" w:rsidRPr="00451CC2" w:rsidRDefault="00C01CEF" w:rsidP="003F5986">
      <w:pPr>
        <w:pStyle w:val="NormalHanging12a"/>
        <w:rPr>
          <w:bCs/>
          <w:iCs/>
        </w:rPr>
      </w:pPr>
      <w:r>
        <w:t>Y</w:t>
      </w:r>
      <w:r w:rsidR="003F5986" w:rsidRPr="00451CC2">
        <w:t>.</w:t>
      </w:r>
      <w:r w:rsidR="003F5986" w:rsidRPr="00451CC2">
        <w:tab/>
        <w:t>ker sodelovanje med EU, Japonsko, Republiko Korejo in Tajvanom spodbuja stabilnost, odprte trge in mednarodni red, ki temelji na pravilih; ker imajo ti partnerji pri reševanju svetovnih izzivov skupne interese, vključno z gospodarsko varnostjo in tehnološkim razvojem; ker lahko okrepljeno usklajevanje med EU, Japonsko in Republiko Korejo prispeva k večji skladnosti politik pri reševanju regionalnih in svetovnih izzivov;</w:t>
      </w:r>
    </w:p>
    <w:p w14:paraId="0B7E431D" w14:textId="7150C4E8" w:rsidR="003F5986" w:rsidRPr="00451CC2" w:rsidRDefault="00C01CEF" w:rsidP="003F5986">
      <w:pPr>
        <w:pStyle w:val="NormalHanging12a"/>
        <w:rPr>
          <w:bCs/>
          <w:iCs/>
        </w:rPr>
      </w:pPr>
      <w:r>
        <w:t>Z</w:t>
      </w:r>
      <w:r w:rsidR="003F5986" w:rsidRPr="00451CC2">
        <w:t>.</w:t>
      </w:r>
      <w:r w:rsidR="003F5986" w:rsidRPr="00451CC2">
        <w:tab/>
        <w:t>ker se lahko s tristranskim sodelovanjem med EU, Japonsko, Republiko Korejo in Tajvanom podpre razvoj mednarodnih norm in standardov, zlasti na področju digitalnega upravljanja in dobavnih verig; ker so EU, Japonska in Republika Koreja podobno misleče partnerice z enakimi cilji;</w:t>
      </w:r>
      <w:r w:rsidR="003F5986" w:rsidRPr="00451CC2">
        <w:br/>
        <w:t xml:space="preserve">ker lahko njihovo strateško partnerstvo na področju umetne inteligence deluje kot mehanizem za spodbujanje izmenjav v digitalni trgovini in spoprijemanje s spremembami na svetovnem prizorišču; </w:t>
      </w:r>
    </w:p>
    <w:p w14:paraId="05E16377" w14:textId="429EE0BB" w:rsidR="003F5986" w:rsidRPr="00451CC2" w:rsidRDefault="00C01CEF" w:rsidP="003F5986">
      <w:pPr>
        <w:pStyle w:val="NormalHanging12a"/>
        <w:rPr>
          <w:bCs/>
          <w:iCs/>
        </w:rPr>
      </w:pPr>
      <w:r>
        <w:t>AA</w:t>
      </w:r>
      <w:r w:rsidR="003F5986" w:rsidRPr="00451CC2">
        <w:t>.</w:t>
      </w:r>
      <w:r w:rsidR="003F5986" w:rsidRPr="00451CC2">
        <w:tab/>
        <w:t>ker sta bila z zelenim zavezništvom med EU in Japonsko ter zelenim partnerstvom med EU in Republiko Korejo vzpostavljena konkretna okvira za sodelovanje na področju podnebnih ukrepov, čiste energije, razogljičenja industrije, krožnega gospodarstva in drugih elementov zelenega prehoda; ker je v interesu EU tudi globlje strukturirano sodelovanje s Tajvanom na področju čiste tehnologije in odpornosti dobavnih verig;</w:t>
      </w:r>
    </w:p>
    <w:p w14:paraId="32B17AFD" w14:textId="642047DD" w:rsidR="003F5986" w:rsidRPr="00451CC2" w:rsidRDefault="00C01CEF" w:rsidP="003F5986">
      <w:pPr>
        <w:pStyle w:val="NormalHanging12a"/>
        <w:rPr>
          <w:bCs/>
          <w:iCs/>
        </w:rPr>
      </w:pPr>
      <w:r>
        <w:t>AB</w:t>
      </w:r>
      <w:r w:rsidR="003F5986" w:rsidRPr="00451CC2">
        <w:t>.</w:t>
      </w:r>
      <w:r w:rsidR="003F5986" w:rsidRPr="00451CC2">
        <w:tab/>
        <w:t>ker sta mir in stabilnost v Tajvanski ožini in Južnokitajskem morju strateškega pomena za regionalno in svetovno varnost; ker imajo nekatere države članice EU pomorsko prisotnost v indijsko-pacifiški regiji, EU kot celota pa ima neposreden interes za ohranitev sedanjega stanja;</w:t>
      </w:r>
    </w:p>
    <w:p w14:paraId="5DC7FC92" w14:textId="4571D2A2" w:rsidR="003F5986" w:rsidRPr="00451CC2" w:rsidRDefault="00C01CEF" w:rsidP="003F5986">
      <w:pPr>
        <w:pStyle w:val="NormalHanging12a"/>
        <w:rPr>
          <w:bCs/>
          <w:iCs/>
        </w:rPr>
      </w:pPr>
      <w:r>
        <w:t>AC</w:t>
      </w:r>
      <w:r w:rsidR="003F5986" w:rsidRPr="00451CC2">
        <w:t>.</w:t>
      </w:r>
      <w:r w:rsidR="003F5986" w:rsidRPr="00451CC2">
        <w:tab/>
        <w:t xml:space="preserve">ker so EU in Filipini novembra 2025 vzpostavili dialog o varnosti in obrambi, da bi obravnavali vse bolj kompleksne varnostne grožnje ter spodbudili izmenjave in sodelovanje pri vprašanjih, kot so pomorska varnost, regionalna stabilnost in povezljivost; ker sta EU in Vietnam januarja 2026 svoj odnos nadgradila v celovito strateško partnerstvo, da bi poglobila sodelovanje na najrazličnejših področjih, kot so </w:t>
      </w:r>
      <w:r w:rsidR="003F5986" w:rsidRPr="00451CC2">
        <w:lastRenderedPageBreak/>
        <w:t>pomorska varnost, odpornost dobavnih verig in izboljšanje povezljivosti med Evropo in jugovzhodno Azijo;</w:t>
      </w:r>
    </w:p>
    <w:p w14:paraId="5C3163E0" w14:textId="3AAA7987" w:rsidR="003F5986" w:rsidRPr="00451CC2" w:rsidRDefault="00C01CEF" w:rsidP="003F5986">
      <w:pPr>
        <w:pStyle w:val="NormalHanging12a"/>
        <w:rPr>
          <w:bCs/>
          <w:iCs/>
        </w:rPr>
      </w:pPr>
      <w:r>
        <w:t>AD</w:t>
      </w:r>
      <w:r w:rsidR="003F5986" w:rsidRPr="00451CC2">
        <w:t>.</w:t>
      </w:r>
      <w:r w:rsidR="003F5986" w:rsidRPr="00451CC2">
        <w:tab/>
        <w:t>ker so za razmere na področju človekovih pravic v DLRK še vedno značilne sistematične, razširjene in hude kršitve, vključno z omejevanjem svobode izražanja, gibanja in dostopa do informacij, taborišči za politične zapornike ter dokumentiranimi primeri prisilnega dela in mučenja, in ker ta država v kazenskih postopkih nima vzpostavljenih minimalnih pravnih standardov; ker mednarodne institucije dosledno poročajo o teh kršitvah, mednarodna skupnost pa jim mora stalno namenjati pozornost in ukrepati v zvezi z njimi;</w:t>
      </w:r>
    </w:p>
    <w:p w14:paraId="6DD1655C" w14:textId="3905005E" w:rsidR="003F5986" w:rsidRPr="00451CC2" w:rsidRDefault="00C01CEF" w:rsidP="003F5986">
      <w:pPr>
        <w:pStyle w:val="NormalHanging12a"/>
      </w:pPr>
      <w:r>
        <w:t>AE</w:t>
      </w:r>
      <w:r w:rsidR="003F5986" w:rsidRPr="00451CC2">
        <w:t>.</w:t>
      </w:r>
      <w:r w:rsidR="003F5986" w:rsidRPr="00451CC2">
        <w:tab/>
        <w:t>ker sta navzočnost EU v vzhodnoazijski regiji in sodelovanje z njo izjemno pomembna za spodbujanje miru in stabilnosti v regiji, zaščito gospodarske varnosti in krepitev mednarodnega reda, ki temelji na pravilih, saj varnostni izzivi v tej regiji neposredno vplivajo na svetovni mir in interese EU; ker partnerji v vzhodni Aziji, vključno z Japonsko, Republiko Korejo, Tajvanom in članicami združenja ASEAN, vzdržujejo zapletene in večplastne odnose s Kitajsko, za katere je značilna velika gospodarska soodvisnost;</w:t>
      </w:r>
    </w:p>
    <w:p w14:paraId="152A6439" w14:textId="0FEBE533" w:rsidR="003F5986" w:rsidRPr="00451CC2" w:rsidRDefault="00C01CEF" w:rsidP="003F5986">
      <w:pPr>
        <w:pStyle w:val="NormalHanging12a"/>
        <w:rPr>
          <w:bCs/>
          <w:iCs/>
        </w:rPr>
      </w:pPr>
      <w:r>
        <w:t>AF</w:t>
      </w:r>
      <w:r w:rsidR="003F5986" w:rsidRPr="00451CC2">
        <w:t>.</w:t>
      </w:r>
      <w:r w:rsidR="003F5986" w:rsidRPr="00451CC2">
        <w:tab/>
        <w:t>ker so čezmorske države in ozemlja edina evropska ozemlja v Tihem oceanu in indijsko-pacifiški regiji; ker so to enotne strateške podporne točke za prisotnost, vpliv in sodelovanje EU v teh regijah, med drugim na področju obrambe, trgovine, digitalizacije, vesolja in kulturnega sodelovanja;</w:t>
      </w:r>
    </w:p>
    <w:p w14:paraId="1653A478" w14:textId="67C4A134" w:rsidR="003F5986" w:rsidRPr="00451CC2" w:rsidRDefault="00C01CEF" w:rsidP="003F5986">
      <w:pPr>
        <w:pStyle w:val="NormalHanging12a"/>
        <w:rPr>
          <w:bCs/>
          <w:iCs/>
        </w:rPr>
      </w:pPr>
      <w:r>
        <w:t>AG</w:t>
      </w:r>
      <w:r w:rsidR="003F5986" w:rsidRPr="00451CC2">
        <w:t>.</w:t>
      </w:r>
      <w:r w:rsidR="003F5986" w:rsidRPr="00451CC2">
        <w:tab/>
        <w:t xml:space="preserve">ker je EU največji vir neposrednih tujih naložb na Japonskem, v Južni Koreji in na Tajvanu; </w:t>
      </w:r>
    </w:p>
    <w:p w14:paraId="21D94731" w14:textId="7D693342" w:rsidR="003F5986" w:rsidRPr="00451CC2" w:rsidRDefault="00C01CEF" w:rsidP="003F5986">
      <w:pPr>
        <w:pStyle w:val="NormalHanging12a"/>
        <w:rPr>
          <w:bCs/>
          <w:iCs/>
        </w:rPr>
      </w:pPr>
      <w:r>
        <w:t>AH</w:t>
      </w:r>
      <w:r w:rsidR="003F5986" w:rsidRPr="00451CC2">
        <w:t>.</w:t>
      </w:r>
      <w:r w:rsidR="003F5986" w:rsidRPr="00451CC2">
        <w:tab/>
        <w:t>ker je Celostni in napredni sporazum za čezpacifiško partnerstvo (CPTPP) postal pomemben trgovinski okvir v indijsko-pacifiški regiji, ki temelji na pravilih; ker je Japonska članica CPTPP, Republika Koreja in Tajvan pa sta zaprosila za članstvo; ker je EU novembra 2025 začela dialog o trgovini in naložbah z državami CPTPP;</w:t>
      </w:r>
    </w:p>
    <w:p w14:paraId="278CF41A" w14:textId="77777777" w:rsidR="003F5986" w:rsidRPr="00451CC2" w:rsidRDefault="003F5986" w:rsidP="003F5986">
      <w:pPr>
        <w:pStyle w:val="NormalHanging12a"/>
      </w:pPr>
      <w:r w:rsidRPr="00451CC2">
        <w:t>1.</w:t>
      </w:r>
      <w:r w:rsidRPr="00451CC2">
        <w:tab/>
        <w:t>priporoča, naj Svet, Komisija in podpredsednica Komisije/visoka predstavnica Unije za zunanje zadeve in varnostno politiko:</w:t>
      </w:r>
    </w:p>
    <w:p w14:paraId="657D3FFE" w14:textId="77777777" w:rsidR="003F5986" w:rsidRPr="00451CC2" w:rsidRDefault="003F5986" w:rsidP="003F5986">
      <w:pPr>
        <w:pStyle w:val="NormalHangingLeft12a"/>
        <w:rPr>
          <w:bCs/>
          <w:iCs/>
        </w:rPr>
      </w:pPr>
      <w:r w:rsidRPr="00451CC2">
        <w:t>(a)</w:t>
      </w:r>
      <w:r w:rsidRPr="00451CC2">
        <w:tab/>
        <w:t>okrepijo strateško osredotočenost, navzočnost, prepoznavnost, dialog in sodelovanje EU v vzhodni Aziji, med drugim z diplomatskimi prizadevanji, varnostnim sodelovanjem, medosebnimi stiki in gospodarskimi partnerstvi, da bi preprečili dinamiko spopadov med bloki in prispevali k regionalni stabilnosti, varnosti, blaginji in trajnostnemu razvoju, in sicer na temelju demokracije, multilateralizma, pravne države, človekovih pravic, trgovinskega sistema, ki temelji na pravilih, ozemeljske celovitosti in mednarodnega prava; v zvezi s tem sodelujejo z Japonsko pri njenem posodobljenem konceptu svobodne in odprte indijsko-pacifiške regije; okrepijo sodelovanje, usklajevanje in dialog s podobno mislečimi vzhodnoazijskimi partnerji ter pri tem v celoti izkoristijo njihovo regionalno znanje in izkušnje, da bi oblikovali učinkovitejši, skladnejši in bolj okoliščinam prilagojen pristop k miru, varnosti in stabilnosti v vzhodni Aziji;</w:t>
      </w:r>
    </w:p>
    <w:p w14:paraId="110CD61B" w14:textId="77777777" w:rsidR="003F5986" w:rsidRPr="00451CC2" w:rsidRDefault="003F5986" w:rsidP="003F5986">
      <w:pPr>
        <w:pStyle w:val="NormalHangingLeft12a"/>
        <w:rPr>
          <w:bCs/>
          <w:iCs/>
        </w:rPr>
      </w:pPr>
      <w:r w:rsidRPr="00451CC2">
        <w:t>(b)</w:t>
      </w:r>
      <w:r w:rsidRPr="00451CC2">
        <w:tab/>
        <w:t xml:space="preserve">okrepijo strateško predvidevanje in načrtovanje ravnanja v nepredvidljivih razmerah med EU in njenimi vzhodnoazijskimi partnericami, da bi razvili skupno oceno regionalnih varnostnih tveganj in uskladili odvračilne ukrepe za zaščito miru in stabilnosti v regiji ter prispevanje k njima ter proaktivno odvračali od </w:t>
      </w:r>
      <w:r w:rsidRPr="00451CC2">
        <w:lastRenderedPageBreak/>
        <w:t>enostranskih poskusov spreminjanja regionalnega statusa quo s silo ali prisilo;</w:t>
      </w:r>
    </w:p>
    <w:p w14:paraId="347E93B0" w14:textId="77777777" w:rsidR="003F5986" w:rsidRPr="00451CC2" w:rsidRDefault="003F5986" w:rsidP="003F5986">
      <w:pPr>
        <w:pStyle w:val="NormalHangingLeft12a"/>
        <w:rPr>
          <w:bCs/>
          <w:iCs/>
        </w:rPr>
      </w:pPr>
      <w:r w:rsidRPr="00451CC2">
        <w:t>(c)</w:t>
      </w:r>
      <w:r w:rsidRPr="00451CC2">
        <w:tab/>
        <w:t xml:space="preserve">pozdravijo znaten diplomatski napredek, ki sta ga dosegli vladi Japonske in Republike Koreje pri oblikovanju v prihodnost usmerjenega in odpornega partnerstva, saj je tako okrepljeno sodelovanje med Japonsko in Republiko Korejo bistveno za ohranjanje mednarodnega reda, ki temelji na pravilih, in zagotavljanje stabilnosti v indijsko-pacifiški regiji; </w:t>
      </w:r>
    </w:p>
    <w:p w14:paraId="76F4A485" w14:textId="77777777" w:rsidR="003F5986" w:rsidRPr="00451CC2" w:rsidRDefault="003F5986" w:rsidP="003F5986">
      <w:pPr>
        <w:pStyle w:val="NormalHangingLeft12a"/>
        <w:rPr>
          <w:bCs/>
          <w:iCs/>
        </w:rPr>
      </w:pPr>
      <w:r w:rsidRPr="00451CC2">
        <w:t>(d)</w:t>
      </w:r>
      <w:r w:rsidRPr="00451CC2">
        <w:tab/>
        <w:t>okrepijo strateško avtonomijo in gospodarsko varnost EU z diverzifikacijo trgovine in naložb, varnimi in predvidljivimi dobavnimi verigami, odprtimi trgi in trgovinskimi tokovi ter tesnejšim sodelovanjem s podobno mislečimi partnericami v vzhodni Aziji, hkrati pa zagotovijo vzajemne koristi in lokalno ustvarjanje vrednosti ter ohranijo zavezanost EU pošteni in trajnostni trgovini;</w:t>
      </w:r>
    </w:p>
    <w:p w14:paraId="22587D80" w14:textId="77777777" w:rsidR="003F5986" w:rsidRPr="00451CC2" w:rsidRDefault="003F5986" w:rsidP="003F5986">
      <w:pPr>
        <w:pStyle w:val="NormalHanging12a"/>
        <w:ind w:left="1134"/>
        <w:rPr>
          <w:bCs/>
          <w:iCs/>
        </w:rPr>
      </w:pPr>
      <w:r w:rsidRPr="00451CC2">
        <w:t>(e)</w:t>
      </w:r>
      <w:r w:rsidRPr="00451CC2">
        <w:tab/>
        <w:t xml:space="preserve">poglobijo sodelovanje s podobno mislečimi partnerji v regiji, zlasti Japonsko, Republiko Korejo in Tajvanom ter državami članicami ASEAN, da bi obravnavali skupne izzive na področjih, kot so gospodarska prisila, samovoljni ukrepi za nadzor izvoza, vključno z omejitvami izvoza blaga z dvojno rabo na Japonsko, netržne politike in prakse, demokratična odpornost, okoljski prehod, kibernetska varnost, hibridne grožnje, vključno s tujim manipuliranjem z informacijami in vmešavanjem, zaščita kritične infrastrukture, vštevši podmorske kable ter pristaniška in logistična vozlišča, pomorska in vesoljska varnost, neširjenje orožja in porajajoče se obrambne tehnologije, vključno z naprednimi tehnologijami v zvezi z droni, ter hkrati okrepijo sinergije s ključnimi partnerji in regionalnimi organizacijami ob polnem spoštovanju Ustanovne listine OZN; preučijo in izvajajo skupne pobude, da bi okrepili strateško avtonomijo vsake od partneric in zmanjšali odvisnost od Kitajske; poudarijo, kako pomembne so močne institucije ter živahne demokracije Japonske, Republike Koreje in Tajvana v širšem regionalnem okviru, saj zagotavljajo ključno protiutež v regiji; </w:t>
      </w:r>
    </w:p>
    <w:p w14:paraId="37D362A7" w14:textId="77777777" w:rsidR="003F5986" w:rsidRPr="00451CC2" w:rsidRDefault="003F5986" w:rsidP="003F5986">
      <w:pPr>
        <w:pStyle w:val="NormalHanging12a"/>
        <w:ind w:left="1134"/>
      </w:pPr>
      <w:r w:rsidRPr="00451CC2">
        <w:t>(f)</w:t>
      </w:r>
      <w:r w:rsidRPr="00451CC2">
        <w:tab/>
        <w:t>ob usklajevanju s podobno mislečimi partnerji ohranijo odprte kanale za dialog in načelno sodelovanje z drugimi svetovnimi akterji v vzhodni Aziji, da bi se spoprijeli s skupnimi svetovnimi izzivi;</w:t>
      </w:r>
    </w:p>
    <w:p w14:paraId="437C81A0" w14:textId="77777777" w:rsidR="003F5986" w:rsidRPr="00451CC2" w:rsidRDefault="003F5986" w:rsidP="003F5986">
      <w:pPr>
        <w:pStyle w:val="NormalHanging12a"/>
        <w:ind w:left="1134"/>
      </w:pPr>
      <w:r w:rsidRPr="00451CC2">
        <w:t>(g)</w:t>
      </w:r>
      <w:r w:rsidRPr="00451CC2">
        <w:tab/>
        <w:t xml:space="preserve">ponovno potrdijo, da je spoštovanje mednarodnega prava pomembno za spodbujanje miru in blaginje v svobodni in odprti indijsko-pacifiški regiji; aktivno spodbujajo spoštovanje in splošno uporabo konvencije UNCLOS kot univerzalnega pravnega okvira, ki ureja pomorske dejavnosti, zajemši arbitražno sodbo o Južnokitajskem morju iz leta 2016, ter nasprotujejo enostranskim ukrepom ali zahtevam, ki niso v skladu z mednarodnim pravom; </w:t>
      </w:r>
    </w:p>
    <w:p w14:paraId="1A85B29D" w14:textId="77777777" w:rsidR="003F5986" w:rsidRPr="00451CC2" w:rsidRDefault="003F5986" w:rsidP="003F5986">
      <w:pPr>
        <w:pStyle w:val="NormalHanging12a"/>
        <w:ind w:left="1134"/>
      </w:pPr>
      <w:r w:rsidRPr="00451CC2">
        <w:t>(h)</w:t>
      </w:r>
      <w:r w:rsidRPr="00451CC2">
        <w:tab/>
        <w:t>olajšajo strukturirano vojaško-industrijsko sodelovanje s podobno mislečimi partnerji in vzpostavijo ustrezna varnostna partnerstva, ki bodo osredotočena na interoperabilnost, skupni razvoj in javno naročanje obrambne tehnologije, varnost dobavnih verig ter skupne raziskave in razvoj na področju letalstva in dronov, upoštevajoč tudi prispevek sistemov, ki temeljijo na umetni inteligenci;</w:t>
      </w:r>
    </w:p>
    <w:p w14:paraId="1622028F" w14:textId="77777777" w:rsidR="003F5986" w:rsidRPr="00451CC2" w:rsidRDefault="003F5986" w:rsidP="003F5986">
      <w:pPr>
        <w:pStyle w:val="NormalHanging12a"/>
        <w:ind w:left="1134"/>
      </w:pPr>
      <w:r w:rsidRPr="00451CC2">
        <w:t>(i)</w:t>
      </w:r>
      <w:r w:rsidRPr="00451CC2">
        <w:tab/>
        <w:t>še naprej pragmatično sodelujejo s Kitajsko pri svetovnih izzivih, hkrati pa krepijo usklajevanje s podobno mislečimi partnerji o varnostnih vprašanjih, saj je vloga Kitajske za svetovni mir in stabilnost vse pomembnejša, zlasti glede na vojaško agresijo Rusije proti Ukrajini in nestabilnost na Bližnjem vzhodu;</w:t>
      </w:r>
    </w:p>
    <w:p w14:paraId="31C8F367" w14:textId="77777777" w:rsidR="003F5986" w:rsidRPr="00451CC2" w:rsidRDefault="003F5986" w:rsidP="003F5986">
      <w:pPr>
        <w:pStyle w:val="NormalHanging12a"/>
        <w:ind w:left="1134"/>
        <w:rPr>
          <w:bCs/>
          <w:iCs/>
        </w:rPr>
      </w:pPr>
      <w:r w:rsidRPr="00451CC2">
        <w:lastRenderedPageBreak/>
        <w:t>(j)</w:t>
      </w:r>
      <w:r w:rsidRPr="00451CC2">
        <w:tab/>
        <w:t xml:space="preserve">okrepijo sodelovanje na področju varnih, trajnostnih in raznolikih dobavnih verig za polprevodnike, baterije in kritične surovine, med drugim s sledljivostjo, recikliranjem, krožnostjo ter visokimi okoljskimi in delovnimi standardi, ter se uskladijo s podobno mislečimi partnerji v ustreznih večstranskih pobudah; </w:t>
      </w:r>
    </w:p>
    <w:p w14:paraId="052E8CE4" w14:textId="77777777" w:rsidR="003F5986" w:rsidRPr="00451CC2" w:rsidRDefault="003F5986" w:rsidP="003F5986">
      <w:pPr>
        <w:pStyle w:val="NormalHanging12a"/>
        <w:ind w:left="1134"/>
      </w:pPr>
      <w:r w:rsidRPr="00451CC2">
        <w:t>(k)</w:t>
      </w:r>
      <w:r w:rsidRPr="00451CC2">
        <w:tab/>
        <w:t>nadalje razvijajo sporazum o strateškem partnerstvu med EU in Japonsko ter njuno partnerstvo na področju varnosti in obrambe; spodbujajo tesnejše sodelovanje pri vprašanjih obrambne industrije, vključno z vzajemnim sodelovanjem pri obrambnih pobudah, napredkom pri sporazumu o varnosti informacij in nadaljnjim razvojem dialoga o obrambni industriji med EU in Japonsko, da bi okrepili odpornost dobavnih verig, interoperabilnost in inovacije; okrepijo konkretne skupne dejavnosti v okviru zavezništva za konkurenčnost, zelenega zavezništva, digitalnega partnerstva in energetskih dialogov ter še naprej širijo gospodarski dialog na visoki ravni med EU in Japonsko ter krepijo strateško gospodarsko sodelovanje med stranema; pospešijo izvajanje zavezništva za konkurenčnost med EU in Japonsko;</w:t>
      </w:r>
    </w:p>
    <w:p w14:paraId="65DFAB77" w14:textId="77777777" w:rsidR="003F5986" w:rsidRPr="00451CC2" w:rsidRDefault="003F5986" w:rsidP="003F5986">
      <w:pPr>
        <w:pStyle w:val="NormalHanging12a"/>
        <w:ind w:left="1134"/>
      </w:pPr>
      <w:r w:rsidRPr="00451CC2">
        <w:t>(l)</w:t>
      </w:r>
      <w:r w:rsidRPr="00451CC2">
        <w:tab/>
        <w:t>poudarijo, da sta EU in Japonska izjemno podobno misleči partnerici, ki se opirata na skupne vrednote, demokracijo, prosto trgovino in vzajemno združljive interese; poudarijo, da je treba to partnerstvo dodatno poglobiti in razširiti na dvostranski in večstranski ravni; opozorijo, da EU in Japonska skupaj proizvedeta skoraj 25 % svetovnega bruto domačega proizvoda (BDP), njuno partnerstvo pa bi lahko imelo oziroma bi moralo imeti ključno vlogo pri oblikovanju miroljubnega, vključujočega, pravičnega, trajnostnega in uspešnega mednarodnega reda, ki temelji na pravilih; pozdravijo japonsko finančno, tehnično, humanitarno in varnostno pomoč Ukrajini od začetka obsežne ruske invazije leta 2022;</w:t>
      </w:r>
    </w:p>
    <w:p w14:paraId="50C1ED9D" w14:textId="77777777" w:rsidR="003F5986" w:rsidRPr="00451CC2" w:rsidRDefault="003F5986" w:rsidP="003F5986">
      <w:pPr>
        <w:pStyle w:val="NormalHanging12a"/>
        <w:ind w:left="1134"/>
      </w:pPr>
      <w:r w:rsidRPr="00451CC2">
        <w:t>(m)</w:t>
      </w:r>
      <w:r w:rsidRPr="00451CC2">
        <w:tab/>
        <w:t>pospešijo izvajanje partnerstva med EU in Republiko Korejo na področju varnosti in obrambe ter spodbujajo praktično sodelovanje na področjih pomorske varnosti, neširjenja orožja, kibernetske varnosti, boja proti terorizmu in kriznega upravljanja, in sicer na podlagi obstoječih skupnih operacij in iskanja možnosti nadaljnjega sodelovanja v okviru orodja EU za koordinirano prisotnost na morju; začnejo skupni dialog med EU in Republiko Korejo o obrambni industriji ter okrepijo usklajevanje v večstranskih forumih za ohranjanje miru, odvračanje provokacij in spodbujanje denuklearizacije; nadgrajujejo uspešno in vzajemno koristno sodelovanje na področju obrambnih proizvodov med Republiko Korejo in državami članicami EU; poglobijo sodelovanje med EU in Republiko Korejo, da bi povečali vojaško in finančno podporo Ukrajini;</w:t>
      </w:r>
    </w:p>
    <w:p w14:paraId="3AC583C4" w14:textId="77777777" w:rsidR="003F5986" w:rsidRPr="00451CC2" w:rsidRDefault="003F5986" w:rsidP="003F5986">
      <w:pPr>
        <w:pStyle w:val="NormalHanging12a"/>
        <w:ind w:left="1134"/>
      </w:pPr>
      <w:r w:rsidRPr="00451CC2">
        <w:t>(n)</w:t>
      </w:r>
      <w:r w:rsidRPr="00451CC2">
        <w:tab/>
        <w:t>pozdravijo sodelovanje Republike Koreje z EU glede skupnih vprašanj gospodarske varnosti; poudarijo, da Republika Koreja ostaja ključna partnerica pri vseh prizadevanjih za zmanjševanje tveganj in omejitev poslovnega sodelovanja na prijateljske države, zlasti na področju trgovine; pozovejo Specializirani odbor za nastajajoča trgovinska in gospodarska vprašanja, ki je bil na novo ustanovljen v okviru sporazuma o prosti trgovini med EU in Republiko Korejo, naj pospeši sodelovanje, zlasti pri temah, ki so pomembne za gospodarsko varnost, kot so kritične dobavne verige in presežne zmogljivosti;</w:t>
      </w:r>
    </w:p>
    <w:p w14:paraId="465CC6FA" w14:textId="77777777" w:rsidR="003F5986" w:rsidRPr="00451CC2" w:rsidRDefault="003F5986" w:rsidP="003F5986">
      <w:pPr>
        <w:pStyle w:val="NormalHanging12a"/>
        <w:ind w:left="1134"/>
      </w:pPr>
      <w:r w:rsidRPr="00451CC2">
        <w:t>(o)</w:t>
      </w:r>
      <w:r w:rsidRPr="00451CC2">
        <w:tab/>
        <w:t xml:space="preserve">pospešijo skupna prizadevanja s podobno mislečimi partnerji v Vzhodni Aziji, da bi obravnavali vse tesnejše sodelovanje Rusije z DLRK, vključno z njeno podporo pri krepitvi jedrskih in balističnih zmogljivosti DLRK in nepripravljenostjo Kitajske, da bi to preprečila, ter obravnavali povezavo med jedrskima </w:t>
      </w:r>
      <w:r w:rsidRPr="00451CC2">
        <w:lastRenderedPageBreak/>
        <w:t>programoma DLRK in Irana, pri čemer naj poudarijo, da to sodelovanje še bolj zaostruje napeto geopolitično okolje na Korejskem polotoku; okrepijo sodelovanje z Republiko Korejo pri obravnavanju dezinformacijskih kampanj v volilnih procesih in zaščiti volilne infrastrukture pred kibernetskimi napadi;</w:t>
      </w:r>
    </w:p>
    <w:p w14:paraId="704A3750" w14:textId="77777777" w:rsidR="003F5986" w:rsidRPr="00451CC2" w:rsidRDefault="003F5986" w:rsidP="003F5986">
      <w:pPr>
        <w:pStyle w:val="NormalHanging12a"/>
        <w:ind w:left="1134"/>
      </w:pPr>
      <w:r w:rsidRPr="00451CC2">
        <w:t>(p)</w:t>
      </w:r>
      <w:r w:rsidRPr="00451CC2">
        <w:tab/>
        <w:t>pozdravijo prizadevanja Republike Koreje, da bi s proaktivnimi ukrepi za umiritev razmer in ukrepi za krepitev zaupanja ponovno vzpostavila dialog z DLRK; pozovejo DLRK, naj nemudoma preneha z vsemi vojaškimi akcijami in provokacijami ter razvojem jedrskih zmogljivosti in zmogljivosti za balistične izstrelke; odločno obsodijo in učinkovito obravnavajo zlonamerne kibernetske dejavnosti DLRK, vključno s krajo kriptovalut in drugimi oblikami kibernetske kriminalitete; pozovejo DLRK, naj omogoči dostop organizacijam za humanitarno pomoč, spoštuje človekove pravice in zlasti nemudoma reši vprašanje ugrabitev; pozovejo Rusijo in DLRK, naj v celoti spoštujeta Ustanovno listino OZN in resolucije varnostnega sveta OZN, tudi glede popolne denuklearizacije DLRK; obsodijo prispevek DLRK k ruski agresiji proti Ukrajini, vključno z njenim sodelovanjem z napotitvijo vojaškega osebja in opreme; podrobneje opredelijo politiko EU v zvezi s Severno Korejo tako, da se bodo v njej ustrezno upoštevali strokovno znanje, varnostne potrebe in upravičene pomisleke podobno mislečih partnerjev v regiji, zlasti tistih, ki so v neposredni geografski bližini DLRK, predvsem Republike Koreje in Japonske;</w:t>
      </w:r>
    </w:p>
    <w:p w14:paraId="6A38F7BD" w14:textId="77777777" w:rsidR="003F5986" w:rsidRPr="00451CC2" w:rsidRDefault="003F5986" w:rsidP="003F5986">
      <w:pPr>
        <w:pStyle w:val="NormalHanging12a"/>
        <w:ind w:left="1134"/>
        <w:rPr>
          <w:bCs/>
          <w:iCs/>
        </w:rPr>
      </w:pPr>
      <w:r w:rsidRPr="00451CC2">
        <w:t>(q)</w:t>
      </w:r>
      <w:r w:rsidRPr="00451CC2">
        <w:tab/>
        <w:t>vzpostavijo strukturiran in celovit okvir za sodelovanje med EU in Tajvanom, ki bo temeljil na obstoječih mehanizmih, kot je dialog o trgovini in naložbah, z močno gospodarsko in trgovinsko komponento ter bo osredotočen na kritične tehnologije, kot so polprevodniki in umetna inteligenca in odpornost dobavne verige, kibernetsko varnost, protiukrepe zoper dezinformacije, pomorsko varnost, javno zdravje, civilno zaščito in varno povezljivost; ter demokratično, družbeno in energetsko odpornost in pripravljenost na nesreče; še naprej podpirajo smiselno sodelovanje Tajvana v ustreznih mednarodnih organih in tehničnih forumih, kot so Svetovna zdravstvena organizacija, Mednarodna organizacija civilnega letalstva in Okvirna konvencija OZN o spremembi podnebja; okrepijo redne izmenjave med EU in tajvanskimi sogovorniki o pomembnih varnostnih vprašanjih, gospodarski varnosti, prožnosti dobavne verige, integriteti demokracije in volitev, zaščiti kritične infrastrukture in sodelovanju na področju zelene tehnologije; spodbujajo kitajske oblasti, naj se pri spoprijemanju z velikimi svetovnimi zdravstvenimi izzivi tesno usklajujejo z drugimi regionalnimi akterji, tudi Tajvanom; poudarijo, da so nesprejemljivi vsi poskusi avtoritarnih režimov, da bi vplivali na odnose med EU in Tajvanom;</w:t>
      </w:r>
    </w:p>
    <w:p w14:paraId="2684FB48" w14:textId="77777777" w:rsidR="003F5986" w:rsidRPr="00451CC2" w:rsidRDefault="003F5986" w:rsidP="003F5986">
      <w:pPr>
        <w:pStyle w:val="NormalHanging12a"/>
        <w:ind w:left="1134"/>
        <w:rPr>
          <w:bCs/>
          <w:iCs/>
        </w:rPr>
      </w:pPr>
      <w:r w:rsidRPr="00451CC2">
        <w:t>(r)</w:t>
      </w:r>
      <w:r w:rsidRPr="00451CC2">
        <w:tab/>
        <w:t>poudarijo, da je Tajvan ključen demokratični partner EU v indijsko-pacifiški regiji; dodatno poglobijo dialog o trgovini in naložbah med EU in Tajvanom, da bi odpravili ovire za dostop do trga in povečali pravno varnost za vlagatelje iz EU; preučijo možnost začetka pogajanj o dvostranskem sporazumu o naložbah ali drugih okvirih, povezanih s trgovino, med EU in Tajvanom; priznajo, da je Tajvan pomemben za delovanje svetovnih dobavnih verig, zlasti v visokotehnološkem sektorju, ter pozovejo EU in njene države članice k tesnejšemu sodelovanju s to državo, da bi še utrdile gospodarske, trgovinske in naložbene vezi; priznajo izkušnje Tajvana pri upravljanju gospodarske izpostavljenosti Kitajski in njegove prednosti na področjih demokratičnega upravljanja, preglednih regulativnih standardov ter odpornih digitalnih in tehnoloških ekosistemov;</w:t>
      </w:r>
    </w:p>
    <w:p w14:paraId="56A8C907" w14:textId="77777777" w:rsidR="003F5986" w:rsidRPr="00451CC2" w:rsidRDefault="003F5986" w:rsidP="003F5986">
      <w:pPr>
        <w:pStyle w:val="NormalHanging12a"/>
        <w:ind w:left="1134"/>
        <w:rPr>
          <w:bCs/>
          <w:iCs/>
        </w:rPr>
      </w:pPr>
      <w:r w:rsidRPr="00451CC2">
        <w:lastRenderedPageBreak/>
        <w:t>(s)</w:t>
      </w:r>
      <w:r w:rsidRPr="00451CC2">
        <w:tab/>
        <w:t>ponovno potrdijo pomen miru in stabilnosti preko Tajvanske ožine z zavrnitvijo vsakršne prisilne enostranske spremembe sedanjega stanja; z jasnim in usklajenim komuniciranjem skupaj z državami članicami in podobno mislečimi partnerji poskrbijo, da bodo ti ukrepi povzročili znatne politične in gospodarske stroške; poudarijo, da je treba vsa razhajanja reševati mirno z dialogom, v skladu z mednarodnim pravom in ob spoštovanju volje tajvanskega ljudstva; odločno spomnijo, da je treba v indijsko-pacifiški regiji, tudi Južnokitajskem morju in Tajvanski ožini, spoštovati svobodo plovbe in preletov, kot je zagotovljena z mednarodnim pravom; dejavno sodelujejo v diplomatskih prizadevanjih, da bi preprečili nadaljnje zaostrovanje razmer v Tajvanski ožini ter Vzhodnokitajskem in Južnokitajskem morju; nujno pripravijo načrte za ravnanje v nepredvidljivih razmerah in blažitvene ukrepe na podlagi verjetnih scenarijev zaostrovanja, tudi pomorske blokade Tajvana, ki bi jo uvedla Ljudska republika Kitajska;</w:t>
      </w:r>
    </w:p>
    <w:p w14:paraId="24350383" w14:textId="77777777" w:rsidR="003F5986" w:rsidRPr="00451CC2" w:rsidRDefault="003F5986" w:rsidP="003F5986">
      <w:pPr>
        <w:pStyle w:val="NormalHanging12a"/>
        <w:ind w:left="1134"/>
        <w:rPr>
          <w:bCs/>
          <w:iCs/>
        </w:rPr>
      </w:pPr>
      <w:r w:rsidRPr="00451CC2">
        <w:t>(t)</w:t>
      </w:r>
      <w:r w:rsidRPr="00451CC2">
        <w:tab/>
        <w:t xml:space="preserve">poudarijo pomen instrumentov EU za gospodarsko varnost pri odzivanju na prisilne gospodarske prakse in zaščiti poštene konkurence, vključno z mehanizmom za odvračanje od prisilnih ukrepov, učinkovitimi mehanizmi za pregled neposrednih tujih naložb in režimi za nadzor izvoza, kadar je to ustrezno in v skladu s pravom EU; združijo geoekonomski vzvod EU, tudi z usklajenim nadzorom izvoza, skupnimi ocenami tveganja in kolektivnim odzivanjem na gospodarsko prisilo, s čimer bi dvostranske odvisnosti preoblikovali v učinkovito odvračanje ter okrepili gospodarsko varnost EU in njenih partneric; </w:t>
      </w:r>
    </w:p>
    <w:p w14:paraId="20D476A2" w14:textId="77777777" w:rsidR="003F5986" w:rsidRPr="00451CC2" w:rsidRDefault="003F5986" w:rsidP="003F5986">
      <w:pPr>
        <w:pStyle w:val="NormalHanging12a"/>
        <w:ind w:left="1134"/>
        <w:rPr>
          <w:bCs/>
          <w:iCs/>
        </w:rPr>
      </w:pPr>
      <w:r w:rsidRPr="00451CC2">
        <w:t>(u)</w:t>
      </w:r>
      <w:r w:rsidRPr="00451CC2">
        <w:tab/>
        <w:t>pospešijo sodelovanje s pogajanji o tristranskih ali štiristranskih sporazumih in pobudah o vprašanjih skupnega interesa, ki bodo prispevali k ohranjanju večstranskega mednarodnega reda, ki temelji na pravilih; poskrbijo za napredovanje obstoječih digitalnih partnerstev med EU in Japonsko ter EU in Republiko Korejo s skupnimi zavezami glede umetne inteligence, polprevodnikov, povezljivosti naslednje generacije, kvantnega računalništva, upravljanja podatkov, kibernetske varnosti, tehnologij baterij, podvodnih kablov, digitalne identitete in odpornosti dobavnih verig; okrepijo okvire sodelovanja za razvoj obrambne tehnologije;</w:t>
      </w:r>
    </w:p>
    <w:p w14:paraId="11D7E79E" w14:textId="77777777" w:rsidR="003F5986" w:rsidRPr="00451CC2" w:rsidRDefault="003F5986" w:rsidP="003F5986">
      <w:pPr>
        <w:pStyle w:val="NormalHanging12a"/>
        <w:ind w:left="1134"/>
        <w:rPr>
          <w:bCs/>
          <w:iCs/>
        </w:rPr>
      </w:pPr>
      <w:r w:rsidRPr="00451CC2">
        <w:t>(v)</w:t>
      </w:r>
      <w:r w:rsidRPr="00451CC2">
        <w:tab/>
        <w:t>v celoti in učinkovito izvajajo trgovinske sporazume z Japonsko in Republiko Korejo, tudi na področjih dostopa do trga, necarinskih ovir, trajnostnega razvoja in regulativnega sodelovanja, ter v odnosih z Republiko Korejo zagotovijo izvajanje temeljnih konvencij Mednarodne organizacije dela; poglobijo sodelovanje med malimi in srednjimi podjetji (MSP) v EU in v njenih partnerskih državah v vzhodni Aziji, da bi spodbudili vzajemne poslovne priložnosti, izboljšali dostop do trga in okrepili inovacijske mreže;</w:t>
      </w:r>
    </w:p>
    <w:p w14:paraId="22DD45CF" w14:textId="77777777" w:rsidR="003F5986" w:rsidRPr="00451CC2" w:rsidRDefault="003F5986" w:rsidP="003F5986">
      <w:pPr>
        <w:pStyle w:val="NormalHanging12a"/>
        <w:ind w:left="1134"/>
        <w:rPr>
          <w:bCs/>
          <w:iCs/>
        </w:rPr>
      </w:pPr>
      <w:r w:rsidRPr="00451CC2">
        <w:t>(w)</w:t>
      </w:r>
      <w:r w:rsidRPr="00451CC2">
        <w:tab/>
        <w:t>zagotovijo, da bodo vsi prihodnji gospodarski ali sektorski sporazumi s podobno mislečimi partnerji v regiji vzajemno koristna partnerstva, ki bodo presegala gospodarske in varnostne cilje, ter da bodo vključevali tudi čvrste zaveze glede pravic delavcev, varstva okolja ter razvoja čistih in trajnostnih vrednostnih verig v skladu z okvirom EU za trgovino in trajnostni razvoj; v vzhodni Aziji spodbujajo obsežno informacijsko kampanjo o politikah Evropske unije v zvezi z jeklarskim sektorjem in predlogom akta o pospeševanju industrijske proizvodnje</w:t>
      </w:r>
      <w:r w:rsidRPr="00451CC2">
        <w:rPr>
          <w:rStyle w:val="FootnoteReference"/>
          <w:bCs/>
          <w:iCs/>
        </w:rPr>
        <w:footnoteReference w:id="11"/>
      </w:r>
      <w:r w:rsidRPr="00451CC2">
        <w:t xml:space="preserve">, da bi izboljšali preglednost in razumevanje ciljev EU med mednarodnimi partnerji; poudarijo, kako pomembno je proaktivno sodelovanje z vzhodnoazijskimi </w:t>
      </w:r>
      <w:r w:rsidRPr="00451CC2">
        <w:lastRenderedPageBreak/>
        <w:t>partnerji, da bi obravnavali njihove pomisleke, spodbujali dialog in preprečevali morebitne nesporazume v trgovinskih in industrijskih odnosih;</w:t>
      </w:r>
    </w:p>
    <w:p w14:paraId="1DCBCC86" w14:textId="77777777" w:rsidR="003F5986" w:rsidRPr="00451CC2" w:rsidRDefault="003F5986" w:rsidP="003F5986">
      <w:pPr>
        <w:pStyle w:val="NormalHanging12a"/>
        <w:ind w:left="1134"/>
        <w:rPr>
          <w:bCs/>
          <w:iCs/>
        </w:rPr>
      </w:pPr>
      <w:r w:rsidRPr="00451CC2">
        <w:t>(x)</w:t>
      </w:r>
      <w:r w:rsidRPr="00451CC2">
        <w:tab/>
        <w:t>ukrepajo v zvezi z domnevnim ruskim izogibanjem sankcijam prek jurisdikcij v vzhodni Aziji, ki med drugim vključuje preusmerjanje trgovine za nakup sankcioniranega blaga z dvojno rabo, mikročipov in industrijskih strojev prek posrednikov v regiji;</w:t>
      </w:r>
    </w:p>
    <w:p w14:paraId="2E71FE9B" w14:textId="77777777" w:rsidR="003F5986" w:rsidRPr="00451CC2" w:rsidRDefault="003F5986" w:rsidP="003F5986">
      <w:pPr>
        <w:pStyle w:val="NormalHanging12a"/>
        <w:ind w:left="1134"/>
        <w:rPr>
          <w:bCs/>
          <w:iCs/>
        </w:rPr>
      </w:pPr>
      <w:r w:rsidRPr="00451CC2">
        <w:t>(y)</w:t>
      </w:r>
      <w:r w:rsidRPr="00451CC2">
        <w:tab/>
        <w:t>povečajo politično, gospodarsko in varnostno sodelovanje EU v indijsko-pacifiški regiji kot celoti z okrepljenimi partnerstvi z vsemi podobno mislečimi akterji in s pobudami, kot je strategija Global Gateway, ter spodbujanjem dialogov o človekovih pravicah, trajnostnega razvoja in povezljivosti, enakosti in visokih delovnih standardov; priznajo vse večje zbliževanje strateških interesov evroatlantske in indijsko-pacifiške regije, saj Japonska in Republika Koreja delujeta kot partnerici Nata v okviru IP4, kar dokazuje tudi nedavna vzpostavitev misije Japonske pri Natu; potrdijo, da se s tem sodelovanjem krepi vzajemno situacijsko zavedanje na področju varnosti v obeh regijah; podprejo Natov okvir IP4 kot bistven prispevek, s katerim se z dopolnjevanjem in vzajemno krepitvijo povečuje evropska varnost in poglablja medregionalno sodelovanje; okrepijo sodelovanje in usklajevanje EU s ključnimi regionalnimi varnostnimi pobudami v indijsko-pacifiški regiji, tudi s štiristranskim varnostnim dialogom med Združenimi državami Amerike, Avstralijo, Indijo in Japonsko; oblikujejo celovito, skladno in prožno novo indijsko-pacifiško strategijo, ki bo trdno zasidrana v evropskih vrednotah in interesih, pa tudi v dejanskih razmerah v regiji ter njenih potrebah in prednostnih nalogah;</w:t>
      </w:r>
    </w:p>
    <w:p w14:paraId="6641568D" w14:textId="77777777" w:rsidR="003F5986" w:rsidRPr="00451CC2" w:rsidRDefault="003F5986" w:rsidP="003F5986">
      <w:pPr>
        <w:pStyle w:val="NormalHanging12a"/>
        <w:ind w:left="1134"/>
        <w:rPr>
          <w:bCs/>
          <w:iCs/>
        </w:rPr>
      </w:pPr>
      <w:r w:rsidRPr="00451CC2">
        <w:t>(z)</w:t>
      </w:r>
      <w:r w:rsidRPr="00451CC2">
        <w:tab/>
        <w:t>izkoristijo strateški položaj čezmorskih držav in ozemelj v indijsko-pacifiški regiji kot napredne platforme za sodelovanje z regionalnimi partnerji, zlasti na področjih trgovine, digitalne povezljivosti, kritične infrastrukture in vesoljskih dejavnosti;</w:t>
      </w:r>
    </w:p>
    <w:p w14:paraId="73A23BAE" w14:textId="77777777" w:rsidR="003F5986" w:rsidRPr="00451CC2" w:rsidRDefault="003F5986" w:rsidP="003F5986">
      <w:pPr>
        <w:pStyle w:val="NormalHanging12a"/>
        <w:ind w:left="1134"/>
        <w:rPr>
          <w:bCs/>
          <w:iCs/>
        </w:rPr>
      </w:pPr>
      <w:r w:rsidRPr="00451CC2">
        <w:t>(aa)</w:t>
      </w:r>
      <w:r w:rsidRPr="00451CC2">
        <w:tab/>
        <w:t>opozorijo na pomembno vlogo, ki jo ima združenje ASEAN pri zagotavljanju stabilnosti ter spodbujanju družbenega in gospodarskega povezovanja; pozdravijo vse tesnejše sodelovanje Japonske in Republike Koreje z združenjem ASEAN, med drugim z rednimi dvostranskimi in večstranskimi vrhi; poudarijo ključni pomen ASEAN za mir in blaginjo v indijsko-pacifiški regiji; okrepijo strukturirano sodelovanje z združenjem ASEAN, da bi vzpostavili vključujoče regionalne varnostne strukture, uskladili večstranske politične odzive in dodatno utrdili navzočnost EU v regiji, in sicer s poglobitvijo sodelovanja z združenjem ASEAN in njegovimi državami članicami, med drugim z okrepljenim varnostnim in obrambnim dialogom z Vietnamom in Filipini; spodbujajo krepitev vloge Unije in njeno prepoznavnost v regionalnih formatih, zlasti v okvirih sodelovanja z združenjem ASEAN, hkrati pa pomorsko varnost in zaščito, kibernetsko varnost in krizno upravljanje opredelijo kot prednostna področja za razširjeno sodelovanje na podlagi pobud, kot so ESIWA+, CRIMARIO II in projekti za varnost svetovnih pristanišč;</w:t>
      </w:r>
    </w:p>
    <w:p w14:paraId="31D887F6" w14:textId="77777777" w:rsidR="003F5986" w:rsidRPr="00451CC2" w:rsidRDefault="003F5986" w:rsidP="003F5986">
      <w:pPr>
        <w:pStyle w:val="NormalHanging12a"/>
        <w:ind w:left="1134"/>
      </w:pPr>
      <w:r w:rsidRPr="00451CC2">
        <w:t>(ab)</w:t>
      </w:r>
      <w:r w:rsidRPr="00451CC2">
        <w:tab/>
        <w:t xml:space="preserve">razširijo skupno ukrepanje na področju netradicionalne varnosti, kot so iskanje in reševanje, odzivanje na nesreče in okoljske nesreče; uvedejo strukturirano pobudo za okrepitev zaščite in odpornosti kritične pomorske infrastrukture, tudi podmorskih kablov, cevovodov in pristanišč; izboljšajo pomorsko situacijsko zavedanje s ciljno usmerjeno krepitvijo zmogljivosti, usposabljanjem, senzorji in </w:t>
      </w:r>
      <w:r w:rsidRPr="00451CC2">
        <w:lastRenderedPageBreak/>
        <w:t>izmenjavo podatkov v sodelovanju z obalnimi stražami združenja ASEAN in regionalnimi centri za združevanje informacij;</w:t>
      </w:r>
    </w:p>
    <w:p w14:paraId="5AE4A4AF" w14:textId="77777777" w:rsidR="003F5986" w:rsidRPr="00451CC2" w:rsidRDefault="003F5986" w:rsidP="003F5986">
      <w:pPr>
        <w:pStyle w:val="NormalHanging12a"/>
        <w:ind w:left="1134"/>
        <w:rPr>
          <w:bCs/>
          <w:iCs/>
        </w:rPr>
      </w:pPr>
      <w:r w:rsidRPr="00451CC2">
        <w:t>(ac)</w:t>
      </w:r>
      <w:r w:rsidRPr="00451CC2">
        <w:tab/>
        <w:t>podprejo krepitev medosebnih stikov s ciljno usmerjenimi programi mobilnosti za raziskovalce, inženirje in strokovnjake za kibernetsko varnost, pa tudi s pobudami za strukturirano tesno medinstitucionalno sodelovanje med evropskimi in vzhodnoazijskimi inovacijskimi vozlišči; poglobijo vzajemno razumevanje skupnih vrednot med študenti iz obeh regij, tako da poglobijo, razširijo in okrepijo izobraževalne programe, kot je Erasmus+, s podobno mislečimi partnerji v regiji; okrepijo izmenjave med parlamenti, javnimi uslužbenci, lokalnimi organi in civilno družbo; bolj podpirajo učenje jezikov, kulturne izmenjave in pobude, ki jih vodijo mladi, da bi vzpostavili dolgoročno družbeno odpornost in zaupanje med regijama;</w:t>
      </w:r>
    </w:p>
    <w:p w14:paraId="108EAFE2" w14:textId="77777777" w:rsidR="003F5986" w:rsidRPr="00451CC2" w:rsidRDefault="003F5986" w:rsidP="003F5986">
      <w:pPr>
        <w:pStyle w:val="NormalHanging12a"/>
        <w:ind w:left="1134"/>
        <w:rPr>
          <w:bCs/>
          <w:iCs/>
        </w:rPr>
      </w:pPr>
      <w:r w:rsidRPr="00451CC2">
        <w:t>(ad)</w:t>
      </w:r>
      <w:r w:rsidRPr="00451CC2">
        <w:tab/>
        <w:t>razširijo sodelovanje v okviru programa Obzorje Evropa, da bi okrepili vzajemno koristno sodelovanje na področju znanosti in tehnologije, in pozdravijo dejstvo, da je Republika Koreja julija 2025 postala prva azijska država, ki se je pridružila stebru II programa Obzorje Evropa, in da je EU decembra 2025 uspešno zaključila pogajanja z Japonsko o njeni pridružitvi programu Obzorje Evropa; razmislijo o začetku pogajanj s Tajvanom v okviru programa Obzorje Evropa; podprejo prepoznavnost EU v regiji s smiselnimi prizadevanji kulturne in javne diplomacije;</w:t>
      </w:r>
    </w:p>
    <w:p w14:paraId="4CFE3091" w14:textId="77777777" w:rsidR="003F5986" w:rsidRPr="00451CC2" w:rsidRDefault="003F5986" w:rsidP="003F5986">
      <w:pPr>
        <w:pStyle w:val="NormalHanging12a"/>
        <w:rPr>
          <w:bCs/>
          <w:iCs/>
        </w:rPr>
      </w:pPr>
      <w:r w:rsidRPr="00451CC2">
        <w:t>2.</w:t>
      </w:r>
      <w:r w:rsidRPr="00451CC2">
        <w:tab/>
        <w:t>se nadeja poglabljanja parlamentarne diplomacije in medparlamentarnih izmenjav o zadevah v skupnem interesu z japonskim parlamentom, narodno skupščino Republike Koreje in tajvanskim zakonodajnim zborom; je trdno prepričan, da bi morali skupaj s krepitvijo strateških partnerstev z Japonsko in Republiko Korejo v zadnjih letih okrepiti tudi vezi na medparlamentarni ravni; meni, da bi bila za celovit program sodelovanja z obema državama koristna redna in strukturirana izmenjava med poslanci; poleg tega meni, da bi bilo treba preučiti možnost ustanovitve skupnega parlamentarnega odbora EU-Japonska in skupnega parlamentarnega odbora EU-Republika Koreja;</w:t>
      </w:r>
    </w:p>
    <w:p w14:paraId="0853CF17" w14:textId="482F70AB" w:rsidR="00E365E1" w:rsidRPr="00451CC2" w:rsidRDefault="003F5986" w:rsidP="00485231">
      <w:pPr>
        <w:pStyle w:val="NormalHanging12a"/>
      </w:pPr>
      <w:r w:rsidRPr="00451CC2">
        <w:t>3.</w:t>
      </w:r>
      <w:r w:rsidRPr="00451CC2">
        <w:tab/>
        <w:t>naroči svoji predsednici, naj to resolucijo posreduje Svetu, Komisiji, podpredsednici Komisije/visoki predstavnici Unije za zunanje zadeve in varnostno politiko, vladam in parlamentom držav članic, vladam in parlamentom Japonske, Republike Koreje in Tajvana ter sekretariatu in državam članicam Združenja držav jugovzhodne Azije.</w:t>
      </w:r>
    </w:p>
    <w:sectPr w:rsidR="00E365E1" w:rsidRPr="00451CC2" w:rsidSect="0074128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AD1B6" w14:textId="77777777" w:rsidR="000A5280" w:rsidRPr="00741284" w:rsidRDefault="000A5280">
      <w:r w:rsidRPr="00741284">
        <w:separator/>
      </w:r>
    </w:p>
  </w:endnote>
  <w:endnote w:type="continuationSeparator" w:id="0">
    <w:p w14:paraId="6B65EAF0" w14:textId="77777777" w:rsidR="000A5280" w:rsidRPr="00741284" w:rsidRDefault="000A5280">
      <w:r w:rsidRPr="007412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783E" w14:textId="77777777" w:rsidR="000A5280" w:rsidRPr="00741284" w:rsidRDefault="000A5280">
      <w:r w:rsidRPr="00741284">
        <w:separator/>
      </w:r>
    </w:p>
  </w:footnote>
  <w:footnote w:type="continuationSeparator" w:id="0">
    <w:p w14:paraId="0101E2FC" w14:textId="77777777" w:rsidR="000A5280" w:rsidRPr="00741284" w:rsidRDefault="000A5280">
      <w:r w:rsidRPr="00741284">
        <w:continuationSeparator/>
      </w:r>
    </w:p>
  </w:footnote>
  <w:footnote w:id="1">
    <w:p w14:paraId="0965B2F0" w14:textId="5E28F4F7"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UL L 216, 24.8.2018, str. 4, ELI: </w:t>
      </w:r>
      <w:hyperlink r:id="rId1" w:tooltip="Omogoča dostop do dokumenta prek označevalnika/predloge ELI URI." w:history="1">
        <w:r w:rsidRPr="00741284">
          <w:rPr>
            <w:rStyle w:val="Hyperlink"/>
            <w:sz w:val="24"/>
            <w:lang w:val="sl-SI"/>
          </w:rPr>
          <w:t>http://data.europa.eu/eli/agree_internation/2018/1197/oj</w:t>
        </w:r>
      </w:hyperlink>
      <w:r w:rsidRPr="00741284">
        <w:rPr>
          <w:sz w:val="24"/>
          <w:lang w:val="sl-SI"/>
        </w:rPr>
        <w:t>.</w:t>
      </w:r>
    </w:p>
  </w:footnote>
  <w:footnote w:id="2">
    <w:p w14:paraId="1D8E5291" w14:textId="1D252400"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UL L 20, 23.1.2013, str. 2.</w:t>
      </w:r>
    </w:p>
  </w:footnote>
  <w:footnote w:id="3">
    <w:p w14:paraId="7802530C" w14:textId="7EF3B7FC"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 xml:space="preserve">UL L 330, 27.12.2018, str. 3, ELI: </w:t>
      </w:r>
      <w:hyperlink r:id="rId2" w:history="1">
        <w:r w:rsidRPr="00741284">
          <w:rPr>
            <w:rStyle w:val="Hyperlink"/>
            <w:sz w:val="24"/>
            <w:lang w:val="sl-SI"/>
          </w:rPr>
          <w:t>http://data.europa.eu/eli/agree_internation/2018/1907/oj</w:t>
        </w:r>
      </w:hyperlink>
      <w:r w:rsidRPr="00741284">
        <w:rPr>
          <w:sz w:val="24"/>
          <w:lang w:val="sl-SI"/>
        </w:rPr>
        <w:t>.</w:t>
      </w:r>
    </w:p>
  </w:footnote>
  <w:footnote w:id="4">
    <w:p w14:paraId="0C38F36A" w14:textId="27BD779F"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UL L 127, 14.5.2011, str. 6, ELI: </w:t>
      </w:r>
      <w:hyperlink r:id="rId3" w:tooltip="Omogoča dostop do dokumenta prek označevalnika/predloge ELI URI." w:history="1">
        <w:r w:rsidRPr="00741284">
          <w:rPr>
            <w:rStyle w:val="Hyperlink"/>
            <w:sz w:val="24"/>
            <w:lang w:val="sl-SI"/>
          </w:rPr>
          <w:t>http://data.europa.eu/eli/agree_internation/2011/265/oj</w:t>
        </w:r>
      </w:hyperlink>
      <w:r w:rsidRPr="00741284">
        <w:rPr>
          <w:sz w:val="24"/>
          <w:lang w:val="sl-SI"/>
        </w:rPr>
        <w:t>.</w:t>
      </w:r>
    </w:p>
  </w:footnote>
  <w:footnote w:id="5">
    <w:p w14:paraId="7FDEED50" w14:textId="46019648"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UL C 493, 27.12.2022, str. 32.</w:t>
      </w:r>
    </w:p>
  </w:footnote>
  <w:footnote w:id="6">
    <w:p w14:paraId="26432507" w14:textId="03091907"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 xml:space="preserve">UL C, C/2024/4167, 2.8.2024, ELI: </w:t>
      </w:r>
      <w:hyperlink r:id="rId4" w:history="1">
        <w:r w:rsidRPr="00741284">
          <w:rPr>
            <w:rStyle w:val="Hyperlink"/>
            <w:sz w:val="24"/>
            <w:lang w:val="sl-SI"/>
          </w:rPr>
          <w:t>http://data.europa.eu/eli/C/2024/4167/oj</w:t>
        </w:r>
      </w:hyperlink>
      <w:r w:rsidRPr="00741284">
        <w:rPr>
          <w:sz w:val="24"/>
          <w:lang w:val="sl-SI"/>
        </w:rPr>
        <w:t>.</w:t>
      </w:r>
    </w:p>
  </w:footnote>
  <w:footnote w:id="7">
    <w:p w14:paraId="78F046E5" w14:textId="38E6E0D9"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Sprejeta besedila, P10_TA(2026)0012.</w:t>
      </w:r>
    </w:p>
  </w:footnote>
  <w:footnote w:id="8">
    <w:p w14:paraId="34DCB8BA" w14:textId="746CFE7C"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 xml:space="preserve">UL C, C/2025/1809, 4.4.2025, ELI: </w:t>
      </w:r>
      <w:hyperlink r:id="rId5" w:history="1">
        <w:r w:rsidRPr="00741284">
          <w:rPr>
            <w:rStyle w:val="Hyperlink"/>
            <w:sz w:val="24"/>
            <w:lang w:val="sl-SI"/>
          </w:rPr>
          <w:t>http://data.europa.eu/eli/C/2025/1809/oj</w:t>
        </w:r>
      </w:hyperlink>
      <w:r w:rsidRPr="00741284">
        <w:rPr>
          <w:sz w:val="24"/>
          <w:lang w:val="sl-SI"/>
        </w:rPr>
        <w:t>.</w:t>
      </w:r>
    </w:p>
  </w:footnote>
  <w:footnote w:id="9">
    <w:p w14:paraId="12A78307" w14:textId="07E10259"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 xml:space="preserve">UL C, C/2025/487, 29.1.2025, ELI: </w:t>
      </w:r>
      <w:hyperlink r:id="rId6" w:history="1">
        <w:r w:rsidRPr="00741284">
          <w:rPr>
            <w:rStyle w:val="Hyperlink"/>
            <w:sz w:val="24"/>
            <w:lang w:val="sl-SI"/>
          </w:rPr>
          <w:t>http://data.europa.eu/eli/C/2025/487/oj</w:t>
        </w:r>
      </w:hyperlink>
      <w:r w:rsidRPr="00741284">
        <w:rPr>
          <w:sz w:val="24"/>
          <w:lang w:val="sl-SI"/>
        </w:rPr>
        <w:t>.</w:t>
      </w:r>
    </w:p>
  </w:footnote>
  <w:footnote w:id="10">
    <w:p w14:paraId="3F5A53A6" w14:textId="1BBFDD86"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 xml:space="preserve">UL C, C/2024/4174, 2.8.2024, ELI: </w:t>
      </w:r>
      <w:hyperlink r:id="rId7" w:history="1">
        <w:r w:rsidRPr="00741284">
          <w:rPr>
            <w:rStyle w:val="Hyperlink"/>
            <w:sz w:val="24"/>
            <w:lang w:val="sl-SI"/>
          </w:rPr>
          <w:t>http://data.europa.eu/eli/C/2024/4174/oj</w:t>
        </w:r>
      </w:hyperlink>
      <w:r w:rsidRPr="00741284">
        <w:rPr>
          <w:sz w:val="24"/>
          <w:lang w:val="sl-SI"/>
        </w:rPr>
        <w:t>.</w:t>
      </w:r>
    </w:p>
  </w:footnote>
  <w:footnote w:id="11">
    <w:p w14:paraId="0747D250" w14:textId="2664DE1C" w:rsidR="003F5986" w:rsidRPr="00741284" w:rsidRDefault="003F5986" w:rsidP="00741284">
      <w:pPr>
        <w:pStyle w:val="FootnoteText"/>
        <w:ind w:left="567" w:hanging="567"/>
        <w:rPr>
          <w:sz w:val="24"/>
          <w:lang w:val="sl-SI"/>
        </w:rPr>
      </w:pPr>
      <w:r w:rsidRPr="00741284">
        <w:rPr>
          <w:rStyle w:val="FootnoteReference"/>
          <w:sz w:val="24"/>
          <w:lang w:val="sl-SI"/>
        </w:rPr>
        <w:footnoteRef/>
      </w:r>
      <w:r w:rsidR="00741284" w:rsidRPr="00741284">
        <w:rPr>
          <w:sz w:val="24"/>
          <w:lang w:val="sl-SI"/>
        </w:rPr>
        <w:t xml:space="preserve"> </w:t>
      </w:r>
      <w:r w:rsidR="00741284" w:rsidRPr="00741284">
        <w:rPr>
          <w:sz w:val="24"/>
          <w:lang w:val="sl-SI"/>
        </w:rPr>
        <w:tab/>
      </w:r>
      <w:r w:rsidRPr="00741284">
        <w:rPr>
          <w:sz w:val="24"/>
          <w:lang w:val="sl-SI"/>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9356821">
    <w:abstractNumId w:val="9"/>
  </w:num>
  <w:num w:numId="2" w16cid:durableId="160775955">
    <w:abstractNumId w:val="9"/>
  </w:num>
  <w:num w:numId="3" w16cid:durableId="1425343378">
    <w:abstractNumId w:val="7"/>
  </w:num>
  <w:num w:numId="4" w16cid:durableId="774206708">
    <w:abstractNumId w:val="7"/>
  </w:num>
  <w:num w:numId="5" w16cid:durableId="55201311">
    <w:abstractNumId w:val="6"/>
  </w:num>
  <w:num w:numId="6" w16cid:durableId="1772123713">
    <w:abstractNumId w:val="6"/>
  </w:num>
  <w:num w:numId="7" w16cid:durableId="1792630343">
    <w:abstractNumId w:val="5"/>
  </w:num>
  <w:num w:numId="8" w16cid:durableId="230314447">
    <w:abstractNumId w:val="5"/>
  </w:num>
  <w:num w:numId="9" w16cid:durableId="1611738020">
    <w:abstractNumId w:val="4"/>
  </w:num>
  <w:num w:numId="10" w16cid:durableId="1313438621">
    <w:abstractNumId w:val="4"/>
  </w:num>
  <w:num w:numId="11" w16cid:durableId="1001855394">
    <w:abstractNumId w:val="8"/>
  </w:num>
  <w:num w:numId="12" w16cid:durableId="1535926064">
    <w:abstractNumId w:val="8"/>
  </w:num>
  <w:num w:numId="13" w16cid:durableId="1901482899">
    <w:abstractNumId w:val="3"/>
  </w:num>
  <w:num w:numId="14" w16cid:durableId="1987783720">
    <w:abstractNumId w:val="3"/>
  </w:num>
  <w:num w:numId="15" w16cid:durableId="1874150783">
    <w:abstractNumId w:val="2"/>
  </w:num>
  <w:num w:numId="16" w16cid:durableId="1486312828">
    <w:abstractNumId w:val="2"/>
  </w:num>
  <w:num w:numId="17" w16cid:durableId="1013646762">
    <w:abstractNumId w:val="1"/>
  </w:num>
  <w:num w:numId="18" w16cid:durableId="1807045127">
    <w:abstractNumId w:val="1"/>
  </w:num>
  <w:num w:numId="19" w16cid:durableId="1543590699">
    <w:abstractNumId w:val="0"/>
  </w:num>
  <w:num w:numId="20" w16cid:durableId="1010377607">
    <w:abstractNumId w:val="0"/>
  </w:num>
  <w:num w:numId="21" w16cid:durableId="1220168612">
    <w:abstractNumId w:val="9"/>
  </w:num>
  <w:num w:numId="22" w16cid:durableId="496850267">
    <w:abstractNumId w:val="7"/>
  </w:num>
  <w:num w:numId="23" w16cid:durableId="968322879">
    <w:abstractNumId w:val="6"/>
  </w:num>
  <w:num w:numId="24" w16cid:durableId="1412583767">
    <w:abstractNumId w:val="5"/>
  </w:num>
  <w:num w:numId="25" w16cid:durableId="1714033991">
    <w:abstractNumId w:val="4"/>
  </w:num>
  <w:num w:numId="26" w16cid:durableId="51198484">
    <w:abstractNumId w:val="8"/>
  </w:num>
  <w:num w:numId="27" w16cid:durableId="176383049">
    <w:abstractNumId w:val="3"/>
  </w:num>
  <w:num w:numId="28" w16cid:durableId="2028287614">
    <w:abstractNumId w:val="2"/>
  </w:num>
  <w:num w:numId="29" w16cid:durableId="1590193245">
    <w:abstractNumId w:val="1"/>
  </w:num>
  <w:num w:numId="30" w16cid:durableId="591932511">
    <w:abstractNumId w:val="0"/>
  </w:num>
  <w:num w:numId="31" w16cid:durableId="1583488051">
    <w:abstractNumId w:val="9"/>
  </w:num>
  <w:num w:numId="32" w16cid:durableId="2005350240">
    <w:abstractNumId w:val="7"/>
  </w:num>
  <w:num w:numId="33" w16cid:durableId="894855771">
    <w:abstractNumId w:val="6"/>
  </w:num>
  <w:num w:numId="34" w16cid:durableId="518352829">
    <w:abstractNumId w:val="5"/>
  </w:num>
  <w:num w:numId="35" w16cid:durableId="786195590">
    <w:abstractNumId w:val="4"/>
  </w:num>
  <w:num w:numId="36" w16cid:durableId="791556141">
    <w:abstractNumId w:val="8"/>
  </w:num>
  <w:num w:numId="37" w16cid:durableId="710034369">
    <w:abstractNumId w:val="3"/>
  </w:num>
  <w:num w:numId="38" w16cid:durableId="1157114407">
    <w:abstractNumId w:val="2"/>
  </w:num>
  <w:num w:numId="39" w16cid:durableId="724455395">
    <w:abstractNumId w:val="1"/>
  </w:num>
  <w:num w:numId="40" w16cid:durableId="1244024592">
    <w:abstractNumId w:val="0"/>
  </w:num>
  <w:num w:numId="41" w16cid:durableId="1410999180">
    <w:abstractNumId w:val="10"/>
  </w:num>
  <w:num w:numId="42" w16cid:durableId="2103645602">
    <w:abstractNumId w:val="10"/>
  </w:num>
  <w:num w:numId="43" w16cid:durableId="1025059794">
    <w:abstractNumId w:val="10"/>
  </w:num>
  <w:num w:numId="44" w16cid:durableId="11758750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SL"/>
    <w:docVar w:name="dvnumam" w:val="39"/>
    <w:docVar w:name="dvpe" w:val="776.904"/>
    <w:docVar w:name="dvrapporteur" w:val="Poročevalec: "/>
    <w:docVar w:name="dvtitre" w:val="Priporočilo Evropskega parlamenta Svetu o priporočilu Evropskega parlamenta Svetu, Komisiji in podpredsednici Komisije/visoki predstavnici Unije za zunanje zadeve in varnostno politiko o spreminjajočih se geopolitičnih razmerah v vzhodni Aziji in nujnosti tesnejšega sodelovanja s podobno mislečimi partnerji v regiji(2025/2169(INI))"/>
  </w:docVars>
  <w:rsids>
    <w:rsidRoot w:val="000A5280"/>
    <w:rsid w:val="00002272"/>
    <w:rsid w:val="00064002"/>
    <w:rsid w:val="000677B9"/>
    <w:rsid w:val="000831BA"/>
    <w:rsid w:val="000A42CC"/>
    <w:rsid w:val="000A5280"/>
    <w:rsid w:val="000E7DD9"/>
    <w:rsid w:val="0010095E"/>
    <w:rsid w:val="00125B37"/>
    <w:rsid w:val="00187494"/>
    <w:rsid w:val="001F32AE"/>
    <w:rsid w:val="00242D58"/>
    <w:rsid w:val="00272419"/>
    <w:rsid w:val="002767FF"/>
    <w:rsid w:val="00287463"/>
    <w:rsid w:val="002B18FE"/>
    <w:rsid w:val="002B5493"/>
    <w:rsid w:val="002F5C99"/>
    <w:rsid w:val="00343214"/>
    <w:rsid w:val="00361C00"/>
    <w:rsid w:val="00395FA1"/>
    <w:rsid w:val="003C5860"/>
    <w:rsid w:val="003E15D4"/>
    <w:rsid w:val="003F5986"/>
    <w:rsid w:val="00411CCE"/>
    <w:rsid w:val="0041666E"/>
    <w:rsid w:val="00421060"/>
    <w:rsid w:val="00451CC2"/>
    <w:rsid w:val="00471C19"/>
    <w:rsid w:val="0048523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284"/>
    <w:rsid w:val="00747932"/>
    <w:rsid w:val="00751A4A"/>
    <w:rsid w:val="00756632"/>
    <w:rsid w:val="00762C74"/>
    <w:rsid w:val="00786EC0"/>
    <w:rsid w:val="007D1690"/>
    <w:rsid w:val="007E22AD"/>
    <w:rsid w:val="00817416"/>
    <w:rsid w:val="00842779"/>
    <w:rsid w:val="00865F67"/>
    <w:rsid w:val="00881A7B"/>
    <w:rsid w:val="008840E5"/>
    <w:rsid w:val="00887B3E"/>
    <w:rsid w:val="0089713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CEF"/>
    <w:rsid w:val="00C05BFE"/>
    <w:rsid w:val="00C23CD4"/>
    <w:rsid w:val="00C61C0C"/>
    <w:rsid w:val="00C941CB"/>
    <w:rsid w:val="00CC2357"/>
    <w:rsid w:val="00CF071A"/>
    <w:rsid w:val="00D058B8"/>
    <w:rsid w:val="00D56C11"/>
    <w:rsid w:val="00D834A0"/>
    <w:rsid w:val="00D872DF"/>
    <w:rsid w:val="00D91E21"/>
    <w:rsid w:val="00D97D72"/>
    <w:rsid w:val="00DA7FCD"/>
    <w:rsid w:val="00E365E1"/>
    <w:rsid w:val="00E820A4"/>
    <w:rsid w:val="00EB006A"/>
    <w:rsid w:val="00EB4772"/>
    <w:rsid w:val="00ED169E"/>
    <w:rsid w:val="00ED4235"/>
    <w:rsid w:val="00F04346"/>
    <w:rsid w:val="00F075DC"/>
    <w:rsid w:val="00F149E9"/>
    <w:rsid w:val="00F5134D"/>
    <w:rsid w:val="00F74202"/>
    <w:rsid w:val="00F87713"/>
    <w:rsid w:val="00F931E3"/>
    <w:rsid w:val="00FB4360"/>
    <w:rsid w:val="00FD0C70"/>
    <w:rsid w:val="00FF2A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045DC"/>
  <w15:chartTrackingRefBased/>
  <w15:docId w15:val="{649F6511-DA33-4087-8461-69B7F4C1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5986"/>
    <w:pPr>
      <w:spacing w:before="480" w:after="240"/>
    </w:pPr>
  </w:style>
  <w:style w:type="paragraph" w:customStyle="1" w:styleId="NormalHanging12a">
    <w:name w:val="NormalHanging12a"/>
    <w:basedOn w:val="Normal"/>
    <w:link w:val="NormalHanging12aChar"/>
    <w:rsid w:val="003F5986"/>
    <w:pPr>
      <w:spacing w:after="240"/>
      <w:ind w:left="567" w:hanging="567"/>
    </w:pPr>
  </w:style>
  <w:style w:type="paragraph" w:customStyle="1" w:styleId="NormalHangingLeft12a">
    <w:name w:val="NormalHangingLeft12a"/>
    <w:basedOn w:val="Normal"/>
    <w:rsid w:val="003F5986"/>
    <w:pPr>
      <w:spacing w:after="240"/>
      <w:ind w:left="1134" w:hanging="567"/>
    </w:pPr>
  </w:style>
  <w:style w:type="character" w:styleId="Hyperlink">
    <w:name w:val="Hyperlink"/>
    <w:basedOn w:val="DefaultParagraphFont"/>
    <w:rsid w:val="003F5986"/>
    <w:rPr>
      <w:color w:val="0563C1" w:themeColor="hyperlink"/>
      <w:u w:val="single"/>
    </w:rPr>
  </w:style>
  <w:style w:type="character" w:customStyle="1" w:styleId="NormalHanging12aChar">
    <w:name w:val="NormalHanging12a Char"/>
    <w:basedOn w:val="DefaultParagraphFont"/>
    <w:link w:val="NormalHanging12a"/>
    <w:rsid w:val="003F5986"/>
    <w:rPr>
      <w:sz w:val="24"/>
      <w:lang w:val="sl-SI"/>
    </w:rPr>
  </w:style>
  <w:style w:type="paragraph" w:styleId="Revision">
    <w:name w:val="Revision"/>
    <w:hidden/>
    <w:uiPriority w:val="99"/>
    <w:semiHidden/>
    <w:rsid w:val="0048523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5957</Words>
  <Characters>37528</Characters>
  <Application>Microsoft Office Word</Application>
  <DocSecurity>0</DocSecurity>
  <Lines>312</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2026-07-07T12:54:00Z</dcterms:created>
  <dcterms:modified xsi:type="dcterms:W3CDTF">2026-07-07T12:54:00Z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A10-0189/2026</vt:lpwstr>
  </property>
  <property fmtid="{D5CDD505-2E9C-101B-9397-08002B2CF9AE}" pid="4" name="&lt;Type&gt;">
    <vt:lpwstr>RR</vt:lpwstr>
  </property>
</Properties>
</file>