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12A9" w14:paraId="6FA922B7" w14:textId="77777777" w:rsidTr="0010095E">
        <w:trPr>
          <w:trHeight w:hRule="exact" w:val="1418"/>
        </w:trPr>
        <w:tc>
          <w:tcPr>
            <w:tcW w:w="6804" w:type="dxa"/>
            <w:shd w:val="clear" w:color="auto" w:fill="auto"/>
            <w:vAlign w:val="center"/>
          </w:tcPr>
          <w:p w14:paraId="5BEAE15E" w14:textId="77777777" w:rsidR="00751A4A" w:rsidRPr="00E912A9" w:rsidRDefault="00326236" w:rsidP="0010095E">
            <w:pPr>
              <w:pStyle w:val="EPName"/>
            </w:pPr>
            <w:r w:rsidRPr="00E912A9">
              <w:t>Europaparlamentet</w:t>
            </w:r>
          </w:p>
          <w:p w14:paraId="5CD4A75E" w14:textId="77777777" w:rsidR="00751A4A" w:rsidRPr="00E912A9" w:rsidRDefault="005F1B17" w:rsidP="005F1B17">
            <w:pPr>
              <w:pStyle w:val="EPTerm"/>
              <w:rPr>
                <w:rStyle w:val="HideTWBExt"/>
                <w:noProof w:val="0"/>
                <w:vanish w:val="0"/>
                <w:color w:val="auto"/>
              </w:rPr>
            </w:pPr>
            <w:r w:rsidRPr="00E912A9">
              <w:t>2024</w:t>
            </w:r>
            <w:r w:rsidR="00817416" w:rsidRPr="00E912A9">
              <w:t>-202</w:t>
            </w:r>
            <w:r w:rsidRPr="00E912A9">
              <w:t>9</w:t>
            </w:r>
          </w:p>
        </w:tc>
        <w:tc>
          <w:tcPr>
            <w:tcW w:w="2268" w:type="dxa"/>
            <w:shd w:val="clear" w:color="auto" w:fill="auto"/>
          </w:tcPr>
          <w:p w14:paraId="6525A148" w14:textId="77777777" w:rsidR="00751A4A" w:rsidRPr="00E912A9" w:rsidRDefault="00187494" w:rsidP="0010095E">
            <w:pPr>
              <w:pStyle w:val="EPLogo"/>
            </w:pPr>
            <w:r w:rsidRPr="00E912A9">
              <w:rPr>
                <w:noProof/>
                <w:lang w:eastAsia="ja-JP"/>
              </w:rPr>
              <w:drawing>
                <wp:inline distT="0" distB="0" distL="0" distR="0" wp14:anchorId="3EEEABA3" wp14:editId="653B6E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A5C556" w14:textId="77777777" w:rsidR="00D058B8" w:rsidRPr="00E912A9" w:rsidRDefault="00D058B8" w:rsidP="004C5D52">
      <w:pPr>
        <w:pStyle w:val="LineTop"/>
      </w:pPr>
    </w:p>
    <w:p w14:paraId="60903BA6" w14:textId="77777777" w:rsidR="00680577" w:rsidRPr="00E912A9" w:rsidRDefault="00326236" w:rsidP="00680577">
      <w:pPr>
        <w:pStyle w:val="EPBodyTA1"/>
      </w:pPr>
      <w:r w:rsidRPr="00E912A9">
        <w:t>ANTAGNA TEXTER</w:t>
      </w:r>
    </w:p>
    <w:p w14:paraId="184D2D1E" w14:textId="77777777" w:rsidR="00D058B8" w:rsidRPr="00E912A9" w:rsidRDefault="00D058B8" w:rsidP="00D058B8">
      <w:pPr>
        <w:pStyle w:val="LineBottom"/>
      </w:pPr>
    </w:p>
    <w:p w14:paraId="63C89B42" w14:textId="77D7DDA8" w:rsidR="00326236" w:rsidRPr="00E912A9" w:rsidRDefault="00326236" w:rsidP="00326236">
      <w:pPr>
        <w:pStyle w:val="ATHeading1"/>
      </w:pPr>
      <w:bookmarkStart w:id="0" w:name="TANumber"/>
      <w:r w:rsidRPr="00E912A9">
        <w:t>P10_TA(2026)0</w:t>
      </w:r>
      <w:bookmarkEnd w:id="0"/>
      <w:r w:rsidR="00B75175">
        <w:t>246</w:t>
      </w:r>
    </w:p>
    <w:p w14:paraId="21F91822" w14:textId="77777777" w:rsidR="00326236" w:rsidRPr="00E912A9" w:rsidRDefault="00326236" w:rsidP="00326236">
      <w:pPr>
        <w:pStyle w:val="ATHeading2"/>
      </w:pPr>
      <w:bookmarkStart w:id="1" w:name="title"/>
      <w:r w:rsidRPr="00E912A9">
        <w:t xml:space="preserve">Rekommendation om den föränderliga geopolitiska situationen i </w:t>
      </w:r>
      <w:proofErr w:type="spellStart"/>
      <w:r w:rsidRPr="00E912A9">
        <w:t>Östasien</w:t>
      </w:r>
      <w:proofErr w:type="spellEnd"/>
      <w:r w:rsidRPr="00E912A9">
        <w:t xml:space="preserve"> och behovet av ett närmare samarbete med likasinnade partner i regionen</w:t>
      </w:r>
      <w:bookmarkEnd w:id="1"/>
    </w:p>
    <w:p w14:paraId="6C1F8C11" w14:textId="77777777" w:rsidR="00326236" w:rsidRPr="00E912A9" w:rsidRDefault="00326236" w:rsidP="00326236">
      <w:pPr>
        <w:rPr>
          <w:i/>
          <w:vanish/>
        </w:rPr>
      </w:pPr>
      <w:r w:rsidRPr="00E912A9">
        <w:rPr>
          <w:i/>
        </w:rPr>
        <w:fldChar w:fldCharType="begin"/>
      </w:r>
      <w:r w:rsidRPr="00E912A9">
        <w:rPr>
          <w:i/>
        </w:rPr>
        <w:instrText xml:space="preserve"> TC"(</w:instrText>
      </w:r>
      <w:bookmarkStart w:id="2" w:name="DocNumber"/>
      <w:r w:rsidRPr="00E912A9">
        <w:rPr>
          <w:i/>
        </w:rPr>
        <w:instrText>A10-0189/2026</w:instrText>
      </w:r>
      <w:bookmarkEnd w:id="2"/>
      <w:r w:rsidRPr="00E912A9">
        <w:rPr>
          <w:i/>
        </w:rPr>
        <w:instrText xml:space="preserve"> - Föredragande: Adam </w:instrText>
      </w:r>
      <w:proofErr w:type="spellStart"/>
      <w:r w:rsidRPr="00E912A9">
        <w:rPr>
          <w:i/>
        </w:rPr>
        <w:instrText>Bielan</w:instrText>
      </w:r>
      <w:proofErr w:type="spellEnd"/>
      <w:r w:rsidRPr="00E912A9">
        <w:rPr>
          <w:i/>
        </w:rPr>
        <w:instrText xml:space="preserve">)"\l3 \n&gt; \* MERGEFORMAT </w:instrText>
      </w:r>
      <w:r w:rsidRPr="00E912A9">
        <w:rPr>
          <w:i/>
        </w:rPr>
        <w:fldChar w:fldCharType="end"/>
      </w:r>
    </w:p>
    <w:p w14:paraId="114D5F77" w14:textId="77777777" w:rsidR="00326236" w:rsidRPr="00E912A9" w:rsidRDefault="00326236" w:rsidP="00326236">
      <w:pPr>
        <w:rPr>
          <w:vanish/>
        </w:rPr>
      </w:pPr>
      <w:bookmarkStart w:id="3" w:name="Commission"/>
      <w:r w:rsidRPr="00E912A9">
        <w:rPr>
          <w:vanish/>
        </w:rPr>
        <w:t>Utskottet för utrikesfrågor</w:t>
      </w:r>
      <w:bookmarkEnd w:id="3"/>
    </w:p>
    <w:p w14:paraId="6054124C" w14:textId="77777777" w:rsidR="00326236" w:rsidRPr="00E912A9" w:rsidRDefault="00326236" w:rsidP="00326236">
      <w:pPr>
        <w:rPr>
          <w:vanish/>
        </w:rPr>
      </w:pPr>
      <w:bookmarkStart w:id="4" w:name="PE"/>
      <w:r w:rsidRPr="00E912A9">
        <w:rPr>
          <w:vanish/>
        </w:rPr>
        <w:t>PE776.904</w:t>
      </w:r>
      <w:bookmarkEnd w:id="4"/>
    </w:p>
    <w:p w14:paraId="144EE50C" w14:textId="7B5C5C9A" w:rsidR="00326236" w:rsidRPr="00E912A9" w:rsidRDefault="00326236" w:rsidP="00326236">
      <w:pPr>
        <w:pStyle w:val="ATHeading3"/>
      </w:pPr>
      <w:bookmarkStart w:id="5" w:name="Sujet"/>
      <w:r w:rsidRPr="00E912A9">
        <w:t xml:space="preserve">Europaparlamentets </w:t>
      </w:r>
      <w:r w:rsidR="008C15D3" w:rsidRPr="00E912A9">
        <w:t xml:space="preserve">rekommendation </w:t>
      </w:r>
      <w:r w:rsidRPr="00E912A9">
        <w:t xml:space="preserve">av den </w:t>
      </w:r>
      <w:r w:rsidR="008C15D3" w:rsidRPr="00E912A9">
        <w:t>7</w:t>
      </w:r>
      <w:r w:rsidRPr="00E912A9">
        <w:t xml:space="preserve"> </w:t>
      </w:r>
      <w:r w:rsidR="008C15D3" w:rsidRPr="00E912A9">
        <w:t>juli</w:t>
      </w:r>
      <w:r w:rsidRPr="00E912A9">
        <w:t xml:space="preserve"> 2026 om Europaparlamentets rekommendation till rådet, kommissionen och vice ordföranden för kommissionen/unionens höga representant för utrikes frågor och säkerhetspolitik om den föränderliga geopolitiska situationen i </w:t>
      </w:r>
      <w:proofErr w:type="spellStart"/>
      <w:r w:rsidRPr="00E912A9">
        <w:t>Östasien</w:t>
      </w:r>
      <w:proofErr w:type="spellEnd"/>
      <w:r w:rsidRPr="00E912A9">
        <w:t xml:space="preserve"> och behovet av ett närmare samarbete med likasinnade partner i regionen</w:t>
      </w:r>
      <w:bookmarkEnd w:id="5"/>
      <w:r w:rsidRPr="00E912A9">
        <w:t xml:space="preserve"> </w:t>
      </w:r>
      <w:bookmarkStart w:id="6" w:name="References"/>
      <w:r w:rsidRPr="00E912A9">
        <w:t>(2025/2169(INI))</w:t>
      </w:r>
      <w:bookmarkEnd w:id="6"/>
    </w:p>
    <w:p w14:paraId="13AF5D1E" w14:textId="77777777" w:rsidR="005A4F35" w:rsidRPr="00E912A9" w:rsidRDefault="005A4F35" w:rsidP="005A4F35">
      <w:pPr>
        <w:pStyle w:val="EPComma"/>
      </w:pPr>
      <w:r w:rsidRPr="00E912A9">
        <w:rPr>
          <w:i/>
        </w:rPr>
        <w:t>Europaparlamentet utfärdar denna rekommendation</w:t>
      </w:r>
    </w:p>
    <w:p w14:paraId="4993F588" w14:textId="77777777" w:rsidR="005A4F35" w:rsidRPr="00E912A9" w:rsidRDefault="005A4F35" w:rsidP="005A4F35">
      <w:pPr>
        <w:pStyle w:val="NormalHanging12a"/>
      </w:pPr>
      <w:r w:rsidRPr="00E912A9">
        <w:t>–</w:t>
      </w:r>
      <w:r w:rsidRPr="00E912A9">
        <w:tab/>
        <w:t>med beaktande av avdelning V i fördraget om Europeiska unionen,</w:t>
      </w:r>
    </w:p>
    <w:p w14:paraId="4C3F2DA2" w14:textId="77777777" w:rsidR="005A4F35" w:rsidRPr="00E912A9" w:rsidRDefault="005A4F35" w:rsidP="005A4F35">
      <w:pPr>
        <w:pStyle w:val="NormalHanging12a"/>
      </w:pPr>
      <w:r w:rsidRPr="00E912A9">
        <w:t>–</w:t>
      </w:r>
      <w:r w:rsidRPr="00E912A9">
        <w:tab/>
        <w:t xml:space="preserve">med beaktande av det gemensamma meddelandet från kommissionen och unionens höga representant för utrikes frågor och säkerhetspolitik av den 16 september 2021, </w:t>
      </w:r>
      <w:r w:rsidRPr="00E912A9">
        <w:rPr>
          <w:i/>
          <w:iCs/>
        </w:rPr>
        <w:t>EU:s strategi för samarbete i regionen Indiska oceanen/Stilla havet</w:t>
      </w:r>
      <w:r w:rsidRPr="00E912A9">
        <w:t xml:space="preserve"> (JOIN(2021)0024),</w:t>
      </w:r>
    </w:p>
    <w:p w14:paraId="2EC687C7" w14:textId="77777777" w:rsidR="005A4F35" w:rsidRPr="00E912A9" w:rsidRDefault="005A4F35" w:rsidP="005A4F35">
      <w:pPr>
        <w:pStyle w:val="NormalHanging12a"/>
      </w:pPr>
      <w:r w:rsidRPr="00E912A9">
        <w:t>–</w:t>
      </w:r>
      <w:r w:rsidRPr="00E912A9">
        <w:tab/>
        <w:t xml:space="preserve">med beaktande av den strategiska kompassen för säkerhet och försvar, som godkändes av rådet den 21 mars 2022, i vilken man understryker betydelsen av partnerskap, bland annat i regionen Indiska oceanen/Stilla havet, för unionens säkerhet och </w:t>
      </w:r>
      <w:proofErr w:type="spellStart"/>
      <w:r w:rsidRPr="00E912A9">
        <w:t>resiliens</w:t>
      </w:r>
      <w:proofErr w:type="spellEnd"/>
      <w:r w:rsidRPr="00E912A9">
        <w:t>,</w:t>
      </w:r>
    </w:p>
    <w:p w14:paraId="1153B4AA" w14:textId="77777777" w:rsidR="005A4F35" w:rsidRPr="00E912A9" w:rsidRDefault="005A4F35" w:rsidP="005A4F35">
      <w:pPr>
        <w:pStyle w:val="NormalHanging12a"/>
        <w:rPr>
          <w:bCs/>
          <w:iCs/>
        </w:rPr>
      </w:pPr>
      <w:r w:rsidRPr="00E912A9">
        <w:t>–</w:t>
      </w:r>
      <w:r w:rsidRPr="00E912A9">
        <w:tab/>
        <w:t xml:space="preserve">med beaktande av det gemensamma meddelandet från kommissionen och unionens höga representant för utrikes frågor och säkerhetspolitik av den 1 december 2021, </w:t>
      </w:r>
      <w:r w:rsidRPr="00E912A9">
        <w:rPr>
          <w:i/>
          <w:iCs/>
        </w:rPr>
        <w:t xml:space="preserve">Global </w:t>
      </w:r>
      <w:proofErr w:type="spellStart"/>
      <w:r w:rsidRPr="00E912A9">
        <w:rPr>
          <w:i/>
          <w:iCs/>
        </w:rPr>
        <w:t>Gateway</w:t>
      </w:r>
      <w:proofErr w:type="spellEnd"/>
      <w:r w:rsidRPr="00E912A9">
        <w:t xml:space="preserve"> (JOIN(2021)0030),</w:t>
      </w:r>
    </w:p>
    <w:p w14:paraId="5346894A" w14:textId="77777777" w:rsidR="005A4F35" w:rsidRPr="00E912A9" w:rsidRDefault="005A4F35" w:rsidP="005A4F35">
      <w:pPr>
        <w:pStyle w:val="NormalHanging12a"/>
        <w:rPr>
          <w:bCs/>
          <w:iCs/>
        </w:rPr>
      </w:pPr>
      <w:r w:rsidRPr="00E912A9">
        <w:t>–</w:t>
      </w:r>
      <w:r w:rsidRPr="00E912A9">
        <w:tab/>
        <w:t xml:space="preserve">med beaktande av det gemensamma meddelandet från kommissionen och unionens höga representant för utrikes frågor och säkerhetspolitik av den 20 juni 2023 om en europeisk strategi för ekonomisk säkerhet, </w:t>
      </w:r>
    </w:p>
    <w:p w14:paraId="540DCA2D" w14:textId="77777777" w:rsidR="005A4F35" w:rsidRPr="00E912A9" w:rsidRDefault="005A4F35" w:rsidP="005A4F35">
      <w:pPr>
        <w:pStyle w:val="NormalHanging12a"/>
        <w:rPr>
          <w:bCs/>
          <w:iCs/>
        </w:rPr>
      </w:pPr>
      <w:r w:rsidRPr="00E912A9">
        <w:t>–</w:t>
      </w:r>
      <w:r w:rsidRPr="00E912A9">
        <w:tab/>
        <w:t xml:space="preserve">med beaktande av det gemensamma meddelandet från kommissionen och unionens höga representant för utrikes frågor och säkerhetspolitik av den 12 november 2025, </w:t>
      </w:r>
      <w:r w:rsidRPr="00E912A9">
        <w:rPr>
          <w:i/>
          <w:iCs/>
        </w:rPr>
        <w:t>Europeiskt demokratiförsvar:</w:t>
      </w:r>
      <w:r w:rsidRPr="00E912A9">
        <w:t xml:space="preserve"> </w:t>
      </w:r>
      <w:r w:rsidRPr="00E912A9">
        <w:rPr>
          <w:i/>
          <w:iCs/>
        </w:rPr>
        <w:t>att främja starka och motståndskraftiga demokratier</w:t>
      </w:r>
      <w:r w:rsidRPr="00E912A9">
        <w:t xml:space="preserve"> (JOIN(2025)0791),</w:t>
      </w:r>
    </w:p>
    <w:p w14:paraId="30120893" w14:textId="77777777" w:rsidR="005A4F35" w:rsidRPr="00E912A9" w:rsidRDefault="005A4F35" w:rsidP="005A4F35">
      <w:pPr>
        <w:pStyle w:val="NormalHanging12a"/>
        <w:rPr>
          <w:bCs/>
          <w:iCs/>
        </w:rPr>
      </w:pPr>
      <w:r w:rsidRPr="00E912A9">
        <w:t>–</w:t>
      </w:r>
      <w:r w:rsidRPr="00E912A9">
        <w:tab/>
        <w:t xml:space="preserve">med beaktande av det gemensamma meddelandet från kommissionen och unionens höga representant för utrikes frågor och säkerhetspolitik av den 16 december 2020, </w:t>
      </w:r>
      <w:r w:rsidRPr="00E912A9">
        <w:rPr>
          <w:i/>
          <w:iCs/>
        </w:rPr>
        <w:lastRenderedPageBreak/>
        <w:t>EU:s strategi för cybersäkerhet för ett digitalt decennium</w:t>
      </w:r>
      <w:r w:rsidRPr="00E912A9">
        <w:t xml:space="preserve"> (JOIN(2020)0018),</w:t>
      </w:r>
    </w:p>
    <w:p w14:paraId="3EDFBC47" w14:textId="77777777" w:rsidR="005A4F35" w:rsidRPr="00E912A9" w:rsidRDefault="005A4F35" w:rsidP="005A4F35">
      <w:pPr>
        <w:pStyle w:val="NormalHanging12a"/>
      </w:pPr>
      <w:r w:rsidRPr="00E912A9">
        <w:t>–</w:t>
      </w:r>
      <w:r w:rsidRPr="00E912A9">
        <w:tab/>
        <w:t>med beaktande av säkerhets- och försvarspartnerskapet mellan Europeiska unionen och Japan av den 1 november 2024,</w:t>
      </w:r>
    </w:p>
    <w:p w14:paraId="2846D792" w14:textId="77777777" w:rsidR="005A4F35" w:rsidRPr="00E912A9" w:rsidRDefault="005A4F35" w:rsidP="005A4F35">
      <w:pPr>
        <w:pStyle w:val="NormalHanging12a"/>
      </w:pPr>
      <w:r w:rsidRPr="00E912A9">
        <w:t>–</w:t>
      </w:r>
      <w:r w:rsidRPr="00E912A9">
        <w:tab/>
        <w:t>med beaktande av säkerhets- och försvarspartnerskapet mellan Europeiska unionen och Republiken Korea av den 4 november 2024,</w:t>
      </w:r>
    </w:p>
    <w:p w14:paraId="40C8C578" w14:textId="77777777" w:rsidR="005A4F35" w:rsidRPr="00E912A9" w:rsidRDefault="005A4F35" w:rsidP="005A4F35">
      <w:pPr>
        <w:pStyle w:val="NormalHanging12a"/>
      </w:pPr>
      <w:r w:rsidRPr="00E912A9">
        <w:t>–</w:t>
      </w:r>
      <w:r w:rsidRPr="00E912A9">
        <w:tab/>
        <w:t>med beaktande av det strategiska partnerskapsavtalet mellan Europeiska unionen och dess medlemsstater, å ena sidan, och Japan, å andra sidan</w:t>
      </w:r>
      <w:r w:rsidRPr="00E912A9">
        <w:rPr>
          <w:rStyle w:val="FootnoteReference"/>
        </w:rPr>
        <w:footnoteReference w:id="1"/>
      </w:r>
      <w:r w:rsidRPr="00E912A9">
        <w:t>,</w:t>
      </w:r>
    </w:p>
    <w:p w14:paraId="714C66BB" w14:textId="77777777" w:rsidR="005A4F35" w:rsidRPr="00E912A9" w:rsidRDefault="005A4F35" w:rsidP="005A4F35">
      <w:pPr>
        <w:pStyle w:val="NormalHanging12a"/>
        <w:widowControl/>
      </w:pPr>
      <w:r w:rsidRPr="00E912A9">
        <w:t>–</w:t>
      </w:r>
      <w:r w:rsidRPr="00E912A9">
        <w:tab/>
        <w:t>med beaktande av ramavtalet mellan Europeiska unionen och dess medlemsstater, å ena sidan, och Republiken Korea, å andra sidan</w:t>
      </w:r>
      <w:r w:rsidRPr="00E912A9">
        <w:rPr>
          <w:rStyle w:val="FootnoteReference"/>
        </w:rPr>
        <w:footnoteReference w:id="2"/>
      </w:r>
      <w:r w:rsidRPr="00E912A9">
        <w:t>,</w:t>
      </w:r>
    </w:p>
    <w:p w14:paraId="1B0E017B" w14:textId="77777777" w:rsidR="005A4F35" w:rsidRPr="00E912A9" w:rsidRDefault="005A4F35" w:rsidP="005A4F35">
      <w:pPr>
        <w:pStyle w:val="NormalHanging12a"/>
        <w:rPr>
          <w:b/>
          <w:i/>
        </w:rPr>
      </w:pPr>
      <w:r w:rsidRPr="00E912A9">
        <w:t>–</w:t>
      </w:r>
      <w:r w:rsidRPr="00E912A9">
        <w:tab/>
        <w:t>med beaktande av avtalet mellan EU och Japan om ett ekonomiskt partnerskap</w:t>
      </w:r>
      <w:r w:rsidRPr="00E912A9">
        <w:rPr>
          <w:rStyle w:val="FootnoteReference"/>
          <w:bCs/>
          <w:iCs/>
        </w:rPr>
        <w:footnoteReference w:id="3"/>
      </w:r>
      <w:r w:rsidRPr="00E912A9">
        <w:t>,</w:t>
      </w:r>
    </w:p>
    <w:p w14:paraId="035B94BE" w14:textId="77777777" w:rsidR="005A4F35" w:rsidRPr="00E912A9" w:rsidRDefault="005A4F35" w:rsidP="005A4F35">
      <w:pPr>
        <w:pStyle w:val="NormalHanging12a"/>
        <w:rPr>
          <w:bCs/>
          <w:iCs/>
        </w:rPr>
      </w:pPr>
      <w:r w:rsidRPr="00E912A9">
        <w:t>–</w:t>
      </w:r>
      <w:r w:rsidRPr="00E912A9">
        <w:tab/>
        <w:t>med beaktande av frihandelsavtalet mellan Europeiska unionen och dess medlemsstater, å ena sidan, och Republiken Korea, å andra sidan</w:t>
      </w:r>
      <w:r w:rsidRPr="00E912A9">
        <w:rPr>
          <w:rStyle w:val="FootnoteReference"/>
          <w:bCs/>
          <w:iCs/>
        </w:rPr>
        <w:footnoteReference w:id="4"/>
      </w:r>
      <w:r w:rsidRPr="00E912A9">
        <w:t>,</w:t>
      </w:r>
    </w:p>
    <w:p w14:paraId="6B65F451" w14:textId="77777777" w:rsidR="005A4F35" w:rsidRPr="00E912A9" w:rsidRDefault="005A4F35" w:rsidP="005A4F35">
      <w:pPr>
        <w:pStyle w:val="NormalHanging12a"/>
        <w:rPr>
          <w:bCs/>
          <w:iCs/>
        </w:rPr>
      </w:pPr>
      <w:r w:rsidRPr="00E912A9">
        <w:t>–</w:t>
      </w:r>
      <w:r w:rsidRPr="00E912A9">
        <w:tab/>
        <w:t>med beaktande av FN:s havsrättskonvention (</w:t>
      </w:r>
      <w:proofErr w:type="spellStart"/>
      <w:r w:rsidRPr="00E912A9">
        <w:t>Unclos</w:t>
      </w:r>
      <w:proofErr w:type="spellEnd"/>
      <w:r w:rsidRPr="00E912A9">
        <w:t>),</w:t>
      </w:r>
    </w:p>
    <w:p w14:paraId="415AC994" w14:textId="77777777" w:rsidR="005A4F35" w:rsidRPr="00E912A9" w:rsidRDefault="005A4F35" w:rsidP="005A4F35">
      <w:pPr>
        <w:pStyle w:val="NormalHanging12a"/>
      </w:pPr>
      <w:r w:rsidRPr="00E912A9">
        <w:t>–</w:t>
      </w:r>
      <w:r w:rsidRPr="00E912A9">
        <w:tab/>
        <w:t>med beaktande av det gemensamma uttalande som antogs vid det 30:e toppmötet mellan EU och Japan, som hölls i Tokyo den 23 juli 2025,</w:t>
      </w:r>
    </w:p>
    <w:p w14:paraId="52F3F9DF" w14:textId="77777777" w:rsidR="005A4F35" w:rsidRPr="00E912A9" w:rsidRDefault="005A4F35" w:rsidP="005A4F35">
      <w:pPr>
        <w:pStyle w:val="NormalHanging12a"/>
      </w:pPr>
      <w:r w:rsidRPr="00E912A9">
        <w:t>–</w:t>
      </w:r>
      <w:r w:rsidRPr="00E912A9">
        <w:tab/>
        <w:t>med beaktande av det 42:a interparlamentariska sammanträdet mellan EU och Japan, som hölls i Tokyo den 28–29 maj 2025,</w:t>
      </w:r>
    </w:p>
    <w:p w14:paraId="74C5C84F" w14:textId="737FDE7B" w:rsidR="005A4F35" w:rsidRPr="00E912A9" w:rsidRDefault="00BF4B5F" w:rsidP="005A4F35">
      <w:pPr>
        <w:pStyle w:val="NormalHanging12a"/>
        <w:rPr>
          <w:bCs/>
          <w:iCs/>
        </w:rPr>
      </w:pPr>
      <w:r w:rsidRPr="00E912A9">
        <w:t>–</w:t>
      </w:r>
      <w:r w:rsidRPr="00E912A9">
        <w:tab/>
      </w:r>
      <w:r w:rsidRPr="00B92824">
        <w:rPr>
          <w:szCs w:val="24"/>
          <w:lang w:eastAsia="en-US"/>
        </w:rPr>
        <w:t xml:space="preserve">med beaktande av den tredje strategiska dialogen mellan EU och Japan den 26 mars 2026 i </w:t>
      </w:r>
      <w:proofErr w:type="spellStart"/>
      <w:r w:rsidRPr="00B92824">
        <w:rPr>
          <w:szCs w:val="24"/>
          <w:lang w:eastAsia="en-US"/>
        </w:rPr>
        <w:t>Vaux</w:t>
      </w:r>
      <w:proofErr w:type="spellEnd"/>
      <w:r w:rsidRPr="00B92824">
        <w:rPr>
          <w:szCs w:val="24"/>
          <w:lang w:eastAsia="en-US"/>
        </w:rPr>
        <w:t>-de-</w:t>
      </w:r>
      <w:proofErr w:type="spellStart"/>
      <w:r w:rsidRPr="00B92824">
        <w:rPr>
          <w:szCs w:val="24"/>
          <w:lang w:eastAsia="en-US"/>
        </w:rPr>
        <w:t>Cernay</w:t>
      </w:r>
      <w:proofErr w:type="spellEnd"/>
      <w:r w:rsidR="005A4F35" w:rsidRPr="00B92824">
        <w:t>,</w:t>
      </w:r>
      <w:r w:rsidR="005A4F35" w:rsidRPr="00E912A9">
        <w:t xml:space="preserve"> </w:t>
      </w:r>
    </w:p>
    <w:p w14:paraId="62A278E8" w14:textId="4193B48D" w:rsidR="005A4F35" w:rsidRPr="00E912A9" w:rsidRDefault="005A4F35" w:rsidP="005A4F35">
      <w:pPr>
        <w:pStyle w:val="NormalHanging12a"/>
        <w:rPr>
          <w:bCs/>
          <w:iCs/>
        </w:rPr>
      </w:pPr>
      <w:r w:rsidRPr="00E912A9">
        <w:t>–</w:t>
      </w:r>
      <w:r w:rsidRPr="00E912A9">
        <w:tab/>
      </w:r>
      <w:r w:rsidR="00BF4B5F" w:rsidRPr="00B92824">
        <w:rPr>
          <w:szCs w:val="24"/>
          <w:lang w:eastAsia="en-US"/>
        </w:rPr>
        <w:t>med beaktande av den nionde dialogen kring den digitala politiken mellan EU och Japan den 25 mars 2026 i Tokyo</w:t>
      </w:r>
      <w:r w:rsidRPr="00B92824">
        <w:t>,</w:t>
      </w:r>
    </w:p>
    <w:p w14:paraId="0E054004" w14:textId="77777777" w:rsidR="005A4F35" w:rsidRPr="00E912A9" w:rsidRDefault="005A4F35" w:rsidP="005A4F35">
      <w:pPr>
        <w:pStyle w:val="NormalHanging12a"/>
        <w:rPr>
          <w:bCs/>
          <w:iCs/>
        </w:rPr>
      </w:pPr>
      <w:r w:rsidRPr="00E912A9">
        <w:t>–</w:t>
      </w:r>
      <w:r w:rsidRPr="00E912A9">
        <w:tab/>
        <w:t>med beaktande av avsiktsförklaringen om ett stärkt samarbete inom kvantvetenskap och kvantteknik som undertecknades av EU och Japan den 13 mars 2025 för att fördjupa gemensam forskning, utbyten och ekosystemutveckling,</w:t>
      </w:r>
    </w:p>
    <w:p w14:paraId="7A7583DC" w14:textId="77777777" w:rsidR="005A4F35" w:rsidRPr="00E912A9" w:rsidRDefault="005A4F35" w:rsidP="005A4F35">
      <w:pPr>
        <w:pStyle w:val="NormalHanging12a"/>
        <w:rPr>
          <w:bCs/>
          <w:iCs/>
        </w:rPr>
      </w:pPr>
      <w:r w:rsidRPr="00E912A9">
        <w:t>–</w:t>
      </w:r>
      <w:r w:rsidRPr="00E912A9">
        <w:tab/>
        <w:t>med beaktande av det åtagande om att stärka samarbetet om kritiska råmaterial som EU, Japan och Förenta staterna gjorde vid ministermötet om kritiska mineraler den 4 februari 2026,</w:t>
      </w:r>
    </w:p>
    <w:p w14:paraId="095087C9" w14:textId="77777777" w:rsidR="005A4F35" w:rsidRPr="00E912A9" w:rsidRDefault="005A4F35" w:rsidP="005A4F35">
      <w:pPr>
        <w:pStyle w:val="NormalHanging12a"/>
        <w:rPr>
          <w:bCs/>
          <w:iCs/>
        </w:rPr>
      </w:pPr>
      <w:r w:rsidRPr="00E912A9">
        <w:t>–</w:t>
      </w:r>
      <w:r w:rsidRPr="00E912A9">
        <w:tab/>
        <w:t>med beaktande av den gröna alliansen mellan EU och Japan av den 27 maj 2021,</w:t>
      </w:r>
    </w:p>
    <w:p w14:paraId="7175DD0B" w14:textId="77777777" w:rsidR="005A4F35" w:rsidRPr="00E912A9" w:rsidRDefault="005A4F35" w:rsidP="005A4F35">
      <w:pPr>
        <w:pStyle w:val="NormalHanging12a"/>
      </w:pPr>
      <w:r w:rsidRPr="00E912A9">
        <w:t>–</w:t>
      </w:r>
      <w:r w:rsidRPr="00E912A9">
        <w:tab/>
        <w:t xml:space="preserve">med beaktande av det gemensamma uttalande som antogs vid det 11:e toppmötet mellan </w:t>
      </w:r>
      <w:r w:rsidRPr="00E912A9">
        <w:lastRenderedPageBreak/>
        <w:t>EU och Republiken Korea, som hölls i Bryssel den 10 juni 2026,</w:t>
      </w:r>
    </w:p>
    <w:p w14:paraId="51ADE395" w14:textId="77777777" w:rsidR="005A4F35" w:rsidRPr="00E912A9" w:rsidRDefault="005A4F35" w:rsidP="005A4F35">
      <w:pPr>
        <w:pStyle w:val="NormalHanging12a"/>
      </w:pPr>
      <w:r w:rsidRPr="00E912A9">
        <w:t>–</w:t>
      </w:r>
      <w:r w:rsidRPr="00E912A9">
        <w:tab/>
        <w:t>med beaktande av det 23:e interparlamentariska sammanträdet mellan EU och Republiken Korea, som hölls i Bryssel den 18 november 2025,</w:t>
      </w:r>
    </w:p>
    <w:p w14:paraId="1700BD3F" w14:textId="77777777" w:rsidR="005A4F35" w:rsidRPr="00E912A9" w:rsidRDefault="005A4F35" w:rsidP="005A4F35">
      <w:pPr>
        <w:pStyle w:val="NormalHanging12a"/>
        <w:rPr>
          <w:bCs/>
          <w:iCs/>
        </w:rPr>
      </w:pPr>
      <w:r w:rsidRPr="00E912A9">
        <w:t>–</w:t>
      </w:r>
      <w:r w:rsidRPr="00E912A9">
        <w:tab/>
        <w:t>med beaktande av den andra strategiska dialogen mellan EU och Republiken Korea den 22 januari 2026 i Bryssel,</w:t>
      </w:r>
    </w:p>
    <w:p w14:paraId="1268E5DE" w14:textId="77777777" w:rsidR="005A4F35" w:rsidRPr="00E912A9" w:rsidRDefault="005A4F35" w:rsidP="005A4F35">
      <w:pPr>
        <w:pStyle w:val="NormalHanging12a"/>
        <w:rPr>
          <w:bCs/>
          <w:iCs/>
        </w:rPr>
      </w:pPr>
      <w:r w:rsidRPr="00E912A9">
        <w:t>–</w:t>
      </w:r>
      <w:r w:rsidRPr="00E912A9">
        <w:tab/>
        <w:t>med beaktande av det gröna partnerskapet mellan EU och Republiken Korea av den 22 maj 2023,</w:t>
      </w:r>
    </w:p>
    <w:p w14:paraId="5D47302A" w14:textId="77777777" w:rsidR="005A4F35" w:rsidRPr="00E912A9" w:rsidRDefault="005A4F35" w:rsidP="005A4F35">
      <w:pPr>
        <w:pStyle w:val="NormalHanging12a"/>
      </w:pPr>
      <w:r w:rsidRPr="00E912A9">
        <w:t>–</w:t>
      </w:r>
      <w:r w:rsidRPr="00E912A9">
        <w:tab/>
        <w:t>med beaktande av det 4:e ministerforumet mellan EU och regionen Indiska oceanen/Stilla havet, som hölls i Bryssel den 20–21 november 2025,</w:t>
      </w:r>
    </w:p>
    <w:p w14:paraId="0F0FB625" w14:textId="77777777" w:rsidR="005A4F35" w:rsidRPr="00E912A9" w:rsidRDefault="005A4F35" w:rsidP="005A4F35">
      <w:pPr>
        <w:pStyle w:val="NormalHanging12a"/>
        <w:widowControl/>
        <w:rPr>
          <w:bCs/>
          <w:iCs/>
        </w:rPr>
      </w:pPr>
      <w:r w:rsidRPr="00E912A9">
        <w:t>–</w:t>
      </w:r>
      <w:r w:rsidRPr="00E912A9">
        <w:tab/>
        <w:t>med beaktande av uttalandet efter det besök som en delegation från utskottet för utrikesfrågor nyligen gjorde i Republiken Korea och Japan den 31 mars–2 april 2026,</w:t>
      </w:r>
    </w:p>
    <w:p w14:paraId="68CB58B8" w14:textId="77777777" w:rsidR="005A4F35" w:rsidRPr="00E912A9" w:rsidRDefault="005A4F35" w:rsidP="005A4F35">
      <w:pPr>
        <w:pStyle w:val="NormalHanging12a"/>
      </w:pPr>
      <w:r w:rsidRPr="00E912A9">
        <w:t>–</w:t>
      </w:r>
      <w:r w:rsidRPr="00E912A9">
        <w:tab/>
        <w:t>med beaktande av sin resolution av den 7 juni 2022 om EU och säkerhetsutmaningarna i regionen Indiska oceanen/Stilla havet</w:t>
      </w:r>
      <w:r w:rsidRPr="00E912A9">
        <w:rPr>
          <w:rStyle w:val="FootnoteReference"/>
        </w:rPr>
        <w:footnoteReference w:id="5"/>
      </w:r>
      <w:r w:rsidRPr="00E912A9">
        <w:t>,</w:t>
      </w:r>
    </w:p>
    <w:p w14:paraId="5C177C49" w14:textId="77777777" w:rsidR="005A4F35" w:rsidRPr="00E912A9" w:rsidRDefault="005A4F35" w:rsidP="005A4F35">
      <w:pPr>
        <w:pStyle w:val="NormalHanging12a"/>
      </w:pPr>
      <w:r w:rsidRPr="00E912A9">
        <w:t>–</w:t>
      </w:r>
      <w:r w:rsidRPr="00E912A9">
        <w:tab/>
        <w:t>med beaktande av sin resolution av den 13 december 2023 om förbindelserna mellan EU och Japan</w:t>
      </w:r>
      <w:r w:rsidRPr="00E912A9">
        <w:rPr>
          <w:rStyle w:val="FootnoteReference"/>
        </w:rPr>
        <w:footnoteReference w:id="6"/>
      </w:r>
      <w:r w:rsidRPr="00E912A9">
        <w:t>,</w:t>
      </w:r>
    </w:p>
    <w:p w14:paraId="0C07D683" w14:textId="77777777" w:rsidR="005A4F35" w:rsidRPr="00E912A9" w:rsidRDefault="005A4F35" w:rsidP="005A4F35">
      <w:pPr>
        <w:pStyle w:val="NormalHanging12a"/>
      </w:pPr>
      <w:r w:rsidRPr="00E912A9">
        <w:t>–</w:t>
      </w:r>
      <w:r w:rsidRPr="00E912A9">
        <w:tab/>
        <w:t>med beaktande av sin resolution av den 21 januari 2026 om genomförandet av den gemensamma utrikes- och säkerhetspolitiken – årsrapport 2025</w:t>
      </w:r>
      <w:r w:rsidRPr="00E912A9">
        <w:rPr>
          <w:rStyle w:val="FootnoteReference"/>
        </w:rPr>
        <w:footnoteReference w:id="7"/>
      </w:r>
      <w:r w:rsidRPr="00E912A9">
        <w:t>,</w:t>
      </w:r>
    </w:p>
    <w:p w14:paraId="23BD18D6" w14:textId="77777777" w:rsidR="005A4F35" w:rsidRPr="00E912A9" w:rsidRDefault="005A4F35" w:rsidP="005A4F35">
      <w:pPr>
        <w:pStyle w:val="NormalHanging12a"/>
        <w:rPr>
          <w:bCs/>
          <w:iCs/>
        </w:rPr>
      </w:pPr>
      <w:r w:rsidRPr="00E912A9">
        <w:t>–</w:t>
      </w:r>
      <w:r w:rsidRPr="00E912A9">
        <w:tab/>
        <w:t>med beaktande av sin resolution av den 28 november 2024 om förstärkningen av EU:s orubbliga stöd till Ukraina mot Rysslands anfallskrig och det växande militära samarbetet mellan Nordkorea och Ryssland</w:t>
      </w:r>
      <w:r w:rsidRPr="00E912A9">
        <w:rPr>
          <w:rStyle w:val="FootnoteReference"/>
          <w:bCs/>
          <w:iCs/>
        </w:rPr>
        <w:footnoteReference w:id="8"/>
      </w:r>
      <w:r w:rsidRPr="00E912A9">
        <w:t>,</w:t>
      </w:r>
    </w:p>
    <w:p w14:paraId="286E9AE4" w14:textId="77777777" w:rsidR="005A4F35" w:rsidRPr="00E912A9" w:rsidRDefault="005A4F35" w:rsidP="005A4F35">
      <w:pPr>
        <w:pStyle w:val="NormalHanging12a"/>
        <w:rPr>
          <w:b/>
          <w:i/>
        </w:rPr>
      </w:pPr>
      <w:r w:rsidRPr="00E912A9">
        <w:t>–</w:t>
      </w:r>
      <w:r w:rsidRPr="00E912A9">
        <w:tab/>
        <w:t>med beaktande av sin resolution av den 24 oktober 2024 om Folkrepubliken Kinas feltolkning av FN:s resolution 2758 och landets kontinuerliga militära provokationer runt Taiwan</w:t>
      </w:r>
      <w:r w:rsidRPr="00E912A9">
        <w:rPr>
          <w:rStyle w:val="FootnoteReference"/>
          <w:bCs/>
          <w:iCs/>
        </w:rPr>
        <w:footnoteReference w:id="9"/>
      </w:r>
      <w:r w:rsidRPr="00E912A9">
        <w:t>,</w:t>
      </w:r>
    </w:p>
    <w:p w14:paraId="3638EBCE" w14:textId="77777777" w:rsidR="005A4F35" w:rsidRPr="00E912A9" w:rsidRDefault="005A4F35" w:rsidP="005A4F35">
      <w:pPr>
        <w:pStyle w:val="NormalHanging12a"/>
        <w:rPr>
          <w:bCs/>
          <w:iCs/>
        </w:rPr>
      </w:pPr>
      <w:r w:rsidRPr="00E912A9">
        <w:t>–</w:t>
      </w:r>
      <w:r w:rsidRPr="00E912A9">
        <w:tab/>
        <w:t>med beaktande av sin resolution av den 13 december 2023 om handels- och investeringsförbindelserna mellan EU och Taiwan</w:t>
      </w:r>
      <w:r w:rsidRPr="00E912A9">
        <w:rPr>
          <w:rStyle w:val="FootnoteReference"/>
          <w:bCs/>
          <w:iCs/>
        </w:rPr>
        <w:footnoteReference w:id="10"/>
      </w:r>
      <w:r w:rsidRPr="00E912A9">
        <w:t xml:space="preserve">, </w:t>
      </w:r>
    </w:p>
    <w:p w14:paraId="40BB028C" w14:textId="77777777" w:rsidR="005A4F35" w:rsidRPr="00E912A9" w:rsidRDefault="005A4F35" w:rsidP="005A4F35">
      <w:pPr>
        <w:pStyle w:val="NormalHanging12a"/>
      </w:pPr>
      <w:r w:rsidRPr="00E912A9">
        <w:t>–</w:t>
      </w:r>
      <w:r w:rsidRPr="00E912A9">
        <w:tab/>
        <w:t>med beaktande av sina ståndpunkter och rekommendationer om samarbete i regionen Indiska oceanen/Stilla havet, inbegripet uppmaningar att samarbeta med likasinnade partner för att upprätthålla friheten till sjöfart och stabiliteten i Taiwansundet och Östkinesiska och Sydkinesiska havet,</w:t>
      </w:r>
    </w:p>
    <w:p w14:paraId="615D7DFD" w14:textId="77777777" w:rsidR="005A4F35" w:rsidRPr="00E912A9" w:rsidRDefault="005A4F35" w:rsidP="005A4F35">
      <w:pPr>
        <w:pStyle w:val="NormalHanging12a"/>
      </w:pPr>
      <w:r w:rsidRPr="00E912A9">
        <w:t>–</w:t>
      </w:r>
      <w:r w:rsidRPr="00E912A9">
        <w:tab/>
        <w:t>med beaktande av artikel 121 i arbetsordningen,</w:t>
      </w:r>
    </w:p>
    <w:p w14:paraId="5AB7378A" w14:textId="77777777" w:rsidR="005A4F35" w:rsidRPr="00E912A9" w:rsidRDefault="005A4F35" w:rsidP="005A4F35">
      <w:pPr>
        <w:pStyle w:val="NormalHanging12a"/>
      </w:pPr>
      <w:r w:rsidRPr="00E912A9">
        <w:t>–</w:t>
      </w:r>
      <w:r w:rsidRPr="00E912A9">
        <w:tab/>
        <w:t xml:space="preserve">med beaktande av betänkandet från utskottet för utrikesfrågor (A10-0189/2026), och av </w:t>
      </w:r>
      <w:r w:rsidRPr="00E912A9">
        <w:lastRenderedPageBreak/>
        <w:t>följande skäl:</w:t>
      </w:r>
    </w:p>
    <w:p w14:paraId="41DA80CD" w14:textId="77777777" w:rsidR="005A4F35" w:rsidRPr="00E912A9" w:rsidRDefault="005A4F35" w:rsidP="005A4F35">
      <w:pPr>
        <w:pStyle w:val="NormalHanging12a"/>
      </w:pPr>
      <w:r w:rsidRPr="00E912A9">
        <w:t>A.</w:t>
      </w:r>
      <w:r w:rsidRPr="00E912A9">
        <w:tab/>
        <w:t xml:space="preserve">De pågående geopolitiska förändringarna och den växande strategiska betydelsen av regionen Indiska oceanen/Stilla havet omformar den globala ordningen. </w:t>
      </w:r>
      <w:proofErr w:type="spellStart"/>
      <w:r w:rsidRPr="00E912A9">
        <w:t>Östasien</w:t>
      </w:r>
      <w:proofErr w:type="spellEnd"/>
      <w:r w:rsidRPr="00E912A9">
        <w:t xml:space="preserve"> och regionen Indiska oceanen/Stilla havet i stort är avgörande för välstånd och säkerhet, energitrygghet och demokratisk motståndskraft på global nivå, eftersom området hyser farleder av central betydelse, avancerade tekniska ekosystem, viktiga handelsvägar, mer än hälften av världens befolkning och kritiska leveranskedjor som är avgörande för EU:s ekonomiska konkurrenskraft och långsiktiga industriella </w:t>
      </w:r>
      <w:proofErr w:type="spellStart"/>
      <w:r w:rsidRPr="00E912A9">
        <w:t>resiliens</w:t>
      </w:r>
      <w:proofErr w:type="spellEnd"/>
      <w:r w:rsidRPr="00E912A9">
        <w:t xml:space="preserve"> i strategiska sektorer, samt för dess geopolitiska inflytande.</w:t>
      </w:r>
    </w:p>
    <w:p w14:paraId="768BFFE0" w14:textId="77777777" w:rsidR="005A4F35" w:rsidRPr="00E912A9" w:rsidRDefault="005A4F35" w:rsidP="005A4F35">
      <w:pPr>
        <w:pStyle w:val="NormalHanging12a"/>
        <w:rPr>
          <w:bCs/>
          <w:iCs/>
        </w:rPr>
      </w:pPr>
      <w:r w:rsidRPr="00E912A9">
        <w:t>B.</w:t>
      </w:r>
      <w:r w:rsidRPr="00E912A9">
        <w:tab/>
        <w:t xml:space="preserve">Ekonomisk säkerhet, inbegripet </w:t>
      </w:r>
      <w:proofErr w:type="spellStart"/>
      <w:r w:rsidRPr="00E912A9">
        <w:t>resilienta</w:t>
      </w:r>
      <w:proofErr w:type="spellEnd"/>
      <w:r w:rsidRPr="00E912A9">
        <w:t xml:space="preserve"> och diversifierade leveranskedjor för kritiska råmaterial, halvledare och ren teknik är en integrerad del av handels-, utrikes- och säkerhetspolitiken. Att minska strategiska beroenden och göra leveranskedjor mer </w:t>
      </w:r>
      <w:proofErr w:type="spellStart"/>
      <w:r w:rsidRPr="00E912A9">
        <w:t>resilienta</w:t>
      </w:r>
      <w:proofErr w:type="spellEnd"/>
      <w:r w:rsidRPr="00E912A9">
        <w:t xml:space="preserve"> och diversifierade i kritiska sektorer är avgörande för EU:s ekonomiska säkerhet och konkurrenskraft, i linje med EU:s riskminskningsstrategi, samtidigt som onödig ekonomisk frikoppling undviks.</w:t>
      </w:r>
    </w:p>
    <w:p w14:paraId="73E4388C" w14:textId="77777777" w:rsidR="005A4F35" w:rsidRDefault="005A4F35" w:rsidP="005A4F35">
      <w:pPr>
        <w:pStyle w:val="NormalHanging12a"/>
      </w:pPr>
      <w:r w:rsidRPr="00E912A9">
        <w:t>C.</w:t>
      </w:r>
      <w:r w:rsidRPr="00E912A9">
        <w:tab/>
      </w:r>
      <w:proofErr w:type="spellStart"/>
      <w:r w:rsidRPr="00E912A9">
        <w:t>Östasiens</w:t>
      </w:r>
      <w:proofErr w:type="spellEnd"/>
      <w:r w:rsidRPr="00E912A9">
        <w:t xml:space="preserve"> geopolitiska landskap har blivit alltmer instabilt under de senaste åren, med en regional maktdynamik som i allt högre grad formas av systemrivalitet, maritima tvister, militär uppbyggnad och det ökande inflytandet från auktoritära styrningsmodeller som använder ekonomiskt tvång, inbegripet diskriminerande marknadstillträde, hybridhot, inbegripet utländsk informationsmanipulering och inblandning, och kommersiellt och politiskt spionage som utmanar fred, stabilitet och den regelbaserade världsordningen och kräver samordnade insatser med partner som delar demokratiska värden och höga regleringsstandarder.</w:t>
      </w:r>
    </w:p>
    <w:p w14:paraId="799772E8" w14:textId="34F55F9A" w:rsidR="00B75175" w:rsidRPr="00B75175" w:rsidRDefault="00B75175" w:rsidP="005A4F35">
      <w:pPr>
        <w:pStyle w:val="NormalHanging12a"/>
        <w:rPr>
          <w:bCs/>
          <w:iCs/>
        </w:rPr>
      </w:pPr>
      <w:r>
        <w:rPr>
          <w:bCs/>
          <w:iCs/>
          <w:szCs w:val="24"/>
          <w:lang w:eastAsia="en-US"/>
        </w:rPr>
        <w:t>D</w:t>
      </w:r>
      <w:r w:rsidRPr="00B92824">
        <w:rPr>
          <w:bCs/>
          <w:iCs/>
          <w:szCs w:val="24"/>
          <w:lang w:eastAsia="en-US"/>
        </w:rPr>
        <w:t>.</w:t>
      </w:r>
      <w:r w:rsidRPr="00B75175">
        <w:rPr>
          <w:bCs/>
          <w:iCs/>
          <w:szCs w:val="24"/>
          <w:lang w:eastAsia="en-US"/>
        </w:rPr>
        <w:tab/>
      </w:r>
      <w:r w:rsidRPr="00B92824">
        <w:rPr>
          <w:bCs/>
          <w:iCs/>
          <w:szCs w:val="24"/>
          <w:lang w:eastAsia="en-US"/>
        </w:rPr>
        <w:t xml:space="preserve">Japans, Sydkoreas och Taiwans säkerhet är fortfarande till stor del beroende av Förenta staterna. Dessa partner påverkas i allt högre grad av USA:s oförutsägbarhet och ekonomiska tvång, som ibland riktas även mot dess närmaste allierade. Dessa demokratiska partner behöver därför stärka och diversifiera sina partnerskap med andra aktörer, särskilt EU, för att bli mer </w:t>
      </w:r>
      <w:proofErr w:type="spellStart"/>
      <w:r w:rsidRPr="00B92824">
        <w:rPr>
          <w:bCs/>
          <w:iCs/>
          <w:szCs w:val="24"/>
          <w:lang w:eastAsia="en-US"/>
        </w:rPr>
        <w:t>resilienta</w:t>
      </w:r>
      <w:proofErr w:type="spellEnd"/>
      <w:r w:rsidRPr="00B92824">
        <w:rPr>
          <w:bCs/>
          <w:iCs/>
          <w:szCs w:val="24"/>
          <w:lang w:eastAsia="en-US"/>
        </w:rPr>
        <w:t xml:space="preserve"> och stärka de gemensamma säkerhetsintressena.</w:t>
      </w:r>
    </w:p>
    <w:p w14:paraId="155A3C96" w14:textId="00F93365" w:rsidR="005A4F35" w:rsidRPr="00E912A9" w:rsidRDefault="00BF4B5F" w:rsidP="005A4F35">
      <w:pPr>
        <w:pStyle w:val="NormalHanging12a"/>
        <w:rPr>
          <w:bCs/>
          <w:iCs/>
        </w:rPr>
      </w:pPr>
      <w:r>
        <w:t>E</w:t>
      </w:r>
      <w:r w:rsidR="005A4F35" w:rsidRPr="00E912A9">
        <w:t>.</w:t>
      </w:r>
      <w:r w:rsidR="005A4F35" w:rsidRPr="00E912A9">
        <w:tab/>
        <w:t>EU:s strategi för samarbete i regionen Indiska oceanen/Stilla havet bygger på övertygelsen att EU:s och Indiska oceanen/Stilla havets säkerhet och välstånd är oupplösligt förbundna med varandra. I strategin betonas vikten av att stärka EU:s engagemang i regionen genom en fördjupad politisk dialog, ökat ekonomiskt samarbete och utökade säkerhetspartnerskap. Omintetgörandet av den regelbaserade ordningen och traditionella allianser, och framväxandet av aggressiva aktörer som vägleds av imperialistiska ambitioner, kräver starkare band mellan EU och likasinnade partner i regionen för att öka den ömsesidiga säkerheten och det ömsesidiga välståndet.</w:t>
      </w:r>
    </w:p>
    <w:p w14:paraId="41D3055B" w14:textId="73355466" w:rsidR="005A4F35" w:rsidRPr="00E912A9" w:rsidRDefault="00BF4B5F" w:rsidP="005A4F35">
      <w:pPr>
        <w:pStyle w:val="NormalHanging12a"/>
        <w:rPr>
          <w:bCs/>
          <w:iCs/>
        </w:rPr>
      </w:pPr>
      <w:r>
        <w:t>F</w:t>
      </w:r>
      <w:r w:rsidR="005A4F35" w:rsidRPr="00E912A9">
        <w:t>.</w:t>
      </w:r>
      <w:r w:rsidR="005A4F35" w:rsidRPr="00E912A9">
        <w:tab/>
        <w:t xml:space="preserve">Friheten till sjöfart och överflygning är grundläggande principer i internationell rätt, som särskilt fastställs i </w:t>
      </w:r>
      <w:proofErr w:type="spellStart"/>
      <w:r w:rsidR="005A4F35" w:rsidRPr="00E912A9">
        <w:t>Unclos</w:t>
      </w:r>
      <w:proofErr w:type="spellEnd"/>
      <w:r w:rsidR="005A4F35" w:rsidRPr="00E912A9">
        <w:t>, och är av avgörande betydelse för unionens ekonomiska säkerhet.</w:t>
      </w:r>
    </w:p>
    <w:p w14:paraId="57815D1B" w14:textId="5FF3BB6C" w:rsidR="005A4F35" w:rsidRPr="00E912A9" w:rsidRDefault="00BF4B5F" w:rsidP="005A4F35">
      <w:pPr>
        <w:pStyle w:val="NormalHanging12a"/>
      </w:pPr>
      <w:r>
        <w:t>G</w:t>
      </w:r>
      <w:r w:rsidR="005A4F35" w:rsidRPr="00E912A9">
        <w:t>.</w:t>
      </w:r>
      <w:r w:rsidR="005A4F35" w:rsidRPr="00E912A9">
        <w:tab/>
        <w:t xml:space="preserve">De alltmer komplexa säkerhetsutmaningarna har en djupgående inverkan på stabiliteten och välståndet i både Europa och regionen Indiska oceanen/Stilla havet, och de två regionernas stabilitet är mer sammanlänkad än någonsin. Båda påverkas direkt av Rysslands olagliga fullskaliga invasion av Ukraina och stödet från tredjeländer såsom </w:t>
      </w:r>
      <w:r w:rsidR="005A4F35" w:rsidRPr="00E912A9">
        <w:lastRenderedPageBreak/>
        <w:t>Kina och Nordkorea, som möjliggör den ryska aggressionen. Ett robust försvarsindustriellt samarbete mellan EU och Japan och EU och Republiken Korea (</w:t>
      </w:r>
      <w:r w:rsidR="005A4F35" w:rsidRPr="00E912A9">
        <w:rPr>
          <w:i/>
          <w:iCs/>
        </w:rPr>
        <w:t>Sydkorea</w:t>
      </w:r>
      <w:r w:rsidR="005A4F35" w:rsidRPr="00E912A9">
        <w:t xml:space="preserve">) är absolut nödvändigt. Både Japan och Sydkorea utmärker sig för sitt betydande ekonomiska och humanitära bistånd till Ukraina. Japan har gett och utlovat Ukraina 20 miljarder US-dollar i ekonomiskt och militärt bistånd sedan 2022. Instabiliteten i Mellanöstern har betydande återverkningar på Europa och </w:t>
      </w:r>
      <w:proofErr w:type="spellStart"/>
      <w:r w:rsidR="005A4F35" w:rsidRPr="00E912A9">
        <w:t>Östasien</w:t>
      </w:r>
      <w:proofErr w:type="spellEnd"/>
      <w:r w:rsidR="005A4F35" w:rsidRPr="00E912A9">
        <w:t xml:space="preserve"> när det gäller energitrygghet och störningar i leveranskedjor.</w:t>
      </w:r>
    </w:p>
    <w:p w14:paraId="18DDC7FA" w14:textId="246A190B" w:rsidR="005A4F35" w:rsidRPr="00E912A9" w:rsidRDefault="00BF4B5F" w:rsidP="005A4F35">
      <w:pPr>
        <w:pStyle w:val="NormalHanging12a"/>
        <w:rPr>
          <w:bCs/>
          <w:iCs/>
        </w:rPr>
      </w:pPr>
      <w:r>
        <w:t>H</w:t>
      </w:r>
      <w:r w:rsidR="005A4F35" w:rsidRPr="00E912A9">
        <w:t>.</w:t>
      </w:r>
      <w:r w:rsidR="005A4F35" w:rsidRPr="00E912A9">
        <w:tab/>
        <w:t>I den strategiska kompassen för säkerhet och försvar anges att vissa aktörer, såsom Demokratiska folkrepubliken Korea (</w:t>
      </w:r>
      <w:r w:rsidR="005A4F35" w:rsidRPr="00E912A9">
        <w:rPr>
          <w:i/>
          <w:iCs/>
        </w:rPr>
        <w:t>Nordkorea</w:t>
      </w:r>
      <w:r w:rsidR="005A4F35" w:rsidRPr="00E912A9">
        <w:t>), fortsätter att äventyra regional och internationell fred och säkerhet. Nordkoreas kärnvapen- och robotprogram utgör allvarliga hot mot den regelbaserade världsordningen, liksom landets eventuella överföring av teknik med anknytning till kärnvapen eller ballistiska robotar och obemannade luftfartyg (UAV) från Ryssland i utbyte mot vapen och militär personal. Nordkorea har upprepade gånger brutit mot FN:s säkerhetsråds resolutioner genom att fortsätta att avfyra robotar, inklusive tester över Japan.</w:t>
      </w:r>
    </w:p>
    <w:p w14:paraId="0F4D7C45" w14:textId="154F89AC" w:rsidR="005A4F35" w:rsidRPr="00E912A9" w:rsidRDefault="00BF4B5F" w:rsidP="005A4F35">
      <w:pPr>
        <w:pStyle w:val="NormalHanging12a"/>
        <w:rPr>
          <w:bCs/>
          <w:iCs/>
        </w:rPr>
      </w:pPr>
      <w:r>
        <w:t>I</w:t>
      </w:r>
      <w:r w:rsidR="005A4F35" w:rsidRPr="00E912A9">
        <w:t>.</w:t>
      </w:r>
      <w:r w:rsidR="005A4F35" w:rsidRPr="00E912A9">
        <w:tab/>
        <w:t xml:space="preserve">Den digitala miljöns växande betydelse för våra samhällens och ekonomiers funktion har ökat antalet cyberattacker och deras omfattning. I det gemensamma meddelandet </w:t>
      </w:r>
      <w:r w:rsidR="005A4F35" w:rsidRPr="00E912A9">
        <w:rPr>
          <w:i/>
          <w:iCs/>
        </w:rPr>
        <w:t>EU:s strategi för cybersäkerhet för ett digitalt decennium</w:t>
      </w:r>
      <w:r w:rsidR="005A4F35" w:rsidRPr="00E912A9">
        <w:t xml:space="preserve"> anges att kampen mot dessa hot och sårbarheter kräver samarbete med partner som sätter sin tilltro till rättsstatsprincipen, grundläggande frihet, demokrati och mänskliga rättigheter.</w:t>
      </w:r>
    </w:p>
    <w:p w14:paraId="2AA50A41" w14:textId="27615AAF" w:rsidR="005A4F35" w:rsidRPr="00E912A9" w:rsidRDefault="00BF4B5F" w:rsidP="005A4F35">
      <w:pPr>
        <w:pStyle w:val="NormalHanging12a"/>
      </w:pPr>
      <w:r>
        <w:t>J</w:t>
      </w:r>
      <w:r w:rsidR="005A4F35" w:rsidRPr="00E912A9">
        <w:t>.</w:t>
      </w:r>
      <w:r w:rsidR="005A4F35" w:rsidRPr="00E912A9">
        <w:tab/>
        <w:t>EU:s intressen och globala säkerhet skyddas bäst genom ett fördjupat praktiskt samarbete med likasinnade partner i regionen – särskilt Japan, Sydkorea och Taiwan – och en strävan efter ett principfast och konstruktivt samarbete med regionala aktörer, och genom att Sydostasiatiska nationers förbund (</w:t>
      </w:r>
      <w:r w:rsidR="005A4F35" w:rsidRPr="00E912A9">
        <w:rPr>
          <w:i/>
          <w:iCs/>
        </w:rPr>
        <w:t>Asean</w:t>
      </w:r>
      <w:r w:rsidR="005A4F35" w:rsidRPr="00E912A9">
        <w:t xml:space="preserve">) involveras som en central sammankallande aktör. Dessa partnerskap bör tjäna till att stärka EU:s strategiska oberoende genom att befästa en europeisk </w:t>
      </w:r>
      <w:proofErr w:type="spellStart"/>
      <w:r w:rsidR="005A4F35" w:rsidRPr="00E912A9">
        <w:t>försvarsteknisk</w:t>
      </w:r>
      <w:proofErr w:type="spellEnd"/>
      <w:r w:rsidR="005A4F35" w:rsidRPr="00E912A9">
        <w:t xml:space="preserve"> och försvarsindustriell bas, utan att göra EU alltför beroende av externa makter. EU bör undvika en blockbaserad konfrontationsdynamik och i stället främja samarbetsinriktad multilateralism och dialog som bygger på folkrätten.</w:t>
      </w:r>
    </w:p>
    <w:p w14:paraId="18873961" w14:textId="5CE0C530" w:rsidR="005A4F35" w:rsidRPr="00E912A9" w:rsidRDefault="00BF4B5F" w:rsidP="005A4F35">
      <w:pPr>
        <w:pStyle w:val="NormalHanging12a"/>
      </w:pPr>
      <w:r>
        <w:t>K</w:t>
      </w:r>
      <w:r w:rsidR="005A4F35" w:rsidRPr="00E912A9">
        <w:t>.</w:t>
      </w:r>
      <w:r w:rsidR="005A4F35" w:rsidRPr="00E912A9">
        <w:tab/>
        <w:t>Det strategiska partnerskapet mellan EU och Japan fungerar som en förebild för ett effektivt bilateralt samarbete som stärker utformningen av politik i multilaterala forum. Ikraftträdandet av det strategiska partnerskapsavtalet mellan EU och Japan den 1 januari 2025 möjliggör ett fördjupat samarbete, bland annat på områden som säkerhet och försvar, hybridhot, sjöfartsskydd, cybersäkerhet, rymden och icke-spridning, vid sidan av konkreta gemensamma insatser inom ramen för konkurrenskraftsalliansen, den gröna alliansen och det digitala partnerskapet och energidialogen.</w:t>
      </w:r>
    </w:p>
    <w:p w14:paraId="16B108F2" w14:textId="35F9A592" w:rsidR="005A4F35" w:rsidRPr="00E912A9" w:rsidRDefault="00BF4B5F" w:rsidP="005A4F35">
      <w:pPr>
        <w:pStyle w:val="NormalHanging12a"/>
        <w:rPr>
          <w:bCs/>
          <w:iCs/>
        </w:rPr>
      </w:pPr>
      <w:r>
        <w:t>L</w:t>
      </w:r>
      <w:r w:rsidR="005A4F35" w:rsidRPr="00E912A9">
        <w:t>.</w:t>
      </w:r>
      <w:r w:rsidR="005A4F35" w:rsidRPr="00E912A9">
        <w:tab/>
        <w:t xml:space="preserve">Japan är EU:s närmaste strategiska partner i regionen Indiska oceanen/Stilla havet. Globala utmaningar och i synnerhet tilltagande spänningar i regionen Indiska oceanen/Stilla havet kräver ett allt närmare partnerskap mellan EU och Japan. Att hålla regionen Indiska oceanen/Stilla havet fri och öppen är av grundläggande intresse för både Japan och EU, och något som båda parter eftersträvar, särskilt genom att främja en regelbaserad världsordning där alla länder håller sig till internationell rätt och principen om en fredlig lösning av konflikter. Japan är en viktig aktör i flera forum i regionen Indiska oceanen/Stilla havet, såsom det östasiatiska toppmötet. EU och Japan söker gemensamma arbetssätt på bilateral nivå och i multilaterala forum såsom G7, G20, FN, Världshandelsorganisationen (WTO), Världshälsoorganisationen (WHO) och </w:t>
      </w:r>
      <w:r w:rsidR="005A4F35" w:rsidRPr="00E912A9">
        <w:lastRenderedPageBreak/>
        <w:t>Organisationen för ekonomiskt samarbete och utveckling (OECD), samt samordning som likasinnade givare.</w:t>
      </w:r>
    </w:p>
    <w:p w14:paraId="20B0E310" w14:textId="4551916E" w:rsidR="005A4F35" w:rsidRPr="00E912A9" w:rsidRDefault="00BF4B5F" w:rsidP="005A4F35">
      <w:pPr>
        <w:pStyle w:val="NormalHanging12a"/>
        <w:rPr>
          <w:bCs/>
          <w:iCs/>
        </w:rPr>
      </w:pPr>
      <w:r>
        <w:t>M</w:t>
      </w:r>
      <w:r w:rsidR="005A4F35" w:rsidRPr="00E912A9">
        <w:t>.</w:t>
      </w:r>
      <w:r w:rsidR="005A4F35" w:rsidRPr="00E912A9">
        <w:tab/>
        <w:t>Avtalet mellan EU och Japan om ett ekonomiskt partnerskap trädde i kraft 2019 och ändrades 2024 till att inkludera bestämmelser om det fria flödet av uppgifter. Japan är EU:s sjunde största handelspartner.</w:t>
      </w:r>
    </w:p>
    <w:p w14:paraId="3D03AAAA" w14:textId="6544F60F" w:rsidR="005A4F35" w:rsidRPr="00E912A9" w:rsidRDefault="00BF4B5F" w:rsidP="005A4F35">
      <w:pPr>
        <w:pStyle w:val="NormalHanging12a"/>
        <w:rPr>
          <w:bCs/>
          <w:iCs/>
        </w:rPr>
      </w:pPr>
      <w:r>
        <w:t>N</w:t>
      </w:r>
      <w:r w:rsidR="005A4F35" w:rsidRPr="00E912A9">
        <w:t>.</w:t>
      </w:r>
      <w:r w:rsidR="005A4F35" w:rsidRPr="00E912A9">
        <w:tab/>
      </w:r>
      <w:bookmarkStart w:id="7" w:name="_Hlk233719618"/>
      <w:r w:rsidRPr="00B92824">
        <w:rPr>
          <w:szCs w:val="24"/>
          <w:lang w:eastAsia="en-US"/>
        </w:rPr>
        <w:t>I maj 2026 utökade det fjärde rådet för digitalt partnerskap mellan EU och Japan samarbetet om artificiell intelligens (AI), 5G/6G, halvledare, cybersäkerhet och dataförvaltning, och välkomnade framstegen med det gemensamma forskningsprojektet ”6G MIRAI-HARMONY”</w:t>
      </w:r>
      <w:bookmarkEnd w:id="7"/>
      <w:r w:rsidR="005A4F35" w:rsidRPr="00B92824">
        <w:t>.</w:t>
      </w:r>
    </w:p>
    <w:p w14:paraId="50B70B08" w14:textId="682C5690" w:rsidR="005A4F35" w:rsidRPr="00E912A9" w:rsidRDefault="00BF4B5F" w:rsidP="005A4F35">
      <w:pPr>
        <w:pStyle w:val="NormalHanging12a"/>
        <w:rPr>
          <w:bCs/>
          <w:iCs/>
        </w:rPr>
      </w:pPr>
      <w:r>
        <w:t>O</w:t>
      </w:r>
      <w:r w:rsidR="005A4F35" w:rsidRPr="00E912A9">
        <w:t>.</w:t>
      </w:r>
      <w:r w:rsidR="005A4F35" w:rsidRPr="00E912A9">
        <w:tab/>
        <w:t>Energidialogen mellan EU och Japan 2025 betonade det gemensamma arbetet med leveranskedjor för ren energi, LNG-säkerhet och samarbete i fråga om vätgas för att stödja klimatneutralitet.</w:t>
      </w:r>
    </w:p>
    <w:p w14:paraId="192F127E" w14:textId="0801BCCA" w:rsidR="005A4F35" w:rsidRPr="00E912A9" w:rsidRDefault="00BF4B5F" w:rsidP="005A4F35">
      <w:pPr>
        <w:pStyle w:val="NormalHanging12a"/>
        <w:rPr>
          <w:b/>
          <w:bCs/>
          <w:i/>
          <w:iCs/>
          <w:szCs w:val="24"/>
        </w:rPr>
      </w:pPr>
      <w:r>
        <w:t>P</w:t>
      </w:r>
      <w:r w:rsidR="005A4F35" w:rsidRPr="00E912A9">
        <w:t>.</w:t>
      </w:r>
      <w:r w:rsidR="005A4F35" w:rsidRPr="00E912A9">
        <w:tab/>
        <w:t xml:space="preserve">Det strategiska partnerskapet mellan EU och Sydkorea, en av de viktigaste allierade i regionen Indiska oceanen/Stilla havet, spänner över politisk dialog, handel och säkerhetssamarbete. Frihandelsavtalet mellan EU och Sydkorea har bidragit till en betydligt större bilateral handel sedan det trädde i kraft. </w:t>
      </w:r>
      <w:bookmarkStart w:id="8" w:name="_Hlk233719710"/>
      <w:r w:rsidR="005A4F35" w:rsidRPr="00E912A9">
        <w:t>Ramavtalet mellan EU och Sydkorea</w:t>
      </w:r>
      <w:bookmarkEnd w:id="8"/>
      <w:r w:rsidR="005A4F35" w:rsidRPr="00E912A9">
        <w:t xml:space="preserve"> stärker de politiska, ekonomiska och institutionella banden, inbegripet säkerheten. Ramavtalet om deltagande stärker de politiska och säkerhetsmässiga förbindelserna mellan EU och Sydkorea och understryker gemensamma värden och intressen. Vid toppmötet mellan EU och Sydkorea 2023 enades ledarna om att upprätta ett säkerhetspartnerskap och en strategisk dialog på utrikesministernivå för att förbättra samarbetet om global fred och säkerhet. Säkerhets- och försvarspartnerskapet mellan EU och Sydkorea utgör en strukturerad ram för samarbete på alla säkerhetsområden. I avtalet om digital handel mellan EU och Sydkorea fastställs ömsesidigt fördelaktiga regler för data och digital teknik. Sydkorea spelar en avgörande roll för den regionala stabiliteten.</w:t>
      </w:r>
    </w:p>
    <w:p w14:paraId="3DE5246B" w14:textId="45B44921" w:rsidR="005A4F35" w:rsidRPr="00E912A9" w:rsidRDefault="00BF4B5F" w:rsidP="005A4F35">
      <w:pPr>
        <w:pStyle w:val="NormalHanging12a"/>
        <w:rPr>
          <w:szCs w:val="24"/>
        </w:rPr>
      </w:pPr>
      <w:r>
        <w:t>Q</w:t>
      </w:r>
      <w:r w:rsidR="005A4F35" w:rsidRPr="00E912A9">
        <w:t>.</w:t>
      </w:r>
      <w:r w:rsidR="005A4F35" w:rsidRPr="00E912A9">
        <w:tab/>
        <w:t>Frihandelsavtalet mellan EU och Sydkorea var det första i en ny generation EU</w:t>
      </w:r>
      <w:r w:rsidR="005A4F35" w:rsidRPr="00E912A9">
        <w:noBreakHyphen/>
        <w:t>handelsavtal. Ett fullständigt genomförande av kapitlet om handel och hållbar utveckling i frihandelsavtalet mellan EU och Sydkorea, inbegripet fortsatta framsteg när det gäller arbetstagares rättigheter och ratificering av ILO:s konvention om avskaffande av tvångsarbete från 1957 (nr 105), är fortfarande viktigt. Sydkorea är EU:s åttonde största handelspartner.</w:t>
      </w:r>
    </w:p>
    <w:p w14:paraId="1AB30300" w14:textId="30665639" w:rsidR="005A4F35" w:rsidRPr="00E912A9" w:rsidRDefault="00BF4B5F" w:rsidP="005A4F35">
      <w:pPr>
        <w:pStyle w:val="NormalHanging12a"/>
      </w:pPr>
      <w:r>
        <w:t>R</w:t>
      </w:r>
      <w:r w:rsidR="005A4F35" w:rsidRPr="00E912A9">
        <w:t>.</w:t>
      </w:r>
      <w:r w:rsidR="005A4F35" w:rsidRPr="00E912A9">
        <w:tab/>
        <w:t>EU har redan upprättat strategiska partnerskap med Japan och Sydkorea som likasinnade partner i regionen. Japan och Sydkorea anslår betydande resurser för att påskynda sin energiomställning, bland annat mot bakgrund av deras ratificering av Parisavtalet från 2015 och deras betydande investeringar i solkraft och havsbaserad vindkraft. EU strävar efter att gå längre i sina strategiska partnerskap och stärka sitt samarbete med Japan och Sydkorea på området förnybar energi för att uppnå koldioxidneutralitet senast 2050.</w:t>
      </w:r>
    </w:p>
    <w:p w14:paraId="6086E094" w14:textId="61069D60" w:rsidR="005A4F35" w:rsidRPr="00E912A9" w:rsidRDefault="00BF4B5F" w:rsidP="005A4F35">
      <w:pPr>
        <w:pStyle w:val="NormalHanging12a"/>
      </w:pPr>
      <w:r>
        <w:t>S</w:t>
      </w:r>
      <w:r w:rsidR="005A4F35" w:rsidRPr="00E912A9">
        <w:t>.</w:t>
      </w:r>
      <w:r w:rsidR="005A4F35" w:rsidRPr="00E912A9">
        <w:tab/>
        <w:t>Sydkorea och Japan är ledande tekniska aktörer vars utveckling av AI, även på försvarsområdet, formar insatser mot cyberhot och militära hot, särskilt i ljuset av de ständiga hoten från Nordkorea.</w:t>
      </w:r>
    </w:p>
    <w:p w14:paraId="316275D8" w14:textId="55D04F74" w:rsidR="005A4F35" w:rsidRPr="00E912A9" w:rsidRDefault="00BF4B5F" w:rsidP="005A4F35">
      <w:pPr>
        <w:pStyle w:val="NormalHanging12a"/>
      </w:pPr>
      <w:r>
        <w:t>T</w:t>
      </w:r>
      <w:r w:rsidR="005A4F35" w:rsidRPr="00E912A9">
        <w:t>.</w:t>
      </w:r>
      <w:r w:rsidR="005A4F35" w:rsidRPr="00E912A9">
        <w:tab/>
        <w:t xml:space="preserve">Australien, Japan och Sydkorea fördjupar sitt trepartssamarbete för att öka säkerheten </w:t>
      </w:r>
      <w:r w:rsidR="005A4F35" w:rsidRPr="00E912A9">
        <w:lastRenderedPageBreak/>
        <w:t xml:space="preserve">och stabiliteten i regionen Indiska oceanen/Stilla havet, bland annat genom gemensamma militära övningar och närmare samarbete om försvarsteknik och </w:t>
      </w:r>
      <w:proofErr w:type="spellStart"/>
      <w:r w:rsidR="005A4F35" w:rsidRPr="00E912A9">
        <w:t>resiliens</w:t>
      </w:r>
      <w:proofErr w:type="spellEnd"/>
      <w:r w:rsidR="005A4F35" w:rsidRPr="00E912A9">
        <w:t xml:space="preserve"> i leveranskedjorna. Denna växande trepartssamordning bygger på drivkraften i Australiens övergripande strategiska partnerskap med Sydkorea och dess särskilda strategiska partnerskap med Japan.</w:t>
      </w:r>
    </w:p>
    <w:p w14:paraId="294F9E69" w14:textId="3384FE57" w:rsidR="005A4F35" w:rsidRPr="00E912A9" w:rsidRDefault="00BF4B5F" w:rsidP="005A4F35">
      <w:pPr>
        <w:pStyle w:val="NormalHanging12a"/>
      </w:pPr>
      <w:r>
        <w:t>U</w:t>
      </w:r>
      <w:r w:rsidR="005A4F35" w:rsidRPr="00E912A9">
        <w:t>.</w:t>
      </w:r>
      <w:r w:rsidR="005A4F35" w:rsidRPr="00E912A9">
        <w:tab/>
        <w:t xml:space="preserve">Den 1 januari 2025 blev Sydkorea det första asiatiska landet som anslöt sig till Horisont </w:t>
      </w:r>
      <w:proofErr w:type="spellStart"/>
      <w:r w:rsidR="005A4F35" w:rsidRPr="00E912A9">
        <w:t>Europa-programmet</w:t>
      </w:r>
      <w:proofErr w:type="spellEnd"/>
      <w:r w:rsidR="005A4F35" w:rsidRPr="00E912A9">
        <w:t xml:space="preserve">, följt av </w:t>
      </w:r>
      <w:r w:rsidR="008C15D3" w:rsidRPr="00E912A9">
        <w:t xml:space="preserve">slutförandet av förhandlingarna med </w:t>
      </w:r>
      <w:r w:rsidR="005A4F35" w:rsidRPr="00E912A9">
        <w:t>Japan den 22 december 2025. De båda ländernas anslutning till programmet visar på deras starka åtagande för forsknings- och innovationssamarbete med EU.</w:t>
      </w:r>
    </w:p>
    <w:p w14:paraId="6E7CEBCC" w14:textId="101E2A59" w:rsidR="005A4F35" w:rsidRPr="00E912A9" w:rsidRDefault="00BF4B5F" w:rsidP="005A4F35">
      <w:pPr>
        <w:pStyle w:val="NormalHanging12a"/>
        <w:widowControl/>
        <w:rPr>
          <w:bCs/>
          <w:iCs/>
        </w:rPr>
      </w:pPr>
      <w:r>
        <w:t>V</w:t>
      </w:r>
      <w:r w:rsidR="005A4F35" w:rsidRPr="00E912A9">
        <w:t>.</w:t>
      </w:r>
      <w:r w:rsidR="005A4F35" w:rsidRPr="00E912A9">
        <w:tab/>
        <w:t xml:space="preserve">Taiwan är en tillförlitlig viktig demokratisk partner för EU i </w:t>
      </w:r>
      <w:proofErr w:type="spellStart"/>
      <w:r w:rsidR="005A4F35" w:rsidRPr="00E912A9">
        <w:t>Östasien</w:t>
      </w:r>
      <w:proofErr w:type="spellEnd"/>
      <w:r w:rsidR="005A4F35" w:rsidRPr="00E912A9">
        <w:t>. EU och Taiwan delar gemensamma värderingar, såsom demokrati, rättsstatsprincipen och mänskliga rättigheter, och båda är engagerade i att upprätthålla multilateralism och den regelbaserade världsordningen. I vitboken om europeisk försvarsberedskap 2030 (JOIN(2025)0120) uttrycks oro över Kinas påtryckningar mot Taiwan i form av intensifierade politiska, ekonomiska, militära och cyberrelaterade åtgärder. Fred och stabilitet i Taiwansundet och Sydkinesiska havet är av stort strategiskt intresse för EU och avgörande för säkerhet och välstånd globalt, bland annat för internationella handelsflöden, investeringssäkerhet och fungerande globala leveranskedjor.</w:t>
      </w:r>
    </w:p>
    <w:p w14:paraId="496EE027" w14:textId="704B4A88" w:rsidR="005A4F35" w:rsidRPr="00E912A9" w:rsidRDefault="00BF4B5F" w:rsidP="005A4F35">
      <w:pPr>
        <w:pStyle w:val="NormalHanging12a"/>
        <w:rPr>
          <w:bCs/>
          <w:iCs/>
        </w:rPr>
      </w:pPr>
      <w:r>
        <w:t>W</w:t>
      </w:r>
      <w:r w:rsidR="005A4F35" w:rsidRPr="00E912A9">
        <w:t>.</w:t>
      </w:r>
      <w:r w:rsidR="005A4F35" w:rsidRPr="00E912A9">
        <w:tab/>
        <w:t>Taiwan är EU:s 13:e största handelspartner och en viktig ekonomisk partner, rankad en av EU:s viktigaste handels- och investeringspartner i Asien, och spelar en central roll i globala värdekedjor, särskilt inom tillverkning av halvledare, folkhälsa, demokratisk motståndskraft och katastrofberedskap.</w:t>
      </w:r>
    </w:p>
    <w:p w14:paraId="3D9A1980" w14:textId="13773813" w:rsidR="005A4F35" w:rsidRPr="00E912A9" w:rsidRDefault="00BF4B5F" w:rsidP="005A4F35">
      <w:pPr>
        <w:pStyle w:val="NormalHanging12a"/>
        <w:rPr>
          <w:bCs/>
          <w:iCs/>
        </w:rPr>
      </w:pPr>
      <w:r>
        <w:t>X</w:t>
      </w:r>
      <w:r w:rsidR="005A4F35" w:rsidRPr="00E912A9">
        <w:t>.</w:t>
      </w:r>
      <w:r w:rsidR="005A4F35" w:rsidRPr="00E912A9">
        <w:tab/>
        <w:t>Taiwan har ett strategiskt läge för handel. Taiwansundet är den främsta rutten för fartyg som går från Kina, Japan, Sydkorea och Taiwan till Europa. Taiwan är ledande på marknaden för tillverkning av halvledare, då dess producenter tillverkar omkring 50 % av världens produktion av halvledare. I EU:s strategi för regionen Indiska oceanen/Stilla havet förespråkas ett ökat handels- och investeringssamarbete med Taiwan och en stabilisering av spänningarna i Sydkinesiska havet och Taiwansundet.</w:t>
      </w:r>
    </w:p>
    <w:p w14:paraId="5BD11B77" w14:textId="5FAEDD55" w:rsidR="005A4F35" w:rsidRPr="00E912A9" w:rsidRDefault="00BF4B5F" w:rsidP="005A4F35">
      <w:pPr>
        <w:pStyle w:val="NormalHanging12a"/>
        <w:rPr>
          <w:bCs/>
          <w:iCs/>
        </w:rPr>
      </w:pPr>
      <w:r>
        <w:t>Y</w:t>
      </w:r>
      <w:r w:rsidR="005A4F35" w:rsidRPr="00E912A9">
        <w:t>.</w:t>
      </w:r>
      <w:r w:rsidR="005A4F35" w:rsidRPr="00E912A9">
        <w:tab/>
        <w:t>Samarbetet mellan EU, Japan, Sydkorea och Taiwan bidrar till att främja stabilitet, öppna marknader och den regelbaserade världsordningen. Dessa partner har gemensamma intressen i hanteringen av globala utmaningar, däribland ekonomisk säkerhet och teknisk utveckling. En ökad samordning mellan EU, Japan och Sydkorea kan bidra till större politisk samstämmighet i hanteringen av regionala och globala utmaningar.</w:t>
      </w:r>
    </w:p>
    <w:p w14:paraId="00178784" w14:textId="526DFB11" w:rsidR="005A4F35" w:rsidRPr="00E912A9" w:rsidRDefault="00BF4B5F" w:rsidP="005A4F35">
      <w:pPr>
        <w:pStyle w:val="NormalHanging12a"/>
        <w:rPr>
          <w:bCs/>
          <w:iCs/>
        </w:rPr>
      </w:pPr>
      <w:r>
        <w:t>Z</w:t>
      </w:r>
      <w:r w:rsidR="005A4F35" w:rsidRPr="00E912A9">
        <w:t>.</w:t>
      </w:r>
      <w:r w:rsidR="005A4F35" w:rsidRPr="00E912A9">
        <w:tab/>
        <w:t xml:space="preserve">Ett trepartssamarbete mellan EU, Japan, Sydkorea och Taiwan kan stödja utvecklingen av internationella normer och standarder, särskilt på områdena digital förvaltning och leveranskedjor. EU, Japan och Sydkorea är likasinnade partner som har samma mål. Deras strategiska partnerskap inom AI är en mekanism för att främja utbyten inom den digitala handeln och hantera förändringarna i det globala sammanhanget. </w:t>
      </w:r>
    </w:p>
    <w:p w14:paraId="21B679EB" w14:textId="6045984F" w:rsidR="005A4F35" w:rsidRPr="00E912A9" w:rsidRDefault="00BF4B5F" w:rsidP="005A4F35">
      <w:pPr>
        <w:pStyle w:val="NormalHanging12a"/>
        <w:rPr>
          <w:bCs/>
          <w:iCs/>
        </w:rPr>
      </w:pPr>
      <w:r>
        <w:t>AA</w:t>
      </w:r>
      <w:r w:rsidR="005A4F35" w:rsidRPr="00E912A9">
        <w:t>.</w:t>
      </w:r>
      <w:r w:rsidR="005A4F35" w:rsidRPr="00E912A9">
        <w:tab/>
        <w:t xml:space="preserve">Den gröna alliansen mellan EU och Japan och det gröna partnerskapet mellan EU och Sydkorea tillhandahåller konkreta ramar för samarbete om klimatåtgärder, ren energi, utfasning av fossila bränslen i industrin, den cirkulära ekonomin och andra delar av den gröna omställningen. Ett djupare strukturerat samarbete med Taiwan om ren teknik och </w:t>
      </w:r>
      <w:proofErr w:type="spellStart"/>
      <w:r w:rsidR="005A4F35" w:rsidRPr="00E912A9">
        <w:t>resiliens</w:t>
      </w:r>
      <w:proofErr w:type="spellEnd"/>
      <w:r w:rsidR="005A4F35" w:rsidRPr="00E912A9">
        <w:t xml:space="preserve"> i leveranskedjorna ligger också i EU:s intresse.</w:t>
      </w:r>
    </w:p>
    <w:p w14:paraId="706FF13B" w14:textId="68F1066F" w:rsidR="005A4F35" w:rsidRPr="00E912A9" w:rsidRDefault="00BF4B5F" w:rsidP="005A4F35">
      <w:pPr>
        <w:pStyle w:val="NormalHanging12a"/>
        <w:rPr>
          <w:bCs/>
          <w:iCs/>
        </w:rPr>
      </w:pPr>
      <w:r>
        <w:lastRenderedPageBreak/>
        <w:t>AB</w:t>
      </w:r>
      <w:r w:rsidR="005A4F35" w:rsidRPr="00E912A9">
        <w:t>.</w:t>
      </w:r>
      <w:r w:rsidR="005A4F35" w:rsidRPr="00E912A9">
        <w:tab/>
        <w:t xml:space="preserve">Fred och stabilitet i Taiwansundet och Sydkinesiska havet är av strategisk betydelse för den regionala och globala säkerheten. Vissa EU-medlemsstater har en marin närvaro i regionen Indiska oceanen/Stilla havet, och EU som helhet har ett direkt intresse av att status </w:t>
      </w:r>
      <w:proofErr w:type="spellStart"/>
      <w:r w:rsidR="005A4F35" w:rsidRPr="00E912A9">
        <w:t>quo</w:t>
      </w:r>
      <w:proofErr w:type="spellEnd"/>
      <w:r w:rsidR="005A4F35" w:rsidRPr="00E912A9">
        <w:t xml:space="preserve"> upprätthålls.</w:t>
      </w:r>
    </w:p>
    <w:p w14:paraId="11864924" w14:textId="0190B435" w:rsidR="005A4F35" w:rsidRPr="00E912A9" w:rsidRDefault="00BF4B5F" w:rsidP="005A4F35">
      <w:pPr>
        <w:pStyle w:val="NormalHanging12a"/>
        <w:rPr>
          <w:bCs/>
          <w:iCs/>
        </w:rPr>
      </w:pPr>
      <w:r>
        <w:t>AC</w:t>
      </w:r>
      <w:r w:rsidR="005A4F35" w:rsidRPr="00E912A9">
        <w:t>.</w:t>
      </w:r>
      <w:r w:rsidR="005A4F35" w:rsidRPr="00E912A9">
        <w:tab/>
        <w:t xml:space="preserve">I november 2025 upprättade EU och Filippinerna en säkerhets- och försvarsdialog för att ta itu med de alltmer komplexa säkerhetshoten och främja utbyte och samarbete om frågor som sjöfartsskydd, regional stabilitet och </w:t>
      </w:r>
      <w:proofErr w:type="spellStart"/>
      <w:r w:rsidR="005A4F35" w:rsidRPr="00E912A9">
        <w:t>konnektivitet</w:t>
      </w:r>
      <w:proofErr w:type="spellEnd"/>
      <w:r w:rsidR="005A4F35" w:rsidRPr="00E912A9">
        <w:t xml:space="preserve">. I januari 2026 uppgraderade EU och Vietnam sina förbindelser till ett övergripande strategiskt partnerskap för att fördjupa samarbetet på ett stort antal områden, inbegripet sjöfartsskydd, </w:t>
      </w:r>
      <w:proofErr w:type="spellStart"/>
      <w:r w:rsidR="005A4F35" w:rsidRPr="00E912A9">
        <w:t>resiliens</w:t>
      </w:r>
      <w:proofErr w:type="spellEnd"/>
      <w:r w:rsidR="005A4F35" w:rsidRPr="00E912A9">
        <w:t xml:space="preserve"> i leveranskedjorna och större </w:t>
      </w:r>
      <w:proofErr w:type="spellStart"/>
      <w:r w:rsidR="005A4F35" w:rsidRPr="00E912A9">
        <w:t>konnektivitet</w:t>
      </w:r>
      <w:proofErr w:type="spellEnd"/>
      <w:r w:rsidR="005A4F35" w:rsidRPr="00E912A9">
        <w:t xml:space="preserve"> mellan Europa och Sydostasien.</w:t>
      </w:r>
    </w:p>
    <w:p w14:paraId="67B0A259" w14:textId="275E0D9A" w:rsidR="005A4F35" w:rsidRPr="00E912A9" w:rsidRDefault="00BF4B5F" w:rsidP="005A4F35">
      <w:pPr>
        <w:pStyle w:val="NormalHanging12a"/>
        <w:rPr>
          <w:bCs/>
          <w:iCs/>
        </w:rPr>
      </w:pPr>
      <w:r>
        <w:t>AD</w:t>
      </w:r>
      <w:r w:rsidR="005A4F35" w:rsidRPr="00E912A9">
        <w:t>.</w:t>
      </w:r>
      <w:r w:rsidR="005A4F35" w:rsidRPr="00E912A9">
        <w:tab/>
        <w:t>Människorättssituationen i Nordkorea fortsätter att karaktäriseras av systematiska, utbredda och grova kränkningar, inbegripet begränsningar av yttrandefriheten, rörligheten och tillgången till information, förekomsten av politiska fångläger och dokumenterade fall av tvångsarbete och tortyr samt en avsaknad av rättsliga miniminormer i straffprocessrätten. Dessa överträdelser har konsekvent rapporterats av internationella institutioner och kräver varaktig uppmärksamhet och åtgärder från världssamfundet.</w:t>
      </w:r>
    </w:p>
    <w:p w14:paraId="7E5119FA" w14:textId="5E3C9733" w:rsidR="005A4F35" w:rsidRPr="00E912A9" w:rsidRDefault="00BF4B5F" w:rsidP="005A4F35">
      <w:pPr>
        <w:pStyle w:val="NormalHanging12a"/>
      </w:pPr>
      <w:r>
        <w:t>AE</w:t>
      </w:r>
      <w:r w:rsidR="005A4F35" w:rsidRPr="00E912A9">
        <w:t>.</w:t>
      </w:r>
      <w:r w:rsidR="005A4F35" w:rsidRPr="00E912A9">
        <w:tab/>
        <w:t xml:space="preserve">EU:s närvaro i och samarbete med </w:t>
      </w:r>
      <w:proofErr w:type="spellStart"/>
      <w:r w:rsidR="005A4F35" w:rsidRPr="00E912A9">
        <w:t>Östasien</w:t>
      </w:r>
      <w:proofErr w:type="spellEnd"/>
      <w:r w:rsidR="005A4F35" w:rsidRPr="00E912A9">
        <w:t xml:space="preserve"> är av yttersta vikt för att främja fred och stabilitet i regionen, värna den ekonomiska säkerheten och stärka den regelbaserade världsordningen, eftersom säkerhetsutmaningarna i regionen har direkta konsekvenser för den globala freden och EU:s intressen. Partner i </w:t>
      </w:r>
      <w:proofErr w:type="spellStart"/>
      <w:r w:rsidR="005A4F35" w:rsidRPr="00E912A9">
        <w:t>Östasien</w:t>
      </w:r>
      <w:proofErr w:type="spellEnd"/>
      <w:r w:rsidR="005A4F35" w:rsidRPr="00E912A9">
        <w:t>, däribland Japan, Sydkorea, Taiwan och medlemmar i Asean, upprätthåller komplexa och mångfasetterade förbindelser med Kina som kännetecknas av ett betydande ekonomiskt ömsesidigt beroende.</w:t>
      </w:r>
    </w:p>
    <w:p w14:paraId="085E905F" w14:textId="55816517" w:rsidR="005A4F35" w:rsidRPr="00E912A9" w:rsidRDefault="00BF4B5F" w:rsidP="005A4F35">
      <w:pPr>
        <w:pStyle w:val="NormalHanging12a"/>
        <w:rPr>
          <w:bCs/>
          <w:iCs/>
        </w:rPr>
      </w:pPr>
      <w:r>
        <w:t>AF</w:t>
      </w:r>
      <w:r w:rsidR="005A4F35" w:rsidRPr="00E912A9">
        <w:t>.</w:t>
      </w:r>
      <w:r w:rsidR="005A4F35" w:rsidRPr="00E912A9">
        <w:tab/>
        <w:t>De utomeuropeiska länderna och territorierna är de enda territorier i regionen Indiska oceanen/Stilla havet som hör till medlemsstaterna. De fungerar som unika fokuspunkter av strategiskt intresse, och ger EU närvaro, inflytande och partnerskap i dessa regioner, särskilt på områdena försvar, handel, digital teknik, rymden och kulturellt samarbete.</w:t>
      </w:r>
    </w:p>
    <w:p w14:paraId="2ED54C6D" w14:textId="6010188B" w:rsidR="005A4F35" w:rsidRPr="00E912A9" w:rsidRDefault="00BF4B5F" w:rsidP="005A4F35">
      <w:pPr>
        <w:pStyle w:val="NormalHanging12a"/>
        <w:rPr>
          <w:bCs/>
          <w:iCs/>
        </w:rPr>
      </w:pPr>
      <w:r>
        <w:t>AG</w:t>
      </w:r>
      <w:r w:rsidR="005A4F35" w:rsidRPr="00E912A9">
        <w:t>.</w:t>
      </w:r>
      <w:r w:rsidR="005A4F35" w:rsidRPr="00E912A9">
        <w:tab/>
        <w:t xml:space="preserve">EU är den största källan till utländska direktinvesteringar i Japan, Sydkorea och Taiwan. </w:t>
      </w:r>
    </w:p>
    <w:p w14:paraId="47E1C91D" w14:textId="648A69A1" w:rsidR="005A4F35" w:rsidRPr="00E912A9" w:rsidRDefault="00BF4B5F" w:rsidP="005A4F35">
      <w:pPr>
        <w:pStyle w:val="NormalHanging12a"/>
      </w:pPr>
      <w:r>
        <w:t>AH</w:t>
      </w:r>
      <w:r w:rsidR="005A4F35" w:rsidRPr="00E912A9">
        <w:t>.</w:t>
      </w:r>
      <w:r w:rsidR="005A4F35" w:rsidRPr="00E912A9">
        <w:tab/>
        <w:t>Det övergripande och progressiva avtalet för Stillahavspartnerskapet har vuxit fram som en viktig regelbaserad handelsram i regionen Indiska oceanen/Stilla havet. Japan är part i avtalet, och Sydkorea och Taiwan har ansökt om att få bli det. EU inledde en handels- och investeringsdialog med de länder som är parter i avtalet i november 2025.</w:t>
      </w:r>
    </w:p>
    <w:p w14:paraId="3BED3D5E" w14:textId="77777777" w:rsidR="005A4F35" w:rsidRPr="00E912A9" w:rsidRDefault="005A4F35" w:rsidP="005A4F35">
      <w:pPr>
        <w:pStyle w:val="NormalHanging12a"/>
      </w:pPr>
      <w:r w:rsidRPr="00E912A9">
        <w:t>1.</w:t>
      </w:r>
      <w:r w:rsidRPr="00E912A9">
        <w:tab/>
        <w:t>Europaparlamentet rekommenderar rådet, kommissionen och vice ordföranden för kommissionen/unionens höga representant för utrikes frågor och säkerhetspolitik att</w:t>
      </w:r>
    </w:p>
    <w:p w14:paraId="17582534" w14:textId="77777777" w:rsidR="005A4F35" w:rsidRPr="00E912A9" w:rsidRDefault="005A4F35" w:rsidP="005A4F35">
      <w:pPr>
        <w:pStyle w:val="NormalHangingLeft12a"/>
        <w:rPr>
          <w:bCs/>
          <w:iCs/>
        </w:rPr>
      </w:pPr>
      <w:r w:rsidRPr="00E912A9">
        <w:t>a)</w:t>
      </w:r>
      <w:r w:rsidRPr="00E912A9">
        <w:tab/>
        <w:t xml:space="preserve">intensifiera EU:s strategiska fokus, närvaro och synlighet i, samt dialog och samarbete med, </w:t>
      </w:r>
      <w:proofErr w:type="spellStart"/>
      <w:r w:rsidRPr="00E912A9">
        <w:t>Östasien</w:t>
      </w:r>
      <w:proofErr w:type="spellEnd"/>
      <w:r w:rsidRPr="00E912A9">
        <w:t xml:space="preserve">, inbegripet genom diplomatiskt engagemang, säkerhetssamarbete, direkta personkontakter och ekonomiska partnerskap, i syfte att undvika blockbaserad konfrontationsdynamik och bidra till fred, regional stabilitet, säkerhet, välstånd och hållbar utveckling, som vilar på främjande av demokrati, multilateralism, rättsstatlighet, mänskliga rättigheter, ett regelbaserat handelssystem, territoriell integritet och internationell rätt; i detta sammanhang </w:t>
      </w:r>
      <w:r w:rsidRPr="00E912A9">
        <w:lastRenderedPageBreak/>
        <w:t xml:space="preserve">samarbeta med Japan om dess uppdaterade koncept om en fri och öppen region Indiska oceanen/Stilla havet; stärka samarbetet, samordningen och dialogen med likasinnade partner i </w:t>
      </w:r>
      <w:proofErr w:type="spellStart"/>
      <w:r w:rsidRPr="00E912A9">
        <w:t>Östasien</w:t>
      </w:r>
      <w:proofErr w:type="spellEnd"/>
      <w:r w:rsidRPr="00E912A9">
        <w:t xml:space="preserve"> och till fullo utnyttja deras regionala kunskaper och erfarenheter för att säkerställa en mer effektiv, enhetlig och kontextrelevant strategi för fred, säkerhet och stabilitet i </w:t>
      </w:r>
      <w:proofErr w:type="spellStart"/>
      <w:r w:rsidRPr="00E912A9">
        <w:t>Östasien</w:t>
      </w:r>
      <w:proofErr w:type="spellEnd"/>
      <w:r w:rsidRPr="00E912A9">
        <w:t>,</w:t>
      </w:r>
    </w:p>
    <w:p w14:paraId="2B97FE81" w14:textId="77777777" w:rsidR="005A4F35" w:rsidRPr="00E912A9" w:rsidRDefault="005A4F35" w:rsidP="005A4F35">
      <w:pPr>
        <w:pStyle w:val="NormalHangingLeft12a"/>
        <w:rPr>
          <w:bCs/>
          <w:iCs/>
        </w:rPr>
      </w:pPr>
      <w:r w:rsidRPr="00E912A9">
        <w:t>b)</w:t>
      </w:r>
      <w:r w:rsidRPr="00E912A9">
        <w:tab/>
        <w:t xml:space="preserve">stärka strategisk framsyn och beredskapsplanering mellan EU och östasiatiska partnerländer för att utveckla en gemensam bedömning av regionala säkerhetsrisker och samordna avskräckande åtgärder för att skydda och bidra till fred och stabilitet i regionen och proaktivt avskräcka från ensidiga försök att ändra status </w:t>
      </w:r>
      <w:proofErr w:type="spellStart"/>
      <w:r w:rsidRPr="00E912A9">
        <w:t>quo</w:t>
      </w:r>
      <w:proofErr w:type="spellEnd"/>
      <w:r w:rsidRPr="00E912A9">
        <w:t xml:space="preserve"> i regionen med våld eller tvång,</w:t>
      </w:r>
    </w:p>
    <w:p w14:paraId="010B60B3" w14:textId="77777777" w:rsidR="005A4F35" w:rsidRPr="00E912A9" w:rsidRDefault="005A4F35" w:rsidP="005A4F35">
      <w:pPr>
        <w:pStyle w:val="NormalHangingLeft12a"/>
        <w:widowControl/>
        <w:rPr>
          <w:bCs/>
          <w:iCs/>
        </w:rPr>
      </w:pPr>
      <w:r w:rsidRPr="00E912A9">
        <w:t>c)</w:t>
      </w:r>
      <w:r w:rsidRPr="00E912A9">
        <w:tab/>
        <w:t xml:space="preserve">välkomna de betydande diplomatiska framsteg som regeringarna i Japan och Sydkorea har gjort när det gäller att skapa ett framåtblickande och motståndskraftigt partnerskap, eftersom ett sådant fördjupat samarbete mellan Japan och Sydkorea är avgörande för att upprätthålla en regelbaserad världsordning och säkerställa stabilitet i hela regionen Indiska oceanen/Stilla havet, </w:t>
      </w:r>
    </w:p>
    <w:p w14:paraId="2C897198" w14:textId="77777777" w:rsidR="005A4F35" w:rsidRPr="00E912A9" w:rsidRDefault="005A4F35" w:rsidP="005A4F35">
      <w:pPr>
        <w:pStyle w:val="NormalHangingLeft12a"/>
        <w:rPr>
          <w:bCs/>
          <w:iCs/>
        </w:rPr>
      </w:pPr>
      <w:r w:rsidRPr="00E912A9">
        <w:t>d)</w:t>
      </w:r>
      <w:r w:rsidRPr="00E912A9">
        <w:tab/>
        <w:t>stärka EU:s strategiska oberoende och ekonomiska säkerhet genom diversifiering av handel och investeringar, säkra och förutsägbara leveranskedjor, öppna marknader och handelsflöden samt närmare samarbete med likasinnade partner i </w:t>
      </w:r>
      <w:proofErr w:type="spellStart"/>
      <w:r w:rsidRPr="00E912A9">
        <w:t>Östasien</w:t>
      </w:r>
      <w:proofErr w:type="spellEnd"/>
      <w:r w:rsidRPr="00E912A9">
        <w:t>, samtidigt som ömsesidiga fördelar och lokalt värdeskapande säkerställs och EU:s åtagande om rättvis och hållbar handel upprätthålls,</w:t>
      </w:r>
    </w:p>
    <w:p w14:paraId="2FD7A166" w14:textId="77777777" w:rsidR="005A4F35" w:rsidRPr="00E912A9" w:rsidRDefault="005A4F35" w:rsidP="005A4F35">
      <w:pPr>
        <w:pStyle w:val="NormalHanging12a"/>
        <w:ind w:left="1134"/>
        <w:rPr>
          <w:bCs/>
          <w:iCs/>
        </w:rPr>
      </w:pPr>
      <w:r w:rsidRPr="00E912A9">
        <w:t>e)</w:t>
      </w:r>
      <w:r w:rsidRPr="00E912A9">
        <w:tab/>
        <w:t xml:space="preserve">fördjupa samarbetet med likasinnade partner i regionen, särskilt Japan, Sydkorea och Taiwan, liksom Aseanländer, för att ta itu med gemensamma utmaningar på områden som ekonomiskt tvång, godtyckliga åtgärder för exportkontroll, inbegripet exportrestriktioner för produkter med dubbla användningsområden riktade mot Japan, icke-marknadsmässig politik och praxis, demokratisk motståndskraft, ekologisk omställning, cybersäkerhet, hybridhot, inbegripet utländsk informationsmanipulering och inblandning, skydd av kritisk infrastruktur, inbegripet undervattenskablar och hamnar och logistiska knutpunkter, sjöfartsskydd och rymdsäkerhet, icke-spridning samt ny försvarsteknik, inbegripet avancerad drönarteknik, samtidigt som man stärker synergierna med viktiga partner och regionala organisationer med full respekt för FN-stadgan; undersöka och genomföra gemensamma initiativ för att stärka parternas respektive strategiska oberoende och minska beroendet av Kina; betona vikten av Japans, Sydkoreas och Taiwans robusta institutioner och dynamiska demokratier i ett bredare regionalt sammanhang, som en avgörande motvikt i regionen, </w:t>
      </w:r>
    </w:p>
    <w:p w14:paraId="7E57887A" w14:textId="77777777" w:rsidR="005A4F35" w:rsidRPr="00E912A9" w:rsidRDefault="005A4F35" w:rsidP="005A4F35">
      <w:pPr>
        <w:pStyle w:val="NormalHanging12a"/>
        <w:ind w:left="1134"/>
      </w:pPr>
      <w:r w:rsidRPr="00E912A9">
        <w:t>f)</w:t>
      </w:r>
      <w:r w:rsidRPr="00E912A9">
        <w:tab/>
        <w:t xml:space="preserve">upprätthålla – i samordning med likasinnade partner – öppna kanaler för dialog och principbaserat samarbete med andra globala aktörer i </w:t>
      </w:r>
      <w:proofErr w:type="spellStart"/>
      <w:r w:rsidRPr="00E912A9">
        <w:t>Östasien</w:t>
      </w:r>
      <w:proofErr w:type="spellEnd"/>
      <w:r w:rsidRPr="00E912A9">
        <w:t xml:space="preserve"> för att hantera gemensamma globala utmaningar,</w:t>
      </w:r>
    </w:p>
    <w:p w14:paraId="7F1B9E46" w14:textId="77777777" w:rsidR="005A4F35" w:rsidRPr="00E912A9" w:rsidRDefault="005A4F35" w:rsidP="005A4F35">
      <w:pPr>
        <w:pStyle w:val="NormalHanging12a"/>
        <w:ind w:left="1134"/>
      </w:pPr>
      <w:r w:rsidRPr="00E912A9">
        <w:t>g)</w:t>
      </w:r>
      <w:r w:rsidRPr="00E912A9">
        <w:tab/>
        <w:t xml:space="preserve">bekräfta vikten av att upprätthålla internationell rätt för att främja fred och välstånd i den fria och öppna regionen Indiska oceanen/Stilla havet; aktivt främja respekt för och allmän tillämpning av </w:t>
      </w:r>
      <w:proofErr w:type="spellStart"/>
      <w:r w:rsidRPr="00E912A9">
        <w:t>Unclos</w:t>
      </w:r>
      <w:proofErr w:type="spellEnd"/>
      <w:r w:rsidRPr="00E912A9">
        <w:t xml:space="preserve"> som den universella rättsliga ram som reglerar sjöfartsverksamhet, inbegripet 2016 års beslut om Sydkinesiska havet, och invända mot ensidiga åtgärder eller anspråk som inte är förenliga med </w:t>
      </w:r>
      <w:r w:rsidRPr="00E912A9">
        <w:lastRenderedPageBreak/>
        <w:t xml:space="preserve">internationell rätt, </w:t>
      </w:r>
    </w:p>
    <w:p w14:paraId="6193E5E1" w14:textId="77777777" w:rsidR="005A4F35" w:rsidRPr="00E912A9" w:rsidRDefault="005A4F35" w:rsidP="005A4F35">
      <w:pPr>
        <w:pStyle w:val="NormalHanging12a"/>
        <w:ind w:left="1134"/>
      </w:pPr>
      <w:r w:rsidRPr="00E912A9">
        <w:t>h)</w:t>
      </w:r>
      <w:r w:rsidRPr="00E912A9">
        <w:tab/>
        <w:t xml:space="preserve">underlätta strukturerat militär-industriellt samarbete med likasinnade partner och upprätta särskilda säkerhetspartnerskap som är inriktade på </w:t>
      </w:r>
      <w:proofErr w:type="spellStart"/>
      <w:r w:rsidRPr="00E912A9">
        <w:t>interoperabilitet</w:t>
      </w:r>
      <w:proofErr w:type="spellEnd"/>
      <w:r w:rsidRPr="00E912A9">
        <w:t>, gemensam utveckling och upphandling av försvarsteknik, säkerhet i leveranskedjor och delad forskning och utveckling inom luftfart, även med avseende på stöd från AI-drivna system,</w:t>
      </w:r>
    </w:p>
    <w:p w14:paraId="01E6CBB9" w14:textId="77777777" w:rsidR="005A4F35" w:rsidRPr="00E912A9" w:rsidRDefault="005A4F35" w:rsidP="005A4F35">
      <w:pPr>
        <w:pStyle w:val="NormalHanging12a"/>
        <w:ind w:left="1134"/>
      </w:pPr>
      <w:r w:rsidRPr="00E912A9">
        <w:t>i)</w:t>
      </w:r>
      <w:r w:rsidRPr="00E912A9">
        <w:tab/>
        <w:t>fortsätta att pragmatiskt samarbeta med Kina om globala utmaningar och samtidigt förbättra samordningen med likasinnade partner i säkerhetsfrågor mot bakgrund av Kinas alltmer kritiska roll i den globala freden och stabiliteten, i synnerhet mot bakgrund av Rysslands anfallskrig mot Ukraina och den pågående instabiliteten i Mellanöstern,</w:t>
      </w:r>
    </w:p>
    <w:p w14:paraId="0E2229AA" w14:textId="77777777" w:rsidR="005A4F35" w:rsidRPr="00E912A9" w:rsidRDefault="005A4F35" w:rsidP="005A4F35">
      <w:pPr>
        <w:pStyle w:val="NormalHanging12a"/>
        <w:ind w:left="1134"/>
        <w:rPr>
          <w:bCs/>
          <w:iCs/>
        </w:rPr>
      </w:pPr>
      <w:r w:rsidRPr="00E912A9">
        <w:t>j)</w:t>
      </w:r>
      <w:r w:rsidRPr="00E912A9">
        <w:tab/>
        <w:t xml:space="preserve">öka samarbetet om säkra, hållbara och diversifierade leveranskedjor för halvledare, batterier och kritiska råvaror, bland annat genom spårbarhet, återvinning, </w:t>
      </w:r>
      <w:proofErr w:type="spellStart"/>
      <w:r w:rsidRPr="00E912A9">
        <w:t>cirkularitet</w:t>
      </w:r>
      <w:proofErr w:type="spellEnd"/>
      <w:r w:rsidRPr="00E912A9">
        <w:t xml:space="preserve"> och höga miljö- och arbetsnormer och i samordning med likasinnade partner i relevanta multilaterala initiativ, </w:t>
      </w:r>
    </w:p>
    <w:p w14:paraId="4FA50DBD" w14:textId="77777777" w:rsidR="005A4F35" w:rsidRPr="00E912A9" w:rsidRDefault="005A4F35" w:rsidP="005A4F35">
      <w:pPr>
        <w:pStyle w:val="NormalHanging12a"/>
        <w:ind w:left="1134"/>
      </w:pPr>
      <w:r w:rsidRPr="00E912A9">
        <w:t>k)</w:t>
      </w:r>
      <w:r w:rsidRPr="00E912A9">
        <w:tab/>
        <w:t xml:space="preserve">främja det strategiska partnerskapsavtalet mellan EU och Japan och parternas säkerhets- och försvarspartnerskap; uppmuntra till djupare samarbete om försvarsindustriella frågor, inbegripet ömsesidigt deltagande i försvarsinitiativ, framsteg när det gäller ett informationssäkerhetsavtal och vidareutveckling av dialogen mellan EU och Japan om försvarsindustrin för att stärka leveranskedjans </w:t>
      </w:r>
      <w:proofErr w:type="spellStart"/>
      <w:r w:rsidRPr="00E912A9">
        <w:t>resiliens</w:t>
      </w:r>
      <w:proofErr w:type="spellEnd"/>
      <w:r w:rsidRPr="00E912A9">
        <w:t xml:space="preserve">, </w:t>
      </w:r>
      <w:proofErr w:type="spellStart"/>
      <w:r w:rsidRPr="00E912A9">
        <w:t>interoperabilitet</w:t>
      </w:r>
      <w:proofErr w:type="spellEnd"/>
      <w:r w:rsidRPr="00E912A9">
        <w:t xml:space="preserve"> och innovation; intensifiera konkret gemensam verksamhet inom ramen för konkurrenskraftsalliansen, den gröna alliansen, det digitala partnerskapet och energidialogerna och fortsätta att utvidga den ekonomiska högnivådialogen mellan EU och Japan och stärka det strategiska ekonomiska samarbetet mellan båda parter; påskynda genomförandet av konkurrenskraftsalliansen mellan EU och Japan,</w:t>
      </w:r>
    </w:p>
    <w:p w14:paraId="0A0CF83C" w14:textId="77777777" w:rsidR="005A4F35" w:rsidRPr="00E912A9" w:rsidRDefault="005A4F35" w:rsidP="005A4F35">
      <w:pPr>
        <w:pStyle w:val="NormalHanging12a"/>
        <w:ind w:left="1134"/>
      </w:pPr>
      <w:r w:rsidRPr="00E912A9">
        <w:t>l)</w:t>
      </w:r>
      <w:r w:rsidRPr="00E912A9">
        <w:tab/>
        <w:t>betona att EU och Japan är exceptionellt likasinnade partner, med ett partnerskap som bygger på gemensamma värden, demokrati, frihandel och ömsesidigt förenliga intressen; betona vikten av att ytterligare fördjupa och bredda detta partnerskap, både bilateralt och i multilaterala sammanhang; påpeka att EU och Japan tillsammans står för nästan 25 % av hela världens BNP och att partnerskapet kan och bör spela en viktig roll för att forma en fredlig, regelbaserad, inkluderande, rättvis, hållbar och välståndspräglad världsordning; välkomna Japans ekonomiska, tekniska, humanitära och säkerhetsmässiga bistånd till Ukraina sedan Rysslands fullskaliga invasion inleddes 2022,</w:t>
      </w:r>
    </w:p>
    <w:p w14:paraId="2E9BD0D7" w14:textId="77777777" w:rsidR="005A4F35" w:rsidRPr="00E912A9" w:rsidRDefault="005A4F35" w:rsidP="005A4F35">
      <w:pPr>
        <w:pStyle w:val="NormalHanging12a"/>
        <w:ind w:left="1134"/>
      </w:pPr>
      <w:r w:rsidRPr="00E912A9">
        <w:t>m)</w:t>
      </w:r>
      <w:r w:rsidRPr="00E912A9">
        <w:tab/>
        <w:t xml:space="preserve">driva på genomförandet av säkerhets- och försvarspartnerskapet mellan EU och Sydkorea, genom att främja praktiskt samarbete om sjöfartsskydd, icke-spridning, cybersäkerhet, terrorismbekämpning och krishantering, där man bygger vidare på befintliga gemensamma insatser och undersöker ytterligare samarbete inom ramen för EU:s verktyg för samordnad närvaro till havs; inleda en gemensam dialog mellan EU och Sydkorea om försvarsindustrin och stärka samordningen i multilaterala forum för att upprätthålla fred, avskräcka från provokationer och främja kärnvapennedrustning; bygga vidare på det framgångsrika och ömsesidigt fördelaktiga samarbetet om försvarsprodukter mellan Sydkorea och flera EU-medlemsstater; intensifiera samarbetet mellan EU och Sydkorea för att stärka det </w:t>
      </w:r>
      <w:r w:rsidRPr="00E912A9">
        <w:lastRenderedPageBreak/>
        <w:t>militära och ekonomiska stödet till Ukraina,</w:t>
      </w:r>
    </w:p>
    <w:p w14:paraId="2AA7A70B" w14:textId="77777777" w:rsidR="005A4F35" w:rsidRPr="00E912A9" w:rsidRDefault="005A4F35" w:rsidP="005A4F35">
      <w:pPr>
        <w:pStyle w:val="NormalHanging12a"/>
        <w:ind w:left="1134"/>
      </w:pPr>
      <w:r w:rsidRPr="00E912A9">
        <w:t>n)</w:t>
      </w:r>
      <w:r w:rsidRPr="00E912A9">
        <w:tab/>
        <w:t xml:space="preserve">välkomna Sydkoreas samarbete med EU i frågor som rör den gemensamma ekonomiska säkerheten; betona att Sydkorea är en fortsatt viktig partner i alla insatser för riskminskning och s.k. </w:t>
      </w:r>
      <w:proofErr w:type="spellStart"/>
      <w:r w:rsidRPr="00E912A9">
        <w:t>friendshoring</w:t>
      </w:r>
      <w:proofErr w:type="spellEnd"/>
      <w:r w:rsidRPr="00E912A9">
        <w:t>, särskilt på handelsområdet; med kraft uppmana den specialiserade kommittén för framväxande handel och ekonomiska frågor, som nyligen inrättats inom ramen för frihandelsavtalet mellan EU och Sydkorea, att påskynda samarbetet, särskilt i frågor som är relevanta för ekonomisk säkerhet, såsom kritiska leveranskedjor och överkapacitet,</w:t>
      </w:r>
    </w:p>
    <w:p w14:paraId="7CC009CA" w14:textId="77777777" w:rsidR="005A4F35" w:rsidRPr="00E912A9" w:rsidRDefault="005A4F35" w:rsidP="005A4F35">
      <w:pPr>
        <w:pStyle w:val="NormalHanging12a"/>
        <w:ind w:left="1134"/>
      </w:pPr>
      <w:r w:rsidRPr="00E912A9">
        <w:t>o)</w:t>
      </w:r>
      <w:r w:rsidRPr="00E912A9">
        <w:tab/>
        <w:t xml:space="preserve">främja de gemensamma insatserna med likasinnade partner i </w:t>
      </w:r>
      <w:proofErr w:type="spellStart"/>
      <w:r w:rsidRPr="00E912A9">
        <w:t>Östasien</w:t>
      </w:r>
      <w:proofErr w:type="spellEnd"/>
      <w:r w:rsidRPr="00E912A9">
        <w:t xml:space="preserve"> för att möta Rysslands ökande inblandning i Nordkorea, inbegripet det ryska stödet för att stärka Nordkoreas kärntekniska och ballistiska kapacitet och Kinas ovilja att förhindra detta, samt ta itu med kopplingen mellan Nordkoreas och Irans kärntekniska program, och understryka att denna inblandning förvärrar de befintliga geopolitiska spänningarna på Koreahalvön; främja samarbetet med Sydkorea när det gäller att ta itu med desinformationskampanjer i valförfaranden och skydda valinfrastrukturen från cyberattacker,</w:t>
      </w:r>
    </w:p>
    <w:p w14:paraId="6E447E72" w14:textId="77777777" w:rsidR="005A4F35" w:rsidRPr="00E912A9" w:rsidRDefault="005A4F35" w:rsidP="005A4F35">
      <w:pPr>
        <w:pStyle w:val="NormalHanging12a"/>
        <w:ind w:left="1134"/>
      </w:pPr>
      <w:r w:rsidRPr="00E912A9">
        <w:t>p)</w:t>
      </w:r>
      <w:r w:rsidRPr="00E912A9">
        <w:tab/>
        <w:t>lovorda Sydkoreas ansträngningar för att återuppta dialogen med Nordkorea genom proaktiva åtgärder för nedtrappning och förtroendeskapande; uppmana Nordkorea att omedelbart upphöra med alla sina militära insatser och provokationer och med sin utveckling av kapaciteten för kärntekniska och ballistiska robotar; kraftfullt fördöma och effektivt ta itu med Nordkoreas skadliga cyberaktiviteter, inbegripet stöld av kryptovalutor och andra former av cyberbrottslighet; med kraft uppmana Nordkorea att släppa in humanitära hjälporganisationer, respektera de mänskliga rättigheterna och, i synnerhet, omedelbart lösa frågan om bortförda personer; med kraft uppmana Ryssland och Nordkorea att fullt ut följa FN-stadgan och FN:s säkerhetsråds resolutioner, bland annat när det gäller Nordkoreas fullständiga kärnvapennedrustning; fördöma Nordkoreas stöd till Rysslands aggression mot Ukraina, inbegripet i form av utstationering av militär personal och utrustning som sänds till ukrainskt territorium; utveckla EU:s politik i fråga om Nordkorea med vederbörlig hänsyn till expertis, säkerhetsbehov och berättigade farhågor hos likasinnade partner i regionen, särskilt de som ligger geografiskt nära Nordkorea, främst Sydkorea och Japan,</w:t>
      </w:r>
    </w:p>
    <w:p w14:paraId="54B3C330" w14:textId="77777777" w:rsidR="005A4F35" w:rsidRPr="00E912A9" w:rsidRDefault="005A4F35" w:rsidP="005A4F35">
      <w:pPr>
        <w:pStyle w:val="NormalHanging12a"/>
        <w:ind w:left="1134"/>
        <w:rPr>
          <w:bCs/>
          <w:iCs/>
        </w:rPr>
      </w:pPr>
      <w:r w:rsidRPr="00E912A9">
        <w:t>q)</w:t>
      </w:r>
      <w:r w:rsidRPr="00E912A9">
        <w:tab/>
        <w:t xml:space="preserve">inrätta en strukturerad och omfattande ram för samarbete mellan EU och Taiwan, som bygger på befintliga mekanismer såsom handels- och investeringsdialogen, med starka inslag av ekonomi och handel och med fokus på kritisk teknik, såsom halvledare och artificiell intelligens, </w:t>
      </w:r>
      <w:proofErr w:type="spellStart"/>
      <w:r w:rsidRPr="00E912A9">
        <w:t>resiliens</w:t>
      </w:r>
      <w:proofErr w:type="spellEnd"/>
      <w:r w:rsidRPr="00E912A9">
        <w:t xml:space="preserve"> i försörjningskedjan, cybersäkerhet, motåtgärder mot desinformation, sjöfartssäkerhet, folkhälsa, civilskydd och säker </w:t>
      </w:r>
      <w:proofErr w:type="spellStart"/>
      <w:r w:rsidRPr="00E912A9">
        <w:t>konnektivitet</w:t>
      </w:r>
      <w:proofErr w:type="spellEnd"/>
      <w:r w:rsidRPr="00E912A9">
        <w:t xml:space="preserve"> samt demokratisk, social och energirelaterad </w:t>
      </w:r>
      <w:proofErr w:type="spellStart"/>
      <w:r w:rsidRPr="00E912A9">
        <w:t>resiliens</w:t>
      </w:r>
      <w:proofErr w:type="spellEnd"/>
      <w:r w:rsidRPr="00E912A9">
        <w:t xml:space="preserve"> och katastrofberedskap; fortsätta stödja Taiwans meningsfulla deltagande i relevanta internationella organ och tekniska forum, såsom WHO, Internationella civila luftfartsorganisationen och FN:s ramkonvention om klimatförändringar; öka antalet regelbundna utbyten mellan EU och dess taiwanesiska motparter om relevanta säkerhetsfrågor, ekonomisk säkerhet, flexibilitet i försörjningskedjan, integritet för demokratin och valprocesserna, skydd av kritisk infrastruktur och samarbete om ren teknik; med kraft uppmana de kinesiska myndigheterna att nära samordna med andra regionala aktörer, däribland Taiwan, när de ställs inför stora </w:t>
      </w:r>
      <w:r w:rsidRPr="00E912A9">
        <w:lastRenderedPageBreak/>
        <w:t>globala hälsoutmaningar; betona att inga försök från auktoritära regimers sida att påverka förbindelserna mellan EU och Taiwan kan accepteras,</w:t>
      </w:r>
    </w:p>
    <w:p w14:paraId="0F53F84F" w14:textId="77777777" w:rsidR="005A4F35" w:rsidRPr="00E912A9" w:rsidRDefault="005A4F35" w:rsidP="005A4F35">
      <w:pPr>
        <w:pStyle w:val="NormalHanging12a"/>
        <w:ind w:left="1134"/>
        <w:rPr>
          <w:bCs/>
          <w:iCs/>
        </w:rPr>
      </w:pPr>
      <w:r w:rsidRPr="00E912A9">
        <w:t>r)</w:t>
      </w:r>
      <w:r w:rsidRPr="00E912A9">
        <w:tab/>
        <w:t xml:space="preserve">understryka att Taiwan är en viktig demokratisk partner till EU i regionen Indiska oceanen/Stilla havet; ytterligare fördjupa handels- och investeringsdialogen mellan EU och Taiwan i syfte att ta itu med hinder för marknadstillträde och öka den rättsliga förutsebarheten för EU-investerare; undersöka möjligheten att inleda förhandlingar om ett bilateralt investeringsavtal mellan EU och Taiwan eller andra handelsrelaterade ramar; erkänna Taiwans betydelse för trygga globala försörjningskedjor, särskilt i den högteknologiska sektorn, och med kraft uppmana EU och dess medlemsstater att samarbeta närmare med Taiwan för att ytterligare främja de ekonomiska förbindelserna och handels- och investeringsförbindelserna; erkänna Taiwans erfarenhet av att hantera ekonomisk exponering mot Kina och landets styrkor när det gäller demokratisk samhällsstyrning, transparenta regleringsstandarder och </w:t>
      </w:r>
      <w:proofErr w:type="spellStart"/>
      <w:r w:rsidRPr="00E912A9">
        <w:t>resilienta</w:t>
      </w:r>
      <w:proofErr w:type="spellEnd"/>
      <w:r w:rsidRPr="00E912A9">
        <w:t xml:space="preserve"> digitala och tekniska ekosystem,</w:t>
      </w:r>
    </w:p>
    <w:p w14:paraId="2369A972" w14:textId="77777777" w:rsidR="005A4F35" w:rsidRPr="00E912A9" w:rsidRDefault="005A4F35" w:rsidP="005A4F35">
      <w:pPr>
        <w:pStyle w:val="NormalHanging12a"/>
        <w:ind w:left="1134"/>
        <w:rPr>
          <w:bCs/>
          <w:iCs/>
        </w:rPr>
      </w:pPr>
      <w:r w:rsidRPr="00E912A9">
        <w:t>s)</w:t>
      </w:r>
      <w:r w:rsidRPr="00E912A9">
        <w:tab/>
        <w:t xml:space="preserve">bekräfta vikten av fred och stabilitet i Taiwansundet genom att avvisa alla ensidiga framtvingade förändringar av status </w:t>
      </w:r>
      <w:proofErr w:type="spellStart"/>
      <w:r w:rsidRPr="00E912A9">
        <w:t>quo</w:t>
      </w:r>
      <w:proofErr w:type="spellEnd"/>
      <w:r w:rsidRPr="00E912A9">
        <w:t>; klargöra, genom tydliga och samordnade budskap tillsammans med medlemsstaterna och likasinnade partner, att sådana åtgärder skulle medföra betydande politiska och ekonomiska kostnader; betona att eventuella meningsskiljaktigheter måste lösas fredligt genom dialog, i enlighet med internationell rätt och med respekt för det taiwanesiska folkets vilja; bestämt påminna om att friheten till sjöfart och överflygning, som garanteras av internationell rätt, måste respekteras i regionen Indiska oceanen/Stilla havet, även i Sydkinesiska havet och Taiwansundet; aktivt delta i diplomatiska insatser för att förhindra ytterligare upptrappning i Taiwansundet, Östkinesiska havet och Sydkinesiska havet; skyndsamt utveckla beredskapsplanering och skyddsåtgärder på grundval av sannolika upptrappningsscenarier, inbegripet en kinesisk sjöfartsblockad mot Taiwan,</w:t>
      </w:r>
    </w:p>
    <w:p w14:paraId="27963D7A" w14:textId="77777777" w:rsidR="005A4F35" w:rsidRPr="00E912A9" w:rsidRDefault="005A4F35" w:rsidP="005A4F35">
      <w:pPr>
        <w:pStyle w:val="NormalHanging12a"/>
        <w:ind w:left="1134"/>
        <w:rPr>
          <w:bCs/>
          <w:iCs/>
        </w:rPr>
      </w:pPr>
      <w:r w:rsidRPr="00E912A9">
        <w:t>t)</w:t>
      </w:r>
      <w:r w:rsidRPr="00E912A9">
        <w:tab/>
        <w:t xml:space="preserve">betona vikten av EU:s instrument för ekonomisk säkerhet för att ta itu med ekonomiskt tvång och skydda rättvis konkurrens, inbegripet instrumentet mot tvång, effektiva system för granskning av utländska direktinvesteringar och exportkontrollsystem, där så är lämpligt och i linje med EU-rätten; slå samman EU:s geoekonomiska påtryckningskraft, bland annat genom samordnade exportkontroller, gemensamma riskbedömningar och kollektiva svar på ekonomiskt tvång, och därigenom omvandla bilaterala beroenden till effektiv avskräckning och stärka den ekonomiska säkerheten för både EU och dess partner, </w:t>
      </w:r>
    </w:p>
    <w:p w14:paraId="49C13A9A" w14:textId="77777777" w:rsidR="005A4F35" w:rsidRPr="00E912A9" w:rsidRDefault="005A4F35" w:rsidP="005A4F35">
      <w:pPr>
        <w:pStyle w:val="NormalHanging12a"/>
        <w:ind w:left="1134"/>
        <w:rPr>
          <w:bCs/>
          <w:iCs/>
        </w:rPr>
      </w:pPr>
      <w:r w:rsidRPr="00E912A9">
        <w:t>u)</w:t>
      </w:r>
      <w:r w:rsidRPr="00E912A9">
        <w:tab/>
        <w:t xml:space="preserve">påskynda samarbetet genom att förhandla fram avtal och initiativ mellan tre respektive fyra parter i frågor av gemensamt intresse, som bidrar till att upprätthålla den multilaterala, regelbaserade världsordningen; främja de befintliga digitala partnerskapen mellan EU och Japan och mellan EU och Sydkorea med gemensamma åtaganden avseende artificiell intelligens, halvledare, nästa generations </w:t>
      </w:r>
      <w:proofErr w:type="spellStart"/>
      <w:r w:rsidRPr="00E912A9">
        <w:t>konnektivitet</w:t>
      </w:r>
      <w:proofErr w:type="spellEnd"/>
      <w:r w:rsidRPr="00E912A9">
        <w:t xml:space="preserve">, kvantdatorteknik, dataförvaltning, cybersäkerhet, batteriteknik, undervattenskablar, digital identitet och </w:t>
      </w:r>
      <w:proofErr w:type="spellStart"/>
      <w:r w:rsidRPr="00E912A9">
        <w:t>resiliens</w:t>
      </w:r>
      <w:proofErr w:type="spellEnd"/>
      <w:r w:rsidRPr="00E912A9">
        <w:t xml:space="preserve"> i leveranskedjorna; förbättra samarbetsramarna för utveckling av försvarsteknik,</w:t>
      </w:r>
    </w:p>
    <w:p w14:paraId="14F1F226" w14:textId="77777777" w:rsidR="005A4F35" w:rsidRPr="00E912A9" w:rsidRDefault="005A4F35" w:rsidP="005A4F35">
      <w:pPr>
        <w:pStyle w:val="NormalHanging12a"/>
        <w:ind w:left="1134"/>
        <w:rPr>
          <w:bCs/>
          <w:iCs/>
        </w:rPr>
      </w:pPr>
      <w:r w:rsidRPr="00E912A9">
        <w:t>v)</w:t>
      </w:r>
      <w:r w:rsidRPr="00E912A9">
        <w:tab/>
        <w:t xml:space="preserve">genomföra handelsavtalen med Japan och Sydkorea fullt ut och på ett effektivt </w:t>
      </w:r>
      <w:r w:rsidRPr="00E912A9">
        <w:lastRenderedPageBreak/>
        <w:t>sätt, bland annat i fråga om marknadstillträde, icke-</w:t>
      </w:r>
      <w:proofErr w:type="spellStart"/>
      <w:r w:rsidRPr="00E912A9">
        <w:t>tariffära</w:t>
      </w:r>
      <w:proofErr w:type="spellEnd"/>
      <w:r w:rsidRPr="00E912A9">
        <w:t xml:space="preserve"> handelshinder, hållbar utveckling och </w:t>
      </w:r>
      <w:proofErr w:type="spellStart"/>
      <w:r w:rsidRPr="00E912A9">
        <w:t>regleringssamarbete</w:t>
      </w:r>
      <w:proofErr w:type="spellEnd"/>
      <w:r w:rsidRPr="00E912A9">
        <w:t xml:space="preserve"> och, när det gäller Sydkorea, säkerställa genomförandet av de grundläggande ILO-konventionerna; främja ett närmare samarbete mellan små och medelstora företag i EU och i partnerländerna i </w:t>
      </w:r>
      <w:proofErr w:type="spellStart"/>
      <w:r w:rsidRPr="00E912A9">
        <w:t>Östasien</w:t>
      </w:r>
      <w:proofErr w:type="spellEnd"/>
      <w:r w:rsidRPr="00E912A9">
        <w:t xml:space="preserve"> för att främja ömsesidiga affärsmöjligheter, förbättra marknadstillträdet och stärka innovationsnätverken,</w:t>
      </w:r>
    </w:p>
    <w:p w14:paraId="20E36B3B" w14:textId="77777777" w:rsidR="005A4F35" w:rsidRPr="00E912A9" w:rsidRDefault="005A4F35" w:rsidP="005A4F35">
      <w:pPr>
        <w:pStyle w:val="NormalHanging12a"/>
        <w:ind w:left="1134"/>
        <w:rPr>
          <w:bCs/>
          <w:iCs/>
        </w:rPr>
      </w:pPr>
      <w:r w:rsidRPr="00E912A9">
        <w:t>w)</w:t>
      </w:r>
      <w:r w:rsidRPr="00E912A9">
        <w:tab/>
        <w:t xml:space="preserve">säkerställa att alla framtida ekonomiska eller sektorsspecifika avtal med likasinnade partner i regionen är ömsesidigt fördelaktiga partnerskap, som går utöver ekonomiska mål och </w:t>
      </w:r>
      <w:proofErr w:type="spellStart"/>
      <w:r w:rsidRPr="00E912A9">
        <w:t>säkerhetsmål</w:t>
      </w:r>
      <w:proofErr w:type="spellEnd"/>
      <w:r w:rsidRPr="00E912A9">
        <w:t xml:space="preserve"> och även omfattar starka åtaganden om arbetstagarrättigheter, miljöskydd och utveckling av rena och hållbara värdekedjor, i linje med EU:s ram för handel och hållbar utveckling; främja en omfattande informationskampanj i </w:t>
      </w:r>
      <w:proofErr w:type="spellStart"/>
      <w:r w:rsidRPr="00E912A9">
        <w:t>Östasien</w:t>
      </w:r>
      <w:proofErr w:type="spellEnd"/>
      <w:r w:rsidRPr="00E912A9">
        <w:t xml:space="preserve"> om EU:s politik för stålsektorn och förslaget till förordning om att accelerera industriell kapacitet</w:t>
      </w:r>
      <w:r w:rsidRPr="00E912A9">
        <w:rPr>
          <w:rStyle w:val="FootnoteReference"/>
          <w:bCs/>
          <w:iCs/>
        </w:rPr>
        <w:footnoteReference w:id="11"/>
      </w:r>
      <w:r w:rsidRPr="00E912A9">
        <w:t>, i syfte att öka transparensen kring och kunskapen om EU:s mål bland internationella partner; betona vikten av att proaktivt samarbeta med östasiatiska partner för att bemöta deras farhågor, främja dialog och förebygga potentiella missförstånd i handels- och arbetsmarknadsförbindelserna,</w:t>
      </w:r>
    </w:p>
    <w:p w14:paraId="4F957E97" w14:textId="77777777" w:rsidR="005A4F35" w:rsidRPr="00E912A9" w:rsidRDefault="005A4F35" w:rsidP="005A4F35">
      <w:pPr>
        <w:pStyle w:val="NormalHanging12a"/>
        <w:ind w:left="1134"/>
        <w:rPr>
          <w:bCs/>
          <w:iCs/>
        </w:rPr>
      </w:pPr>
      <w:r w:rsidRPr="00E912A9">
        <w:t>x)</w:t>
      </w:r>
      <w:r w:rsidRPr="00E912A9">
        <w:tab/>
        <w:t xml:space="preserve">följa upp uppgifterna om Rysslands kringgående av sanktioner genom jurisdiktioner i </w:t>
      </w:r>
      <w:proofErr w:type="spellStart"/>
      <w:r w:rsidRPr="00E912A9">
        <w:t>Östasien</w:t>
      </w:r>
      <w:proofErr w:type="spellEnd"/>
      <w:r w:rsidRPr="00E912A9">
        <w:t xml:space="preserve">, inbegripet omdirigering av handelsvägar för att förvärva sanktionsbelagda varor med dubbla användningsområden, </w:t>
      </w:r>
      <w:proofErr w:type="spellStart"/>
      <w:r w:rsidRPr="00E912A9">
        <w:t>mikrochip</w:t>
      </w:r>
      <w:proofErr w:type="spellEnd"/>
      <w:r w:rsidRPr="00E912A9">
        <w:t xml:space="preserve"> och industrimaskiner, via mellanhänder i regionen,</w:t>
      </w:r>
    </w:p>
    <w:p w14:paraId="35263DA0" w14:textId="77777777" w:rsidR="005A4F35" w:rsidRPr="00E912A9" w:rsidRDefault="005A4F35" w:rsidP="005A4F35">
      <w:pPr>
        <w:pStyle w:val="NormalHanging12a"/>
        <w:ind w:left="1134"/>
        <w:rPr>
          <w:bCs/>
          <w:iCs/>
        </w:rPr>
      </w:pPr>
      <w:r w:rsidRPr="00E912A9">
        <w:t>y)</w:t>
      </w:r>
      <w:r w:rsidRPr="00E912A9">
        <w:tab/>
        <w:t xml:space="preserve">öka EU:s politiska, ekonomiska och säkerhetsmässiga engagemang i regionen Indiska oceanen/Stilla havet som helhet, genom förstärkta partnerskap med alla likasinnade aktörer och genom initiativ såsom Global </w:t>
      </w:r>
      <w:proofErr w:type="spellStart"/>
      <w:r w:rsidRPr="00E912A9">
        <w:t>Gateway</w:t>
      </w:r>
      <w:proofErr w:type="spellEnd"/>
      <w:r w:rsidRPr="00E912A9">
        <w:t xml:space="preserve">-strategin, främjande av människorättsdialoger, hållbar utveckling och </w:t>
      </w:r>
      <w:proofErr w:type="spellStart"/>
      <w:r w:rsidRPr="00E912A9">
        <w:t>konnektivitet</w:t>
      </w:r>
      <w:proofErr w:type="spellEnd"/>
      <w:r w:rsidRPr="00E912A9">
        <w:t>, jämlikhet och höga arbetsnormer; lyfta fram den ökande konvergensen av strategiska intressen mellan den euroatlantiska regionen och regionen Indiska oceanen/Stilla havet, där Japan och Sydkorea är Natopartner inom ramen för IP4, vilket också illustreras av att Japan nyligen inrättat en Nato-beskickning; bekräfta att detta samarbete stärker den ömsesidiga situationsmedvetenheten om säkerhetsutvecklingen i båda regionerna; stödja Natos IP4-ram som ett viktigt bidrag till att stärka den europeiska säkerheten och fördjupa det interregionala samarbetet på ett kompletterande och ömsesidigt förstärkande sätt; stärka EU:s engagemang i och samordning med viktiga regionala säkerhetsinitiativ i hela regionen Indiska oceanen/Stilla havet, inbegripet fyrpartsdialogen om säkerhet mellan USA, Australien, Indien och Japan; utforma en övergripande, sammanhängande och flexibel ny strategi för regionen Indiska oceanen/Stilla havet som är fast förankrad i europeiska värden och intressen samt i regionens realiteter, behov och prioriteringar,</w:t>
      </w:r>
    </w:p>
    <w:p w14:paraId="1716E3A4" w14:textId="77777777" w:rsidR="005A4F35" w:rsidRPr="00E912A9" w:rsidRDefault="005A4F35" w:rsidP="005A4F35">
      <w:pPr>
        <w:pStyle w:val="NormalHanging12a"/>
        <w:ind w:left="1134"/>
        <w:rPr>
          <w:bCs/>
          <w:iCs/>
        </w:rPr>
      </w:pPr>
      <w:r w:rsidRPr="00E912A9">
        <w:t>z)</w:t>
      </w:r>
      <w:r w:rsidRPr="00E912A9">
        <w:tab/>
        <w:t xml:space="preserve">utnyttja de utomeuropeiska ländernas och territoriernas strategiska läge i regionen Indiska oceanen/Stilla havet, så att de kan fungera som avancerade plattformar för samarbete med regionala partner, inbegripet för handel, digital </w:t>
      </w:r>
      <w:proofErr w:type="spellStart"/>
      <w:r w:rsidRPr="00E912A9">
        <w:t>konnektivitet</w:t>
      </w:r>
      <w:proofErr w:type="spellEnd"/>
      <w:r w:rsidRPr="00E912A9">
        <w:t>, kritisk infrastruktur och rymdverksamhet,</w:t>
      </w:r>
    </w:p>
    <w:p w14:paraId="6427CD1D" w14:textId="77777777" w:rsidR="005A4F35" w:rsidRPr="00E912A9" w:rsidRDefault="005A4F35" w:rsidP="005A4F35">
      <w:pPr>
        <w:pStyle w:val="NormalHanging12a"/>
        <w:widowControl/>
        <w:ind w:left="1134"/>
        <w:rPr>
          <w:bCs/>
          <w:iCs/>
        </w:rPr>
      </w:pPr>
      <w:proofErr w:type="spellStart"/>
      <w:r w:rsidRPr="00E912A9">
        <w:lastRenderedPageBreak/>
        <w:t>aa</w:t>
      </w:r>
      <w:proofErr w:type="spellEnd"/>
      <w:r w:rsidRPr="00E912A9">
        <w:t>)</w:t>
      </w:r>
      <w:r w:rsidRPr="00E912A9">
        <w:tab/>
        <w:t xml:space="preserve">betona Aseans viktiga roll när det gäller att garantera stabilitet och främja social och ekonomisk integration; välkomna Japans och Sydkoreas växande engagemang i Asean, bland annat genom regelbundna bilaterala och multilaterala toppmöten; understryka Aseans avgörande betydelse för att säkerställa fred och välstånd i regionen Indiska oceanen/Stilla havet; intensifiera det strukturerade samarbetet med Asean för att bygga upp inkluderande regionala säkerhetsstrukturer, samordna multilaterala politiska åtgärder och ytterligare förankra EU:s närvaro i regionen genom att fördjupa samarbetet med Asean och dess medlemsstater, bland annat genom förstärkta säkerhets- och försvarsdialoger med Vietnam och Filippinerna; uppmuntra till förstärkning av unionens roll och synlighet i regionala organ, särskilt inom samarbetsramar med Asean, och därvid fastställa sjösäkerhet och sjöfartsskydd, cybersäkerhet och krishantering som prioriterade områden för utökat samarbete, med utgångspunkt i initiativ såsom </w:t>
      </w:r>
      <w:proofErr w:type="spellStart"/>
      <w:r w:rsidRPr="00E912A9">
        <w:t>Esiwa</w:t>
      </w:r>
      <w:proofErr w:type="spellEnd"/>
      <w:r w:rsidRPr="00E912A9">
        <w:t xml:space="preserve">+, </w:t>
      </w:r>
      <w:proofErr w:type="spellStart"/>
      <w:r w:rsidRPr="00E912A9">
        <w:t>Crimario</w:t>
      </w:r>
      <w:proofErr w:type="spellEnd"/>
      <w:r w:rsidRPr="00E912A9">
        <w:t xml:space="preserve"> II och projekten för global hamnsäkerhet,</w:t>
      </w:r>
    </w:p>
    <w:p w14:paraId="65F4B6C3" w14:textId="77777777" w:rsidR="005A4F35" w:rsidRPr="00E912A9" w:rsidRDefault="005A4F35" w:rsidP="005A4F35">
      <w:pPr>
        <w:pStyle w:val="NormalHanging12a"/>
        <w:ind w:left="1134"/>
      </w:pPr>
      <w:r w:rsidRPr="00E912A9">
        <w:t>ab)</w:t>
      </w:r>
      <w:r w:rsidRPr="00E912A9">
        <w:tab/>
        <w:t>utöka de gemensamma åtgärderna för icke-traditionell säkerhet, såsom sök- och räddningsinsatser, katastrofinsatser och miljöolyckor; inleda ett strukturerat initiativ för att stärka skyddet av och motståndskraften för kritisk sjöfartsinfrastruktur, inbegripet undervattenskablar, rörledningar och hamnar; öka medvetenheten om det maritima området genom riktad kapacitetsuppbyggnad, utbildning, sensorer och datadelning i samarbete med Aseanländernas kustbevakningar och regionala fusionscentrum,</w:t>
      </w:r>
    </w:p>
    <w:p w14:paraId="78143FE3" w14:textId="77777777" w:rsidR="005A4F35" w:rsidRPr="00E912A9" w:rsidRDefault="005A4F35" w:rsidP="005A4F35">
      <w:pPr>
        <w:pStyle w:val="NormalHanging12a"/>
        <w:ind w:left="1134"/>
        <w:rPr>
          <w:bCs/>
          <w:iCs/>
        </w:rPr>
      </w:pPr>
      <w:proofErr w:type="spellStart"/>
      <w:r w:rsidRPr="00E912A9">
        <w:t>ac</w:t>
      </w:r>
      <w:proofErr w:type="spellEnd"/>
      <w:r w:rsidRPr="00E912A9">
        <w:t>)</w:t>
      </w:r>
      <w:r w:rsidRPr="00E912A9">
        <w:tab/>
        <w:t xml:space="preserve">stödja stärkandet av direkta personkontakter genom riktade rörlighetsprogram för forskare, ingenjörer och cybersäkerhetsspecialister samt genom strukturerade initiativ för partnersamverkan mellan europeiska och östasiatiska innovationsknutpunkter; stärka den ömsesidiga insikten om gemensamma värden bland studenter från båda regionerna genom att fördjupa, utvidga och stärka utbytesprogram, såsom Erasmus+, med likasinnade partner i regionen; stärka utbytet mellan parlament, statstjänstemän, lokala myndigheter och det civila samhället; öka stödet till språkinlärning, kulturellt utbyte och ungdomsledda initiativ för att bygga upp långsiktig </w:t>
      </w:r>
      <w:proofErr w:type="spellStart"/>
      <w:r w:rsidRPr="00E912A9">
        <w:t>samhällsresiliens</w:t>
      </w:r>
      <w:proofErr w:type="spellEnd"/>
      <w:r w:rsidRPr="00E912A9">
        <w:t xml:space="preserve"> och tillit mellan de två regionerna,</w:t>
      </w:r>
    </w:p>
    <w:p w14:paraId="3BE3DAA1" w14:textId="77777777" w:rsidR="005A4F35" w:rsidRPr="00E912A9" w:rsidRDefault="005A4F35" w:rsidP="005A4F35">
      <w:pPr>
        <w:pStyle w:val="NormalHanging12a"/>
        <w:ind w:left="1134"/>
        <w:rPr>
          <w:bCs/>
          <w:iCs/>
        </w:rPr>
      </w:pPr>
      <w:r w:rsidRPr="00E912A9">
        <w:t>ad)</w:t>
      </w:r>
      <w:r w:rsidRPr="00E912A9">
        <w:tab/>
        <w:t>utöka samarbetet inom ramen för Horisont Europa för att stärka det ömsesidigt fördelaktiga samarbetet inom vetenskap och teknik, där Sydkorea glädjande nog, som första asiatiska land, anslöt sig till pelare II i Horisont Europa i juli 2025 och EU och Japan framgångsrikt slutförde förhandlingarna om Japans associering till Horisont Europa i december 2025; överväga att inleda förhandlingar med Taiwan inom ramen för Horisont Europa; stödja EU:s synlighet i hela regionen genom meningsfulla kulturella och offentliga diplomatiska insatser.</w:t>
      </w:r>
    </w:p>
    <w:p w14:paraId="2F47335F" w14:textId="77777777" w:rsidR="005A4F35" w:rsidRPr="00E912A9" w:rsidRDefault="005A4F35" w:rsidP="005A4F35">
      <w:pPr>
        <w:pStyle w:val="NormalHanging12a"/>
        <w:rPr>
          <w:bCs/>
          <w:iCs/>
        </w:rPr>
      </w:pPr>
      <w:r w:rsidRPr="00E912A9">
        <w:t>2.</w:t>
      </w:r>
      <w:r w:rsidRPr="00E912A9">
        <w:tab/>
        <w:t xml:space="preserve">Europaparlamentet ser fram emot att fördjupa den parlamentariska diplomatin och det interparlamentariska utbytet om frågor av gemensamt intresse med Japans parlament, Sydkoreas nationalförsamling och ledamöter av Taiwans lagstiftande församling. Parlamentet är starkt övertygat om att stärkandet av de strategiska partnerskapen med både Japan och Sydkorea under de senaste åren bör återspeglas genom att stärka banden på interparlamentarisk nivå. Parlamentet anser att den övergripande agendan för samarbete med de två länderna skulle gynnas av regelbundna och strukturerade utbyten mellan parlamentariker. Parlamentet anser även att inrättandet av gemensamma parlamentariska kommittéer mellan EU och Japan respektive mellan EU och Sydkorea </w:t>
      </w:r>
      <w:r w:rsidRPr="00E912A9">
        <w:lastRenderedPageBreak/>
        <w:t>bör utforskas.</w:t>
      </w:r>
    </w:p>
    <w:p w14:paraId="2611B8F1" w14:textId="40BF94B4" w:rsidR="00E365E1" w:rsidRPr="00E912A9" w:rsidRDefault="005A4F35" w:rsidP="00E912A9">
      <w:pPr>
        <w:pStyle w:val="NormalHanging12a"/>
      </w:pPr>
      <w:r w:rsidRPr="00E912A9">
        <w:t>3.</w:t>
      </w:r>
      <w:r w:rsidRPr="00E912A9">
        <w:tab/>
        <w:t>Europaparlamentet uppdrar åt talmannen att översända denna rekommendation till rådet, kommissionen, vice ordföranden för kommissionen/unionens höga representant för utrikes frågor och säkerhetspolitik, medlemsstaternas regeringar och parlament, regeringarna och parlamenten i Japan, Republiken Korea och Taiwan samt Aseans sekretariat och medlemsstater.</w:t>
      </w:r>
    </w:p>
    <w:sectPr w:rsidR="00E365E1" w:rsidRPr="00E912A9" w:rsidSect="00B820D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67B72" w14:textId="77777777" w:rsidR="00326236" w:rsidRPr="00B820D0" w:rsidRDefault="00326236">
      <w:r w:rsidRPr="00B820D0">
        <w:separator/>
      </w:r>
    </w:p>
  </w:endnote>
  <w:endnote w:type="continuationSeparator" w:id="0">
    <w:p w14:paraId="0FC1F126" w14:textId="77777777" w:rsidR="00326236" w:rsidRPr="00B820D0" w:rsidRDefault="00326236">
      <w:r w:rsidRPr="00B820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BF875" w14:textId="77777777" w:rsidR="00064002" w:rsidRPr="00B820D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D2E47" w14:textId="77777777" w:rsidR="00064002" w:rsidRPr="00B820D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D6BC9" w14:textId="77777777" w:rsidR="00064002" w:rsidRPr="00B820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06912" w14:textId="77777777" w:rsidR="00326236" w:rsidRPr="00B820D0" w:rsidRDefault="00326236">
      <w:r w:rsidRPr="00B820D0">
        <w:separator/>
      </w:r>
    </w:p>
  </w:footnote>
  <w:footnote w:type="continuationSeparator" w:id="0">
    <w:p w14:paraId="4C24B060" w14:textId="77777777" w:rsidR="00326236" w:rsidRPr="00B820D0" w:rsidRDefault="00326236">
      <w:r w:rsidRPr="00B820D0">
        <w:continuationSeparator/>
      </w:r>
    </w:p>
  </w:footnote>
  <w:footnote w:id="1">
    <w:p w14:paraId="5FD45FF6" w14:textId="35CE66AC" w:rsidR="005A4F35" w:rsidRPr="00B75175" w:rsidRDefault="005A4F35" w:rsidP="00B820D0">
      <w:pPr>
        <w:pStyle w:val="FootnoteText"/>
        <w:ind w:left="567" w:hanging="567"/>
        <w:rPr>
          <w:sz w:val="24"/>
          <w:lang w:val="fr-BE"/>
        </w:rPr>
      </w:pPr>
      <w:r w:rsidRPr="00B820D0">
        <w:rPr>
          <w:rStyle w:val="FootnoteReference"/>
          <w:sz w:val="24"/>
          <w:lang w:val="sv-SE"/>
        </w:rPr>
        <w:footnoteRef/>
      </w:r>
      <w:r w:rsidR="00B820D0" w:rsidRPr="00B75175">
        <w:rPr>
          <w:sz w:val="24"/>
          <w:lang w:val="fr-BE"/>
        </w:rPr>
        <w:t xml:space="preserve"> </w:t>
      </w:r>
      <w:r w:rsidR="00B820D0" w:rsidRPr="00B75175">
        <w:rPr>
          <w:sz w:val="24"/>
          <w:lang w:val="fr-BE"/>
        </w:rPr>
        <w:tab/>
      </w:r>
      <w:r w:rsidRPr="00B75175">
        <w:rPr>
          <w:sz w:val="24"/>
          <w:lang w:val="fr-BE"/>
        </w:rPr>
        <w:t>EUT L 216, 24.8.2018, s. 4, ELI: </w:t>
      </w:r>
      <w:hyperlink r:id="rId1" w:tooltip="Ger tillgång till detta dokument genom dess ELI-URI-adress." w:history="1">
        <w:r w:rsidRPr="00B75175">
          <w:rPr>
            <w:rStyle w:val="Hyperlink"/>
            <w:sz w:val="24"/>
            <w:lang w:val="fr-BE"/>
          </w:rPr>
          <w:t>http://data.europa.eu/eli/agree_internation/2018/1197/oj</w:t>
        </w:r>
      </w:hyperlink>
      <w:r w:rsidRPr="00B75175">
        <w:rPr>
          <w:sz w:val="24"/>
          <w:lang w:val="fr-BE"/>
        </w:rPr>
        <w:t>.</w:t>
      </w:r>
    </w:p>
  </w:footnote>
  <w:footnote w:id="2">
    <w:p w14:paraId="71723FF9" w14:textId="6B7777C4" w:rsidR="005A4F35" w:rsidRPr="00B75175" w:rsidRDefault="005A4F35" w:rsidP="00B820D0">
      <w:pPr>
        <w:pStyle w:val="FootnoteText"/>
        <w:ind w:left="567" w:hanging="567"/>
        <w:rPr>
          <w:sz w:val="24"/>
          <w:lang w:val="fi-FI"/>
        </w:rPr>
      </w:pPr>
      <w:r w:rsidRPr="00B820D0">
        <w:rPr>
          <w:rStyle w:val="FootnoteReference"/>
          <w:sz w:val="24"/>
          <w:lang w:val="sv-SE"/>
        </w:rPr>
        <w:footnoteRef/>
      </w:r>
      <w:r w:rsidR="00B820D0" w:rsidRPr="00B75175">
        <w:rPr>
          <w:sz w:val="24"/>
          <w:lang w:val="fi-FI"/>
        </w:rPr>
        <w:t xml:space="preserve"> </w:t>
      </w:r>
      <w:r w:rsidR="00B820D0" w:rsidRPr="00B75175">
        <w:rPr>
          <w:sz w:val="24"/>
          <w:lang w:val="fi-FI"/>
        </w:rPr>
        <w:tab/>
      </w:r>
      <w:r w:rsidRPr="00B75175">
        <w:rPr>
          <w:sz w:val="24"/>
          <w:lang w:val="fi-FI"/>
        </w:rPr>
        <w:t>EUT L 20, 23.1.2013, s. 2.</w:t>
      </w:r>
    </w:p>
  </w:footnote>
  <w:footnote w:id="3">
    <w:p w14:paraId="470D2AF8" w14:textId="1D82194A" w:rsidR="005A4F35" w:rsidRPr="00B75175" w:rsidRDefault="005A4F35" w:rsidP="00B820D0">
      <w:pPr>
        <w:pStyle w:val="FootnoteText"/>
        <w:ind w:left="567" w:hanging="567"/>
        <w:rPr>
          <w:sz w:val="24"/>
          <w:lang w:val="fi-FI"/>
        </w:rPr>
      </w:pPr>
      <w:r w:rsidRPr="00B820D0">
        <w:rPr>
          <w:rStyle w:val="FootnoteReference"/>
          <w:sz w:val="24"/>
          <w:lang w:val="sv-SE"/>
        </w:rPr>
        <w:footnoteRef/>
      </w:r>
      <w:r w:rsidR="00B820D0" w:rsidRPr="00B75175">
        <w:rPr>
          <w:sz w:val="24"/>
          <w:lang w:val="fi-FI"/>
        </w:rPr>
        <w:t xml:space="preserve"> </w:t>
      </w:r>
      <w:r w:rsidR="00B820D0" w:rsidRPr="00B75175">
        <w:rPr>
          <w:sz w:val="24"/>
          <w:lang w:val="fi-FI"/>
        </w:rPr>
        <w:tab/>
      </w:r>
      <w:r w:rsidRPr="00B75175">
        <w:rPr>
          <w:sz w:val="24"/>
          <w:lang w:val="fi-FI"/>
        </w:rPr>
        <w:t xml:space="preserve">EUT L 330, 27.12.2018, s. 3, ELI: </w:t>
      </w:r>
      <w:hyperlink r:id="rId2" w:history="1">
        <w:r w:rsidRPr="00B75175">
          <w:rPr>
            <w:rStyle w:val="Hyperlink"/>
            <w:sz w:val="24"/>
            <w:lang w:val="fi-FI"/>
          </w:rPr>
          <w:t>http://data.europa.eu/eli/agree_internation/2018/1907/oj</w:t>
        </w:r>
      </w:hyperlink>
      <w:r w:rsidRPr="00B75175">
        <w:rPr>
          <w:sz w:val="24"/>
          <w:lang w:val="fi-FI"/>
        </w:rPr>
        <w:t>.</w:t>
      </w:r>
    </w:p>
  </w:footnote>
  <w:footnote w:id="4">
    <w:p w14:paraId="5F363B24" w14:textId="5D2F91BC" w:rsidR="005A4F35" w:rsidRPr="00B75175" w:rsidRDefault="005A4F35" w:rsidP="00B820D0">
      <w:pPr>
        <w:pStyle w:val="FootnoteText"/>
        <w:ind w:left="567" w:hanging="567"/>
        <w:rPr>
          <w:sz w:val="24"/>
          <w:lang w:val="fi-FI"/>
        </w:rPr>
      </w:pPr>
      <w:r w:rsidRPr="00B820D0">
        <w:rPr>
          <w:rStyle w:val="FootnoteReference"/>
          <w:sz w:val="24"/>
          <w:lang w:val="sv-SE"/>
        </w:rPr>
        <w:footnoteRef/>
      </w:r>
      <w:r w:rsidR="00B820D0" w:rsidRPr="00B75175">
        <w:rPr>
          <w:sz w:val="24"/>
          <w:lang w:val="fi-FI"/>
        </w:rPr>
        <w:t xml:space="preserve"> </w:t>
      </w:r>
      <w:r w:rsidR="00B820D0" w:rsidRPr="00B75175">
        <w:rPr>
          <w:sz w:val="24"/>
          <w:lang w:val="fi-FI"/>
        </w:rPr>
        <w:tab/>
      </w:r>
      <w:r w:rsidRPr="00B75175">
        <w:rPr>
          <w:sz w:val="24"/>
          <w:lang w:val="fi-FI"/>
        </w:rPr>
        <w:t>EUT L 127, 14.5.2011, s. 6, ELI: </w:t>
      </w:r>
      <w:hyperlink r:id="rId3" w:tooltip="Ger tillgång till detta dokument via dess ELI-URI-adress." w:history="1">
        <w:r w:rsidRPr="00B75175">
          <w:rPr>
            <w:rStyle w:val="Hyperlink"/>
            <w:sz w:val="24"/>
            <w:lang w:val="fi-FI"/>
          </w:rPr>
          <w:t>http://data.europa.eu/eli/agree_internation/2011/265/oj</w:t>
        </w:r>
      </w:hyperlink>
      <w:r w:rsidRPr="00B75175">
        <w:rPr>
          <w:sz w:val="24"/>
          <w:lang w:val="fi-FI"/>
        </w:rPr>
        <w:t>.</w:t>
      </w:r>
    </w:p>
  </w:footnote>
  <w:footnote w:id="5">
    <w:p w14:paraId="3E87C61F" w14:textId="0814EDF3" w:rsidR="005A4F35" w:rsidRPr="00B820D0" w:rsidRDefault="005A4F35" w:rsidP="00B820D0">
      <w:pPr>
        <w:pStyle w:val="FootnoteText"/>
        <w:ind w:left="567" w:hanging="567"/>
        <w:rPr>
          <w:sz w:val="24"/>
          <w:lang w:val="sv-SE"/>
        </w:rPr>
      </w:pPr>
      <w:r w:rsidRPr="00B820D0">
        <w:rPr>
          <w:rStyle w:val="FootnoteReference"/>
          <w:sz w:val="24"/>
          <w:lang w:val="sv-SE"/>
        </w:rPr>
        <w:footnoteRef/>
      </w:r>
      <w:r w:rsidR="00B820D0" w:rsidRPr="00B820D0">
        <w:rPr>
          <w:sz w:val="24"/>
          <w:lang w:val="sv-SE"/>
        </w:rPr>
        <w:t xml:space="preserve"> </w:t>
      </w:r>
      <w:r w:rsidR="00B820D0" w:rsidRPr="00B820D0">
        <w:rPr>
          <w:sz w:val="24"/>
          <w:lang w:val="sv-SE"/>
        </w:rPr>
        <w:tab/>
      </w:r>
      <w:r w:rsidRPr="00B820D0">
        <w:rPr>
          <w:sz w:val="24"/>
          <w:lang w:val="sv-SE"/>
        </w:rPr>
        <w:t>EUT C 493, 27.12.2022, s. 32.</w:t>
      </w:r>
    </w:p>
  </w:footnote>
  <w:footnote w:id="6">
    <w:p w14:paraId="79C85844" w14:textId="658DF215" w:rsidR="005A4F35" w:rsidRPr="00B820D0" w:rsidRDefault="005A4F35" w:rsidP="00B820D0">
      <w:pPr>
        <w:pStyle w:val="FootnoteText"/>
        <w:ind w:left="567" w:hanging="567"/>
        <w:rPr>
          <w:sz w:val="24"/>
          <w:lang w:val="sv-SE"/>
        </w:rPr>
      </w:pPr>
      <w:r w:rsidRPr="00B820D0">
        <w:rPr>
          <w:rStyle w:val="FootnoteReference"/>
          <w:sz w:val="24"/>
          <w:lang w:val="sv-SE"/>
        </w:rPr>
        <w:footnoteRef/>
      </w:r>
      <w:r w:rsidR="00B820D0" w:rsidRPr="00B820D0">
        <w:rPr>
          <w:sz w:val="24"/>
          <w:lang w:val="sv-SE"/>
        </w:rPr>
        <w:t xml:space="preserve"> </w:t>
      </w:r>
      <w:r w:rsidR="00B820D0" w:rsidRPr="00B820D0">
        <w:rPr>
          <w:sz w:val="24"/>
          <w:lang w:val="sv-SE"/>
        </w:rPr>
        <w:tab/>
      </w:r>
      <w:r w:rsidRPr="00B820D0">
        <w:rPr>
          <w:sz w:val="24"/>
          <w:lang w:val="sv-SE"/>
        </w:rPr>
        <w:t xml:space="preserve">EUT C, C/2024/4167, 2.8.2024, ELI: </w:t>
      </w:r>
      <w:hyperlink r:id="rId4" w:history="1">
        <w:r w:rsidRPr="00B820D0">
          <w:rPr>
            <w:rStyle w:val="Hyperlink"/>
            <w:sz w:val="24"/>
            <w:lang w:val="sv-SE"/>
          </w:rPr>
          <w:t>http://data.europa.eu/eli/C/2024/4167/oj</w:t>
        </w:r>
      </w:hyperlink>
      <w:r w:rsidRPr="00B820D0">
        <w:rPr>
          <w:sz w:val="24"/>
          <w:lang w:val="sv-SE"/>
        </w:rPr>
        <w:t>.</w:t>
      </w:r>
    </w:p>
  </w:footnote>
  <w:footnote w:id="7">
    <w:p w14:paraId="15EF3413" w14:textId="6B409493" w:rsidR="005A4F35" w:rsidRPr="00B820D0" w:rsidRDefault="005A4F35" w:rsidP="00B820D0">
      <w:pPr>
        <w:pStyle w:val="FootnoteText"/>
        <w:ind w:left="567" w:hanging="567"/>
        <w:rPr>
          <w:sz w:val="24"/>
          <w:lang w:val="sv-SE"/>
        </w:rPr>
      </w:pPr>
      <w:r w:rsidRPr="00B820D0">
        <w:rPr>
          <w:rStyle w:val="FootnoteReference"/>
          <w:sz w:val="24"/>
          <w:lang w:val="sv-SE"/>
        </w:rPr>
        <w:footnoteRef/>
      </w:r>
      <w:r w:rsidR="00B820D0" w:rsidRPr="00B820D0">
        <w:rPr>
          <w:sz w:val="24"/>
          <w:lang w:val="sv-SE"/>
        </w:rPr>
        <w:t xml:space="preserve"> </w:t>
      </w:r>
      <w:r w:rsidR="00B820D0" w:rsidRPr="00B820D0">
        <w:rPr>
          <w:sz w:val="24"/>
          <w:lang w:val="sv-SE"/>
        </w:rPr>
        <w:tab/>
      </w:r>
      <w:r w:rsidRPr="00B820D0">
        <w:rPr>
          <w:sz w:val="24"/>
          <w:lang w:val="sv-SE"/>
        </w:rPr>
        <w:t>Antagna texter, P10_TA(2026)0012.</w:t>
      </w:r>
    </w:p>
  </w:footnote>
  <w:footnote w:id="8">
    <w:p w14:paraId="14AD6AB0" w14:textId="776CFBCF" w:rsidR="005A4F35" w:rsidRPr="00B75175" w:rsidRDefault="005A4F35" w:rsidP="00B820D0">
      <w:pPr>
        <w:pStyle w:val="FootnoteText"/>
        <w:ind w:left="567" w:hanging="567"/>
        <w:rPr>
          <w:sz w:val="24"/>
          <w:lang w:val="fi-FI"/>
        </w:rPr>
      </w:pPr>
      <w:r w:rsidRPr="00B820D0">
        <w:rPr>
          <w:rStyle w:val="FootnoteReference"/>
          <w:sz w:val="24"/>
          <w:lang w:val="sv-SE"/>
        </w:rPr>
        <w:footnoteRef/>
      </w:r>
      <w:r w:rsidR="00B820D0" w:rsidRPr="00B75175">
        <w:rPr>
          <w:sz w:val="24"/>
          <w:lang w:val="fi-FI"/>
        </w:rPr>
        <w:t xml:space="preserve"> </w:t>
      </w:r>
      <w:r w:rsidR="00B820D0" w:rsidRPr="00B75175">
        <w:rPr>
          <w:sz w:val="24"/>
          <w:lang w:val="fi-FI"/>
        </w:rPr>
        <w:tab/>
      </w:r>
      <w:r w:rsidRPr="00B75175">
        <w:rPr>
          <w:sz w:val="24"/>
          <w:lang w:val="fi-FI"/>
        </w:rPr>
        <w:t xml:space="preserve">EUT C, C/2025/1809, 4.4.2025, ELI: </w:t>
      </w:r>
      <w:hyperlink r:id="rId5" w:history="1">
        <w:r w:rsidRPr="00B75175">
          <w:rPr>
            <w:rStyle w:val="Hyperlink"/>
            <w:sz w:val="24"/>
            <w:lang w:val="fi-FI"/>
          </w:rPr>
          <w:t>http://data.europa.eu/eli/C/2025/1809/oj</w:t>
        </w:r>
      </w:hyperlink>
      <w:r w:rsidRPr="00B75175">
        <w:rPr>
          <w:sz w:val="24"/>
          <w:lang w:val="fi-FI"/>
        </w:rPr>
        <w:t>.</w:t>
      </w:r>
    </w:p>
  </w:footnote>
  <w:footnote w:id="9">
    <w:p w14:paraId="5BE294BD" w14:textId="02EBB768" w:rsidR="005A4F35" w:rsidRPr="00B75175" w:rsidRDefault="005A4F35" w:rsidP="00B820D0">
      <w:pPr>
        <w:pStyle w:val="FootnoteText"/>
        <w:ind w:left="567" w:hanging="567"/>
        <w:rPr>
          <w:sz w:val="24"/>
          <w:lang w:val="fi-FI"/>
        </w:rPr>
      </w:pPr>
      <w:r w:rsidRPr="00B820D0">
        <w:rPr>
          <w:rStyle w:val="FootnoteReference"/>
          <w:sz w:val="24"/>
          <w:lang w:val="sv-SE"/>
        </w:rPr>
        <w:footnoteRef/>
      </w:r>
      <w:r w:rsidR="00B820D0" w:rsidRPr="00B75175">
        <w:rPr>
          <w:sz w:val="24"/>
          <w:lang w:val="fi-FI"/>
        </w:rPr>
        <w:t xml:space="preserve"> </w:t>
      </w:r>
      <w:r w:rsidR="00B820D0" w:rsidRPr="00B75175">
        <w:rPr>
          <w:sz w:val="24"/>
          <w:lang w:val="fi-FI"/>
        </w:rPr>
        <w:tab/>
      </w:r>
      <w:r w:rsidRPr="00B75175">
        <w:rPr>
          <w:sz w:val="24"/>
          <w:lang w:val="fi-FI"/>
        </w:rPr>
        <w:t xml:space="preserve">EUT C, C/2025/487, 29.1.2025, ELI: </w:t>
      </w:r>
      <w:hyperlink r:id="rId6" w:history="1">
        <w:r w:rsidRPr="00B75175">
          <w:rPr>
            <w:rStyle w:val="Hyperlink"/>
            <w:sz w:val="24"/>
            <w:lang w:val="fi-FI"/>
          </w:rPr>
          <w:t>http://data.europa.eu/eli/C/2025/487/oj</w:t>
        </w:r>
      </w:hyperlink>
      <w:r w:rsidRPr="00B75175">
        <w:rPr>
          <w:sz w:val="24"/>
          <w:lang w:val="fi-FI"/>
        </w:rPr>
        <w:t>.</w:t>
      </w:r>
    </w:p>
  </w:footnote>
  <w:footnote w:id="10">
    <w:p w14:paraId="1E70F659" w14:textId="008F1319" w:rsidR="005A4F35" w:rsidRPr="00B75175" w:rsidRDefault="005A4F35" w:rsidP="00B820D0">
      <w:pPr>
        <w:pStyle w:val="FootnoteText"/>
        <w:ind w:left="567" w:hanging="567"/>
        <w:rPr>
          <w:sz w:val="24"/>
          <w:lang w:val="fi-FI"/>
        </w:rPr>
      </w:pPr>
      <w:r w:rsidRPr="00B820D0">
        <w:rPr>
          <w:rStyle w:val="FootnoteReference"/>
          <w:sz w:val="24"/>
          <w:lang w:val="sv-SE"/>
        </w:rPr>
        <w:footnoteRef/>
      </w:r>
      <w:r w:rsidR="00B820D0" w:rsidRPr="00B75175">
        <w:rPr>
          <w:sz w:val="24"/>
          <w:lang w:val="fi-FI"/>
        </w:rPr>
        <w:t xml:space="preserve"> </w:t>
      </w:r>
      <w:r w:rsidR="00B820D0" w:rsidRPr="00B75175">
        <w:rPr>
          <w:sz w:val="24"/>
          <w:lang w:val="fi-FI"/>
        </w:rPr>
        <w:tab/>
      </w:r>
      <w:r w:rsidRPr="00B75175">
        <w:rPr>
          <w:sz w:val="24"/>
          <w:lang w:val="fi-FI"/>
        </w:rPr>
        <w:t xml:space="preserve">EUT C, C/2024/4174, 2.8.2024, ELI: </w:t>
      </w:r>
      <w:hyperlink r:id="rId7" w:history="1">
        <w:r w:rsidRPr="00B75175">
          <w:rPr>
            <w:rStyle w:val="Hyperlink"/>
            <w:sz w:val="24"/>
            <w:lang w:val="fi-FI"/>
          </w:rPr>
          <w:t>http://data.europa.eu/eli/C/2024/4174/oj</w:t>
        </w:r>
      </w:hyperlink>
      <w:r w:rsidRPr="00B75175">
        <w:rPr>
          <w:sz w:val="24"/>
          <w:lang w:val="fi-FI"/>
        </w:rPr>
        <w:t>.</w:t>
      </w:r>
    </w:p>
  </w:footnote>
  <w:footnote w:id="11">
    <w:p w14:paraId="6EA76615" w14:textId="1C1D3A63" w:rsidR="005A4F35" w:rsidRPr="00B820D0" w:rsidRDefault="005A4F35" w:rsidP="00B820D0">
      <w:pPr>
        <w:pStyle w:val="FootnoteText"/>
        <w:ind w:left="567" w:hanging="567"/>
        <w:rPr>
          <w:sz w:val="24"/>
          <w:lang w:val="sv-SE"/>
        </w:rPr>
      </w:pPr>
      <w:r w:rsidRPr="00B820D0">
        <w:rPr>
          <w:rStyle w:val="FootnoteReference"/>
          <w:sz w:val="24"/>
          <w:lang w:val="sv-SE"/>
        </w:rPr>
        <w:footnoteRef/>
      </w:r>
      <w:r w:rsidR="00B820D0" w:rsidRPr="00B820D0">
        <w:rPr>
          <w:sz w:val="24"/>
          <w:lang w:val="sv-SE"/>
        </w:rPr>
        <w:t xml:space="preserve"> </w:t>
      </w:r>
      <w:r w:rsidR="00B820D0" w:rsidRPr="00B820D0">
        <w:rPr>
          <w:sz w:val="24"/>
          <w:lang w:val="sv-SE"/>
        </w:rPr>
        <w:tab/>
      </w:r>
      <w:r w:rsidRPr="00B820D0">
        <w:rPr>
          <w:sz w:val="24"/>
          <w:lang w:val="sv-SE"/>
        </w:rPr>
        <w:t>COM(2026)0100.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22CDD" w14:textId="77777777" w:rsidR="00064002" w:rsidRPr="00B820D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70E67" w14:textId="77777777" w:rsidR="00064002" w:rsidRPr="00B820D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6D59F" w14:textId="77777777" w:rsidR="00064002" w:rsidRPr="00B820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7281326">
    <w:abstractNumId w:val="9"/>
  </w:num>
  <w:num w:numId="2" w16cid:durableId="259728164">
    <w:abstractNumId w:val="9"/>
  </w:num>
  <w:num w:numId="3" w16cid:durableId="735511684">
    <w:abstractNumId w:val="7"/>
  </w:num>
  <w:num w:numId="4" w16cid:durableId="63140301">
    <w:abstractNumId w:val="7"/>
  </w:num>
  <w:num w:numId="5" w16cid:durableId="1511946155">
    <w:abstractNumId w:val="6"/>
  </w:num>
  <w:num w:numId="6" w16cid:durableId="1947691330">
    <w:abstractNumId w:val="6"/>
  </w:num>
  <w:num w:numId="7" w16cid:durableId="1943297991">
    <w:abstractNumId w:val="5"/>
  </w:num>
  <w:num w:numId="8" w16cid:durableId="1197304952">
    <w:abstractNumId w:val="5"/>
  </w:num>
  <w:num w:numId="9" w16cid:durableId="295919560">
    <w:abstractNumId w:val="4"/>
  </w:num>
  <w:num w:numId="10" w16cid:durableId="263193058">
    <w:abstractNumId w:val="4"/>
  </w:num>
  <w:num w:numId="11" w16cid:durableId="205722761">
    <w:abstractNumId w:val="8"/>
  </w:num>
  <w:num w:numId="12" w16cid:durableId="1869295774">
    <w:abstractNumId w:val="8"/>
  </w:num>
  <w:num w:numId="13" w16cid:durableId="860709225">
    <w:abstractNumId w:val="3"/>
  </w:num>
  <w:num w:numId="14" w16cid:durableId="256330795">
    <w:abstractNumId w:val="3"/>
  </w:num>
  <w:num w:numId="15" w16cid:durableId="1051811534">
    <w:abstractNumId w:val="2"/>
  </w:num>
  <w:num w:numId="16" w16cid:durableId="1408304382">
    <w:abstractNumId w:val="2"/>
  </w:num>
  <w:num w:numId="17" w16cid:durableId="113598895">
    <w:abstractNumId w:val="1"/>
  </w:num>
  <w:num w:numId="18" w16cid:durableId="2123374176">
    <w:abstractNumId w:val="1"/>
  </w:num>
  <w:num w:numId="19" w16cid:durableId="235554922">
    <w:abstractNumId w:val="0"/>
  </w:num>
  <w:num w:numId="20" w16cid:durableId="1472593994">
    <w:abstractNumId w:val="0"/>
  </w:num>
  <w:num w:numId="21" w16cid:durableId="1111049660">
    <w:abstractNumId w:val="9"/>
  </w:num>
  <w:num w:numId="22" w16cid:durableId="665862308">
    <w:abstractNumId w:val="7"/>
  </w:num>
  <w:num w:numId="23" w16cid:durableId="1006253798">
    <w:abstractNumId w:val="6"/>
  </w:num>
  <w:num w:numId="24" w16cid:durableId="1686438200">
    <w:abstractNumId w:val="5"/>
  </w:num>
  <w:num w:numId="25" w16cid:durableId="560097287">
    <w:abstractNumId w:val="4"/>
  </w:num>
  <w:num w:numId="26" w16cid:durableId="812333926">
    <w:abstractNumId w:val="8"/>
  </w:num>
  <w:num w:numId="27" w16cid:durableId="62800585">
    <w:abstractNumId w:val="3"/>
  </w:num>
  <w:num w:numId="28" w16cid:durableId="2022469806">
    <w:abstractNumId w:val="2"/>
  </w:num>
  <w:num w:numId="29" w16cid:durableId="917715293">
    <w:abstractNumId w:val="1"/>
  </w:num>
  <w:num w:numId="30" w16cid:durableId="975187792">
    <w:abstractNumId w:val="0"/>
  </w:num>
  <w:num w:numId="31" w16cid:durableId="1020468941">
    <w:abstractNumId w:val="9"/>
  </w:num>
  <w:num w:numId="32" w16cid:durableId="1321615699">
    <w:abstractNumId w:val="7"/>
  </w:num>
  <w:num w:numId="33" w16cid:durableId="2018270052">
    <w:abstractNumId w:val="6"/>
  </w:num>
  <w:num w:numId="34" w16cid:durableId="332270784">
    <w:abstractNumId w:val="5"/>
  </w:num>
  <w:num w:numId="35" w16cid:durableId="443353530">
    <w:abstractNumId w:val="4"/>
  </w:num>
  <w:num w:numId="36" w16cid:durableId="1917010311">
    <w:abstractNumId w:val="8"/>
  </w:num>
  <w:num w:numId="37" w16cid:durableId="1324819457">
    <w:abstractNumId w:val="3"/>
  </w:num>
  <w:num w:numId="38" w16cid:durableId="1214924749">
    <w:abstractNumId w:val="2"/>
  </w:num>
  <w:num w:numId="39" w16cid:durableId="598106633">
    <w:abstractNumId w:val="1"/>
  </w:num>
  <w:num w:numId="40" w16cid:durableId="1371808157">
    <w:abstractNumId w:val="0"/>
  </w:num>
  <w:num w:numId="41" w16cid:durableId="1074744543">
    <w:abstractNumId w:val="10"/>
  </w:num>
  <w:num w:numId="42" w16cid:durableId="514729981">
    <w:abstractNumId w:val="10"/>
  </w:num>
  <w:num w:numId="43" w16cid:durableId="444739192">
    <w:abstractNumId w:val="10"/>
  </w:num>
  <w:num w:numId="44" w16cid:durableId="17113737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6"/>
    <w:docVar w:name="dvlangue" w:val="SV"/>
    <w:docVar w:name="dvnumam" w:val="39"/>
    <w:docVar w:name="dvpe" w:val="776.904"/>
    <w:docVar w:name="dvrapporteur" w:val="Föredragande: "/>
    <w:docVar w:name="dvtitre" w:val="Europaparlamentets resolution av den xx xx 2026 om Europaparlamentets rekommendation till rådet, kommissionen och vice ordföranden för kommissionen/unionens höga representant för utrikes frågor och säkerhetspolitik om den föränderliga geopolitiska situationen i Östasien och behovet av ett närmare samarbete med likasinnade partner i regionen(2025/2169(INI))"/>
  </w:docVars>
  <w:rsids>
    <w:rsidRoot w:val="00326236"/>
    <w:rsid w:val="00002272"/>
    <w:rsid w:val="00064002"/>
    <w:rsid w:val="000677B9"/>
    <w:rsid w:val="000831BA"/>
    <w:rsid w:val="000A42CC"/>
    <w:rsid w:val="000E7DD9"/>
    <w:rsid w:val="0010095E"/>
    <w:rsid w:val="00125B37"/>
    <w:rsid w:val="0015636C"/>
    <w:rsid w:val="00187494"/>
    <w:rsid w:val="001F32AE"/>
    <w:rsid w:val="002767FF"/>
    <w:rsid w:val="002B18FE"/>
    <w:rsid w:val="002B5493"/>
    <w:rsid w:val="0032623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4F35"/>
    <w:rsid w:val="005B0846"/>
    <w:rsid w:val="005C2568"/>
    <w:rsid w:val="005F1B17"/>
    <w:rsid w:val="006037C0"/>
    <w:rsid w:val="006631B6"/>
    <w:rsid w:val="00680577"/>
    <w:rsid w:val="006C401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15D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5175"/>
    <w:rsid w:val="00B820D0"/>
    <w:rsid w:val="00B92824"/>
    <w:rsid w:val="00BD48FE"/>
    <w:rsid w:val="00BD7BD8"/>
    <w:rsid w:val="00BE6ADC"/>
    <w:rsid w:val="00BF4B5F"/>
    <w:rsid w:val="00C05BFE"/>
    <w:rsid w:val="00C23CD4"/>
    <w:rsid w:val="00C61C0C"/>
    <w:rsid w:val="00C941CB"/>
    <w:rsid w:val="00CC2357"/>
    <w:rsid w:val="00CF071A"/>
    <w:rsid w:val="00D058B8"/>
    <w:rsid w:val="00D56C11"/>
    <w:rsid w:val="00D834A0"/>
    <w:rsid w:val="00D872DF"/>
    <w:rsid w:val="00D91E21"/>
    <w:rsid w:val="00DA7FCD"/>
    <w:rsid w:val="00E1258A"/>
    <w:rsid w:val="00E365E1"/>
    <w:rsid w:val="00E6564F"/>
    <w:rsid w:val="00E820A4"/>
    <w:rsid w:val="00E912A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609466"/>
  <w15:chartTrackingRefBased/>
  <w15:docId w15:val="{D3084ACA-6145-44D7-8AD2-55AAE0395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16Poin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A4F35"/>
    <w:pPr>
      <w:spacing w:before="480" w:after="240"/>
    </w:pPr>
  </w:style>
  <w:style w:type="paragraph" w:customStyle="1" w:styleId="PageHeading">
    <w:name w:val="PageHeading"/>
    <w:basedOn w:val="Normal"/>
    <w:rsid w:val="005A4F35"/>
    <w:pPr>
      <w:keepNext/>
      <w:spacing w:after="480"/>
      <w:jc w:val="center"/>
    </w:pPr>
    <w:rPr>
      <w:rFonts w:ascii="Arial" w:hAnsi="Arial" w:cs="Arial"/>
      <w:b/>
    </w:rPr>
  </w:style>
  <w:style w:type="paragraph" w:customStyle="1" w:styleId="NormalBold">
    <w:name w:val="NormalBold"/>
    <w:basedOn w:val="Normal"/>
    <w:link w:val="NormalBoldChar"/>
    <w:rsid w:val="005A4F35"/>
    <w:rPr>
      <w:b/>
    </w:rPr>
  </w:style>
  <w:style w:type="paragraph" w:customStyle="1" w:styleId="NormalHanging12a">
    <w:name w:val="NormalHanging12a"/>
    <w:basedOn w:val="Normal"/>
    <w:rsid w:val="005A4F35"/>
    <w:pPr>
      <w:spacing w:after="240"/>
      <w:ind w:left="567" w:hanging="567"/>
    </w:pPr>
  </w:style>
  <w:style w:type="paragraph" w:customStyle="1" w:styleId="NormalHangingLeft12a">
    <w:name w:val="NormalHangingLeft12a"/>
    <w:basedOn w:val="Normal"/>
    <w:rsid w:val="005A4F35"/>
    <w:pPr>
      <w:spacing w:after="240"/>
      <w:ind w:left="1134" w:hanging="567"/>
    </w:pPr>
  </w:style>
  <w:style w:type="character" w:styleId="Hyperlink">
    <w:name w:val="Hyperlink"/>
    <w:basedOn w:val="DefaultParagraphFont"/>
    <w:rsid w:val="005A4F35"/>
    <w:rPr>
      <w:color w:val="0563C1" w:themeColor="hyperlink"/>
      <w:u w:val="single"/>
    </w:rPr>
  </w:style>
  <w:style w:type="character" w:customStyle="1" w:styleId="NormalBoldChar">
    <w:name w:val="NormalBold Char"/>
    <w:basedOn w:val="DefaultParagraphFont"/>
    <w:link w:val="NormalBold"/>
    <w:locked/>
    <w:rsid w:val="005A4F35"/>
    <w:rPr>
      <w:b/>
      <w:sz w:val="24"/>
      <w:lang w:val="sv-SE"/>
    </w:rPr>
  </w:style>
  <w:style w:type="paragraph" w:customStyle="1" w:styleId="16Point">
    <w:name w:val="16 Point"/>
    <w:aliases w:val="Superscript 6 Point,Exposant 3 Point,footnote ref,2001+ Fußnotenzeichen,Times 10 Point,Voetnootverwijzing,FR,FR1, Exposant 3 Point"/>
    <w:basedOn w:val="Normal"/>
    <w:link w:val="FootnoteReference"/>
    <w:qFormat/>
    <w:rsid w:val="005A4F35"/>
    <w:pPr>
      <w:widowControl/>
      <w:spacing w:after="160" w:line="240" w:lineRule="exact"/>
    </w:pPr>
    <w:rPr>
      <w:sz w:val="20"/>
      <w:vertAlign w:val="superscript"/>
      <w:lang w:val="en-GB"/>
    </w:rPr>
  </w:style>
  <w:style w:type="paragraph" w:styleId="Revision">
    <w:name w:val="Revision"/>
    <w:hidden/>
    <w:uiPriority w:val="99"/>
    <w:semiHidden/>
    <w:rsid w:val="008C15D3"/>
    <w:rPr>
      <w:sz w:val="24"/>
      <w:lang w:val="sv-SE"/>
    </w:rPr>
  </w:style>
  <w:style w:type="character" w:styleId="CommentReference">
    <w:name w:val="annotation reference"/>
    <w:basedOn w:val="DefaultParagraphFont"/>
    <w:rsid w:val="00B75175"/>
    <w:rPr>
      <w:sz w:val="16"/>
      <w:szCs w:val="16"/>
    </w:rPr>
  </w:style>
  <w:style w:type="paragraph" w:styleId="CommentText">
    <w:name w:val="annotation text"/>
    <w:basedOn w:val="Normal"/>
    <w:link w:val="CommentTextChar"/>
    <w:rsid w:val="00B75175"/>
    <w:rPr>
      <w:sz w:val="20"/>
    </w:rPr>
  </w:style>
  <w:style w:type="character" w:customStyle="1" w:styleId="CommentTextChar">
    <w:name w:val="Comment Text Char"/>
    <w:basedOn w:val="DefaultParagraphFont"/>
    <w:link w:val="CommentText"/>
    <w:rsid w:val="00B75175"/>
    <w:rPr>
      <w:lang w:val="sv-SE"/>
    </w:rPr>
  </w:style>
  <w:style w:type="paragraph" w:styleId="CommentSubject">
    <w:name w:val="annotation subject"/>
    <w:basedOn w:val="CommentText"/>
    <w:next w:val="CommentText"/>
    <w:link w:val="CommentSubjectChar"/>
    <w:rsid w:val="00B75175"/>
    <w:rPr>
      <w:b/>
      <w:bCs/>
    </w:rPr>
  </w:style>
  <w:style w:type="character" w:customStyle="1" w:styleId="CommentSubjectChar">
    <w:name w:val="Comment Subject Char"/>
    <w:basedOn w:val="CommentTextChar"/>
    <w:link w:val="CommentSubject"/>
    <w:rsid w:val="00B75175"/>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nation/2011/265/oj" TargetMode="External"/><Relationship Id="rId7" Type="http://schemas.openxmlformats.org/officeDocument/2006/relationships/hyperlink" Target="http://data.europa.eu/eli/C/2024/4174/oj" TargetMode="External"/><Relationship Id="rId2" Type="http://schemas.openxmlformats.org/officeDocument/2006/relationships/hyperlink" Target="http://data.europa.eu/eli/agree_internation/2018/1907/oj" TargetMode="External"/><Relationship Id="rId1" Type="http://schemas.openxmlformats.org/officeDocument/2006/relationships/hyperlink" Target="http://data.europa.eu/eli/agree_internation/2018/1197/oj" TargetMode="External"/><Relationship Id="rId6" Type="http://schemas.openxmlformats.org/officeDocument/2006/relationships/hyperlink" Target="http://data.europa.eu/eli/C/2025/487/oj" TargetMode="External"/><Relationship Id="rId5" Type="http://schemas.openxmlformats.org/officeDocument/2006/relationships/hyperlink" Target="http://data.europa.eu/eli/C/2025/1809/oj" TargetMode="External"/><Relationship Id="rId4" Type="http://schemas.openxmlformats.org/officeDocument/2006/relationships/hyperlink" Target="http://data.europa.eu/eli/C/2024/41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5707</Words>
  <Characters>37726</Characters>
  <Application>Microsoft Office Word</Application>
  <DocSecurity>0</DocSecurity>
  <Lines>314</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2026-07-07T14:49:00Z</dcterms:created>
  <dcterms:modified xsi:type="dcterms:W3CDTF">2026-07-07T14:49:00Z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A10-0189/2026</vt:lpwstr>
  </property>
  <property fmtid="{D5CDD505-2E9C-101B-9397-08002B2CF9AE}" pid="4" name="&lt;Type&gt;">
    <vt:lpwstr>RR</vt:lpwstr>
  </property>
</Properties>
</file>