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6F1F" w14:paraId="21B5705F" w14:textId="77777777" w:rsidTr="0010095E">
        <w:trPr>
          <w:trHeight w:hRule="exact" w:val="1418"/>
        </w:trPr>
        <w:tc>
          <w:tcPr>
            <w:tcW w:w="6804" w:type="dxa"/>
            <w:shd w:val="clear" w:color="auto" w:fill="auto"/>
            <w:vAlign w:val="center"/>
          </w:tcPr>
          <w:p w14:paraId="54F272A1" w14:textId="27D9F1C0" w:rsidR="00751A4A" w:rsidRPr="00D16F1F" w:rsidRDefault="00516108" w:rsidP="0010095E">
            <w:pPr>
              <w:pStyle w:val="EPName"/>
            </w:pPr>
            <w:r w:rsidRPr="00D16F1F">
              <w:t>Европейски</w:t>
            </w:r>
            <w:r w:rsidR="008A6140" w:rsidRPr="00D16F1F">
              <w:t xml:space="preserve"> парламент</w:t>
            </w:r>
          </w:p>
          <w:p w14:paraId="74247675" w14:textId="153106A5" w:rsidR="00751A4A" w:rsidRPr="00D16F1F" w:rsidRDefault="005F1B17" w:rsidP="005F1B17">
            <w:pPr>
              <w:pStyle w:val="EPTerm"/>
              <w:rPr>
                <w:rStyle w:val="HideTWBExt"/>
                <w:noProof w:val="0"/>
                <w:vanish w:val="0"/>
                <w:color w:val="auto"/>
              </w:rPr>
            </w:pPr>
            <w:r w:rsidRPr="00D16F1F">
              <w:t>2024</w:t>
            </w:r>
            <w:r w:rsidR="00516108">
              <w:t> – </w:t>
            </w:r>
            <w:r w:rsidR="00817416" w:rsidRPr="00D16F1F">
              <w:t>202</w:t>
            </w:r>
            <w:r w:rsidRPr="00D16F1F">
              <w:t>9</w:t>
            </w:r>
          </w:p>
        </w:tc>
        <w:tc>
          <w:tcPr>
            <w:tcW w:w="2268" w:type="dxa"/>
            <w:shd w:val="clear" w:color="auto" w:fill="auto"/>
          </w:tcPr>
          <w:p w14:paraId="35E15CE4" w14:textId="77777777" w:rsidR="00751A4A" w:rsidRPr="00D16F1F" w:rsidRDefault="00187494" w:rsidP="0010095E">
            <w:pPr>
              <w:pStyle w:val="EPLogo"/>
            </w:pPr>
            <w:r w:rsidRPr="00D16F1F">
              <w:rPr>
                <w:noProof/>
                <w:lang w:eastAsia="ja-JP"/>
              </w:rPr>
              <w:drawing>
                <wp:inline distT="0" distB="0" distL="0" distR="0" wp14:anchorId="10D01DF8" wp14:editId="1B1A73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4A24F" w14:textId="77777777" w:rsidR="00D058B8" w:rsidRPr="00D16F1F" w:rsidRDefault="00D058B8" w:rsidP="004C5D52">
      <w:pPr>
        <w:pStyle w:val="LineTop"/>
      </w:pPr>
    </w:p>
    <w:p w14:paraId="6EF39A92" w14:textId="77777777" w:rsidR="00680577" w:rsidRPr="00D16F1F" w:rsidRDefault="008A6140" w:rsidP="00680577">
      <w:pPr>
        <w:pStyle w:val="EPBodyTA1"/>
      </w:pPr>
      <w:r w:rsidRPr="00D16F1F">
        <w:t>ПРИЕТИ ТЕКСТОВЕ</w:t>
      </w:r>
    </w:p>
    <w:p w14:paraId="127DC622" w14:textId="77777777" w:rsidR="00D058B8" w:rsidRPr="00D16F1F" w:rsidRDefault="00D058B8" w:rsidP="00D058B8">
      <w:pPr>
        <w:pStyle w:val="LineBottom"/>
      </w:pPr>
    </w:p>
    <w:p w14:paraId="7E26B9D3" w14:textId="4CB65C03" w:rsidR="008A6140" w:rsidRPr="00DA391B" w:rsidRDefault="008A6140" w:rsidP="008A6140">
      <w:pPr>
        <w:pStyle w:val="ATHeading1"/>
        <w:rPr>
          <w:lang w:val="en-GB"/>
        </w:rPr>
      </w:pPr>
      <w:bookmarkStart w:id="0" w:name="TANumber"/>
      <w:r w:rsidRPr="00D16F1F">
        <w:t>P10_TA(2026)0</w:t>
      </w:r>
      <w:r w:rsidR="00F871C7">
        <w:rPr>
          <w:lang w:val="en-GB"/>
        </w:rPr>
        <w:t>247</w:t>
      </w:r>
      <w:bookmarkEnd w:id="0"/>
    </w:p>
    <w:p w14:paraId="2EB3CBB0" w14:textId="77777777" w:rsidR="008A6140" w:rsidRPr="00D16F1F" w:rsidRDefault="008A6140" w:rsidP="008A6140">
      <w:pPr>
        <w:pStyle w:val="ATHeading2"/>
      </w:pPr>
      <w:bookmarkStart w:id="1" w:name="title"/>
      <w:r w:rsidRPr="00D16F1F">
        <w:t>Политика в областта на конкуренцията – годишен доклад за 2025 г.</w:t>
      </w:r>
      <w:bookmarkEnd w:id="1"/>
    </w:p>
    <w:p w14:paraId="4299F87A" w14:textId="77777777" w:rsidR="008A6140" w:rsidRPr="00D16F1F" w:rsidRDefault="008A6140" w:rsidP="008A6140">
      <w:pPr>
        <w:rPr>
          <w:i/>
          <w:vanish/>
        </w:rPr>
      </w:pPr>
      <w:r w:rsidRPr="00D16F1F">
        <w:rPr>
          <w:i/>
        </w:rPr>
        <w:fldChar w:fldCharType="begin"/>
      </w:r>
      <w:r w:rsidRPr="00D16F1F">
        <w:rPr>
          <w:i/>
        </w:rPr>
        <w:instrText xml:space="preserve"> TC"(</w:instrText>
      </w:r>
      <w:bookmarkStart w:id="2" w:name="DocNumber"/>
      <w:r w:rsidRPr="00D16F1F">
        <w:rPr>
          <w:i/>
        </w:rPr>
        <w:instrText>A10-0171/2026</w:instrText>
      </w:r>
      <w:bookmarkEnd w:id="2"/>
      <w:r w:rsidRPr="00D16F1F">
        <w:rPr>
          <w:i/>
        </w:rPr>
        <w:instrText xml:space="preserve"> - Докладчик: Стефани Йон </w:instrText>
      </w:r>
      <w:proofErr w:type="spellStart"/>
      <w:r w:rsidRPr="00D16F1F">
        <w:rPr>
          <w:i/>
        </w:rPr>
        <w:instrText>Куртен</w:instrText>
      </w:r>
      <w:proofErr w:type="spellEnd"/>
      <w:r w:rsidRPr="00D16F1F">
        <w:rPr>
          <w:i/>
        </w:rPr>
        <w:instrText xml:space="preserve">)"\l3 \n&gt; \* MERGEFORMAT </w:instrText>
      </w:r>
      <w:r w:rsidRPr="00D16F1F">
        <w:rPr>
          <w:i/>
        </w:rPr>
        <w:fldChar w:fldCharType="end"/>
      </w:r>
    </w:p>
    <w:p w14:paraId="27DE3C7C" w14:textId="77777777" w:rsidR="008A6140" w:rsidRPr="00D16F1F" w:rsidRDefault="008A6140" w:rsidP="008A6140">
      <w:pPr>
        <w:rPr>
          <w:vanish/>
        </w:rPr>
      </w:pPr>
      <w:bookmarkStart w:id="3" w:name="Commission"/>
      <w:r w:rsidRPr="00D16F1F">
        <w:rPr>
          <w:vanish/>
        </w:rPr>
        <w:t>Комисия по икономически и парични въпроси</w:t>
      </w:r>
      <w:bookmarkEnd w:id="3"/>
    </w:p>
    <w:p w14:paraId="13C3248F" w14:textId="77777777" w:rsidR="008A6140" w:rsidRPr="00D16F1F" w:rsidRDefault="008A6140" w:rsidP="008A6140">
      <w:pPr>
        <w:rPr>
          <w:vanish/>
        </w:rPr>
      </w:pPr>
      <w:bookmarkStart w:id="4" w:name="PE"/>
      <w:r w:rsidRPr="00D16F1F">
        <w:rPr>
          <w:vanish/>
        </w:rPr>
        <w:t>PE779.796</w:t>
      </w:r>
      <w:bookmarkEnd w:id="4"/>
    </w:p>
    <w:p w14:paraId="405E4EAD" w14:textId="2BA73D96" w:rsidR="008A6140" w:rsidRPr="00D16F1F" w:rsidRDefault="008A6140" w:rsidP="008A6140">
      <w:pPr>
        <w:pStyle w:val="ATHeading3"/>
      </w:pPr>
      <w:bookmarkStart w:id="5" w:name="Sujet"/>
      <w:r w:rsidRPr="00D16F1F">
        <w:t xml:space="preserve">Резолюция на Европейския парламент от </w:t>
      </w:r>
      <w:r w:rsidR="00EE481B">
        <w:t>7 юли</w:t>
      </w:r>
      <w:r w:rsidR="00EE481B" w:rsidRPr="00D16F1F">
        <w:t xml:space="preserve"> </w:t>
      </w:r>
      <w:r w:rsidRPr="00D16F1F">
        <w:t>2026 г. относно политиката в областта на конкуренцията – годишен доклад за 2025 г.</w:t>
      </w:r>
      <w:bookmarkEnd w:id="5"/>
      <w:r w:rsidRPr="00D16F1F">
        <w:t xml:space="preserve"> </w:t>
      </w:r>
      <w:bookmarkStart w:id="6" w:name="References"/>
      <w:r w:rsidRPr="00D16F1F">
        <w:t>(2025/2134(INI))</w:t>
      </w:r>
      <w:bookmarkEnd w:id="6"/>
    </w:p>
    <w:p w14:paraId="2F0DC022" w14:textId="77777777" w:rsidR="00EB1BAC" w:rsidRPr="00516108" w:rsidRDefault="00EB1BAC" w:rsidP="00EB1BAC">
      <w:pPr>
        <w:pStyle w:val="Normal12"/>
        <w:rPr>
          <w:i/>
          <w:iCs/>
        </w:rPr>
      </w:pPr>
      <w:r w:rsidRPr="00516108">
        <w:rPr>
          <w:i/>
          <w:iCs/>
        </w:rPr>
        <w:t>Европейският парламент,</w:t>
      </w:r>
    </w:p>
    <w:p w14:paraId="3D90A48E" w14:textId="77777777" w:rsidR="00EB1BAC" w:rsidRPr="00D16F1F" w:rsidRDefault="00EB1BAC" w:rsidP="00EB1BAC">
      <w:pPr>
        <w:pStyle w:val="NormalHanging"/>
      </w:pPr>
      <w:r w:rsidRPr="00D16F1F">
        <w:t>–</w:t>
      </w:r>
      <w:r w:rsidRPr="00D16F1F">
        <w:tab/>
        <w:t>като взе предвид Договора за функционирането на Европейския съюз (ДФЕС) и по-специално членове 101 – 109 от него,</w:t>
      </w:r>
    </w:p>
    <w:p w14:paraId="7105AB02" w14:textId="6B59D461" w:rsidR="00EB1BAC" w:rsidRPr="00D16F1F" w:rsidRDefault="00EB1BAC" w:rsidP="00EB1BAC">
      <w:pPr>
        <w:pStyle w:val="NormalHanging"/>
      </w:pPr>
      <w:r w:rsidRPr="00D16F1F">
        <w:t>–</w:t>
      </w:r>
      <w:r w:rsidRPr="00D16F1F">
        <w:tab/>
        <w:t>като взе предвид Регламент (EС)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w:t>
      </w:r>
      <w:r w:rsidR="00516108">
        <w:rPr>
          <w:rStyle w:val="FootnoteReference"/>
        </w:rPr>
        <w:footnoteReference w:id="1"/>
      </w:r>
      <w:r w:rsidRPr="00D16F1F">
        <w:t>,</w:t>
      </w:r>
    </w:p>
    <w:p w14:paraId="017E5A40" w14:textId="4085273C" w:rsidR="00EB1BAC" w:rsidRPr="00D16F1F" w:rsidRDefault="00EB1BAC" w:rsidP="00EB1BAC">
      <w:pPr>
        <w:pStyle w:val="NormalHanging"/>
      </w:pPr>
      <w:r w:rsidRPr="00D16F1F">
        <w:t>–</w:t>
      </w:r>
      <w:r w:rsidRPr="00D16F1F">
        <w:tab/>
        <w:t>като взе предвид доклада на Комисията от 28 април 2026 г. относно прегледа на Регламент (ЕС) 2022/1925 на Европейския парламент и на Съвета за достъпни и справедливи пазари в цифровия сектор и за изменение на директиви (ЕС) 2019/1937 и (ЕС) 2020/1828 (Акт за цифровите пазари) в съответствие с член 53 от него (</w:t>
      </w:r>
      <w:r w:rsidRPr="00516108">
        <w:t>COM(2026)0178</w:t>
      </w:r>
      <w:r w:rsidRPr="00D16F1F">
        <w:t>),</w:t>
      </w:r>
    </w:p>
    <w:p w14:paraId="6758F9BA" w14:textId="36E83373" w:rsidR="00EB1BAC" w:rsidRPr="00D16F1F" w:rsidRDefault="00EB1BAC" w:rsidP="00EB1BAC">
      <w:pPr>
        <w:pStyle w:val="NormalHanging"/>
      </w:pPr>
      <w:r w:rsidRPr="00D16F1F">
        <w:t>–</w:t>
      </w:r>
      <w:r w:rsidRPr="00D16F1F">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00516108">
        <w:rPr>
          <w:rStyle w:val="FootnoteReference"/>
        </w:rPr>
        <w:footnoteReference w:id="2"/>
      </w:r>
      <w:r w:rsidRPr="00D16F1F">
        <w:t>,</w:t>
      </w:r>
    </w:p>
    <w:p w14:paraId="5B71426A" w14:textId="0F06FBEC" w:rsidR="00EB1BAC" w:rsidRPr="00D16F1F" w:rsidRDefault="00EB1BAC" w:rsidP="00EB1BAC">
      <w:pPr>
        <w:pStyle w:val="NormalHanging"/>
      </w:pPr>
      <w:r w:rsidRPr="00D16F1F">
        <w:t>–</w:t>
      </w:r>
      <w:r w:rsidRPr="00D16F1F">
        <w:tab/>
        <w:t>като взе предвид Регламент (EO) № 139/2004 на Съвета от 20 януари 2004 година относно контрола върху концентрациите между предприятия (Регламент на ЕО за сливанията)</w:t>
      </w:r>
      <w:r w:rsidR="00516108">
        <w:rPr>
          <w:rStyle w:val="FootnoteReference"/>
        </w:rPr>
        <w:footnoteReference w:id="3"/>
      </w:r>
      <w:r w:rsidRPr="00D16F1F">
        <w:t>,</w:t>
      </w:r>
    </w:p>
    <w:p w14:paraId="230DCCC1" w14:textId="2012AE73" w:rsidR="00EB1BAC" w:rsidRPr="00D16F1F" w:rsidRDefault="00EB1BAC" w:rsidP="00EB1BAC">
      <w:pPr>
        <w:pStyle w:val="NormalHanging"/>
      </w:pPr>
      <w:r w:rsidRPr="00D16F1F">
        <w:t>–</w:t>
      </w:r>
      <w:r w:rsidRPr="00D16F1F">
        <w:tab/>
        <w:t>като взе предвид насоките относно оценката на хоризонталните сливания съгласно Регламента на Съвета относно контрола върху концентрациите между предприятия</w:t>
      </w:r>
      <w:r w:rsidR="00516108">
        <w:rPr>
          <w:rStyle w:val="FootnoteReference"/>
        </w:rPr>
        <w:footnoteReference w:id="4"/>
      </w:r>
      <w:r w:rsidRPr="00D16F1F">
        <w:t>,</w:t>
      </w:r>
    </w:p>
    <w:p w14:paraId="6374BF55" w14:textId="0EAD843F" w:rsidR="00EB1BAC" w:rsidRPr="00D16F1F" w:rsidRDefault="00EB1BAC" w:rsidP="00EB1BAC">
      <w:pPr>
        <w:pStyle w:val="NormalHanging"/>
      </w:pPr>
      <w:r w:rsidRPr="00D16F1F">
        <w:lastRenderedPageBreak/>
        <w:t>–</w:t>
      </w:r>
      <w:r w:rsidRPr="00D16F1F">
        <w:tab/>
        <w:t>като взе предвид насоките относно оценката на нехоризонталните сливания съгласно Регламента на Съвета относно контрола върху концентрациите между предприятия</w:t>
      </w:r>
      <w:r w:rsidR="00516108">
        <w:rPr>
          <w:rStyle w:val="FootnoteReference"/>
        </w:rPr>
        <w:footnoteReference w:id="5"/>
      </w:r>
      <w:r w:rsidRPr="00D16F1F">
        <w:t>,</w:t>
      </w:r>
    </w:p>
    <w:p w14:paraId="10DD1B10" w14:textId="77777777" w:rsidR="00EB1BAC" w:rsidRPr="00D16F1F" w:rsidRDefault="00EB1BAC" w:rsidP="00EB1BAC">
      <w:pPr>
        <w:pStyle w:val="NormalHanging"/>
      </w:pPr>
      <w:r w:rsidRPr="00D16F1F">
        <w:t>–</w:t>
      </w:r>
      <w:r w:rsidRPr="00D16F1F">
        <w:tab/>
        <w:t>като взе предвид доклада на Марио Драги от 9 септември 2024 г., озаглавен „Бъдещето на европейската конкурентоспособност“ (доклада Драги),</w:t>
      </w:r>
    </w:p>
    <w:p w14:paraId="0D63FFF8" w14:textId="6EA82FBA" w:rsidR="00EB1BAC" w:rsidRPr="00D16F1F" w:rsidRDefault="00EB1BAC" w:rsidP="00EB1BAC">
      <w:pPr>
        <w:pStyle w:val="NormalHanging"/>
      </w:pPr>
      <w:r w:rsidRPr="00D16F1F">
        <w:t>–</w:t>
      </w:r>
      <w:r w:rsidRPr="00D16F1F">
        <w:tab/>
        <w:t>като взе предвид своята резолюция от 10 септември 2025 г. относно улесняването на финансирането на инвестиции и реформи за стимулиране на европейската конкурентоспособност и създаване на съюз на капиталовите пазари (доклад на Марио Драги)</w:t>
      </w:r>
      <w:r w:rsidR="00516108">
        <w:rPr>
          <w:rStyle w:val="FootnoteReference"/>
        </w:rPr>
        <w:footnoteReference w:id="6"/>
      </w:r>
      <w:r w:rsidRPr="00D16F1F">
        <w:t>,</w:t>
      </w:r>
    </w:p>
    <w:p w14:paraId="505F87B0" w14:textId="77777777" w:rsidR="00EB1BAC" w:rsidRPr="00D16F1F" w:rsidRDefault="00EB1BAC" w:rsidP="00EB1BAC">
      <w:pPr>
        <w:pStyle w:val="NormalHanging"/>
      </w:pPr>
      <w:r w:rsidRPr="00D16F1F">
        <w:t>–</w:t>
      </w:r>
      <w:r w:rsidRPr="00D16F1F">
        <w:tab/>
        <w:t>като взе предвид доклада на Енрико Лета от 17 април 2024 г., озаглавен „Много повече от пазар – Бързина, сигурност, солидарност: Създаване възможности на единния пазар за постигане на устойчиво бъдеще и просперитет за всички граждани на ЕС“ (доклада на Енрико Лета),</w:t>
      </w:r>
    </w:p>
    <w:p w14:paraId="7BE5466C" w14:textId="77777777" w:rsidR="00EB1BAC" w:rsidRPr="00D16F1F" w:rsidRDefault="00EB1BAC" w:rsidP="00EB1BAC">
      <w:pPr>
        <w:pStyle w:val="NormalHanging"/>
      </w:pPr>
      <w:r w:rsidRPr="00D16F1F">
        <w:t>–</w:t>
      </w:r>
      <w:r w:rsidRPr="00D16F1F">
        <w:tab/>
        <w:t xml:space="preserve">като взе предвид доклада от 19 януари 2026 г. на Йорг </w:t>
      </w:r>
      <w:proofErr w:type="spellStart"/>
      <w:r w:rsidRPr="00D16F1F">
        <w:t>Кукис</w:t>
      </w:r>
      <w:proofErr w:type="spellEnd"/>
      <w:r w:rsidRPr="00D16F1F">
        <w:t xml:space="preserve"> и Кристиан </w:t>
      </w:r>
      <w:proofErr w:type="spellStart"/>
      <w:r w:rsidRPr="00D16F1F">
        <w:t>Ноайе</w:t>
      </w:r>
      <w:proofErr w:type="spellEnd"/>
      <w:r w:rsidRPr="00D16F1F">
        <w:t>, озаглавен „Финансиране на иновативни предприятия в Европа“,</w:t>
      </w:r>
    </w:p>
    <w:p w14:paraId="25CB951F" w14:textId="77777777" w:rsidR="00EB1BAC" w:rsidRPr="00D16F1F" w:rsidRDefault="00EB1BAC" w:rsidP="00EB1BAC">
      <w:pPr>
        <w:pStyle w:val="NormalHanging"/>
      </w:pPr>
      <w:r w:rsidRPr="00D16F1F">
        <w:t>–</w:t>
      </w:r>
      <w:r w:rsidRPr="00D16F1F">
        <w:tab/>
        <w:t>като взе предвид съобщението на Комисията от 29 януари 2025 г., озаглавено „Компас за конкурентоспособността на ЕС“ (COM(2025)0030),</w:t>
      </w:r>
    </w:p>
    <w:p w14:paraId="0E2491B8" w14:textId="3E860233" w:rsidR="00EB1BAC" w:rsidRPr="00D16F1F" w:rsidRDefault="00EB1BAC" w:rsidP="00EB1BAC">
      <w:pPr>
        <w:pStyle w:val="NormalHanging"/>
      </w:pPr>
      <w:r w:rsidRPr="00D16F1F">
        <w:t>–</w:t>
      </w:r>
      <w:r w:rsidRPr="00D16F1F">
        <w:tab/>
        <w:t>като взе предвид предложението на Комисията от 21 януари 2026 г. за регламент на Европейския парламент и на Съвета относно цифровите мрежи, за изменение на Регламент (ЕС) 2015/2120, Директива 2002/58/ЕО и Решение № 676/2002/ЕО и за отмяна на Регламент (ЕС) 2018/1971, Директива (ЕС) 2018/1972 и Решение № 243/2012/ЕС (Законодателен акт за цифровите мрежи) (</w:t>
      </w:r>
      <w:r w:rsidRPr="00516108">
        <w:t>COM(2026)0016</w:t>
      </w:r>
      <w:r w:rsidRPr="00D16F1F">
        <w:t>),</w:t>
      </w:r>
    </w:p>
    <w:p w14:paraId="2BF6EFF3" w14:textId="77777777" w:rsidR="00EB1BAC" w:rsidRPr="00D16F1F" w:rsidRDefault="00EB1BAC" w:rsidP="00EB1BAC">
      <w:pPr>
        <w:pStyle w:val="NormalHanging"/>
      </w:pPr>
      <w:r w:rsidRPr="00D16F1F">
        <w:t>–</w:t>
      </w:r>
      <w:r w:rsidRPr="00D16F1F">
        <w:tab/>
        <w:t xml:space="preserve">като взе предвид доклада от 29 октомври 2025 г., озаглавен „Фактическо обобщение на мненията, получени в контекста на обществената консултация относно прегледа на насоките за хоризонталните и нехоризонталните сливания“, </w:t>
      </w:r>
    </w:p>
    <w:p w14:paraId="3B600848" w14:textId="0EE5AF9F" w:rsidR="00EB1BAC" w:rsidRPr="00D16F1F" w:rsidRDefault="00EB1BAC" w:rsidP="00EB1BAC">
      <w:pPr>
        <w:pStyle w:val="NormalHanging"/>
      </w:pPr>
      <w:r w:rsidRPr="00D16F1F">
        <w:t>–</w:t>
      </w:r>
      <w:r w:rsidRPr="00D16F1F">
        <w:tab/>
        <w:t>като взе предвид работния документ на службите на Комисията от 13 октомври 2025 г., озаглавен „Оценка на Известието на Комисията относно прилагането на членове 87 и 88 от Договора за ЕО по отношение на държавните помощи под формата на гаранции“ (SWD(2025)0330),</w:t>
      </w:r>
    </w:p>
    <w:p w14:paraId="6E2A852D" w14:textId="37701908" w:rsidR="00EB1BAC" w:rsidRPr="00D16F1F" w:rsidRDefault="00EB1BAC" w:rsidP="00EB1BAC">
      <w:pPr>
        <w:pStyle w:val="NormalHanging"/>
      </w:pPr>
      <w:r w:rsidRPr="00D16F1F">
        <w:t>–</w:t>
      </w:r>
      <w:r w:rsidRPr="00D16F1F">
        <w:tab/>
        <w:t>като взе предвид работния документ на службите на Комисията от 13 октомври 2025 г., озаглавен „Обобщен преглед на Известието на Комисията относно прилагането на членове 87 и 88 от Договора за ЕО по отношение на държавните помощи под формата на гаранции“ (SWD(2025)0331),</w:t>
      </w:r>
    </w:p>
    <w:p w14:paraId="7043F313" w14:textId="548DC864" w:rsidR="00EB1BAC" w:rsidRPr="00D16F1F" w:rsidRDefault="00EB1BAC" w:rsidP="00EB1BAC">
      <w:pPr>
        <w:pStyle w:val="NormalHanging"/>
      </w:pPr>
      <w:r w:rsidRPr="00D16F1F">
        <w:t>–</w:t>
      </w:r>
      <w:r w:rsidRPr="00D16F1F">
        <w:tab/>
        <w:t>като взе предвид проучването на Комисията, озаглавено „Последваща оценка на прилагането и ефективността на антитръстовите мерки на ЕС“</w:t>
      </w:r>
      <w:r w:rsidR="00516108">
        <w:rPr>
          <w:rStyle w:val="FootnoteReference"/>
        </w:rPr>
        <w:footnoteReference w:id="7"/>
      </w:r>
      <w:r w:rsidRPr="00D16F1F">
        <w:t>,</w:t>
      </w:r>
    </w:p>
    <w:p w14:paraId="79D1171C" w14:textId="7C07C6D7" w:rsidR="00EB1BAC" w:rsidRPr="00D16F1F" w:rsidRDefault="00EB1BAC" w:rsidP="00EB1BAC">
      <w:pPr>
        <w:pStyle w:val="NormalHanging"/>
      </w:pPr>
      <w:r w:rsidRPr="00D16F1F">
        <w:lastRenderedPageBreak/>
        <w:t>–</w:t>
      </w:r>
      <w:r w:rsidRPr="00D16F1F">
        <w:tab/>
        <w:t>като взе предвид Регламент (ЕС) 2022/2560 на Европейския парламент и на Съвета от 14 декември 2022 г. относно чуждестранните субсидии, които нарушават вътрешния пазар</w:t>
      </w:r>
      <w:r w:rsidR="00516108">
        <w:rPr>
          <w:rStyle w:val="FootnoteReference"/>
        </w:rPr>
        <w:footnoteReference w:id="8"/>
      </w:r>
      <w:r w:rsidRPr="00D16F1F">
        <w:t xml:space="preserve"> (Регламента относно чуждестранните субсидии),</w:t>
      </w:r>
    </w:p>
    <w:p w14:paraId="65708D13" w14:textId="022ABB01" w:rsidR="00EB1BAC" w:rsidRPr="00D16F1F" w:rsidRDefault="00EB1BAC" w:rsidP="00EB1BAC">
      <w:pPr>
        <w:pStyle w:val="NormalHanging"/>
      </w:pPr>
      <w:r w:rsidRPr="00D16F1F">
        <w:t>–</w:t>
      </w:r>
      <w:r w:rsidRPr="00D16F1F">
        <w:tab/>
        <w:t>като взе предвид съобщението на Комисията от 9 януари 2026 г., озаглавено „Насоки за прилагането на някои разпоредби на Регламент (ЕС) 2022/2560 на Европейския парламент и на Съвета относно чуждестранните субсидии, които нарушават вътрешния пазар“</w:t>
      </w:r>
      <w:r w:rsidR="00516108">
        <w:rPr>
          <w:rStyle w:val="FootnoteReference"/>
        </w:rPr>
        <w:footnoteReference w:id="9"/>
      </w:r>
      <w:r w:rsidRPr="00D16F1F">
        <w:t>,</w:t>
      </w:r>
    </w:p>
    <w:p w14:paraId="29E0EE24" w14:textId="627D2C4F" w:rsidR="00EB1BAC" w:rsidRPr="00D16F1F" w:rsidRDefault="00EB1BAC" w:rsidP="00EB1BAC">
      <w:pPr>
        <w:pStyle w:val="NormalHanging"/>
      </w:pPr>
      <w:r w:rsidRPr="00D16F1F">
        <w:t>–</w:t>
      </w:r>
      <w:r w:rsidRPr="00D16F1F">
        <w:tab/>
        <w:t xml:space="preserve">като взе предвид съобщението на Комисията от 26 февруари 2025 г. , озаглавено „Пактът за чиста промишленост: Съвместна пътна карта за конкурентоспособност и </w:t>
      </w:r>
      <w:proofErr w:type="spellStart"/>
      <w:r w:rsidRPr="00D16F1F">
        <w:t>декарбонизация</w:t>
      </w:r>
      <w:proofErr w:type="spellEnd"/>
      <w:r w:rsidRPr="00D16F1F">
        <w:t>“ (</w:t>
      </w:r>
      <w:r w:rsidR="00516108" w:rsidRPr="00DA391B">
        <w:t>COM(2025)0085</w:t>
      </w:r>
      <w:r w:rsidRPr="00D16F1F">
        <w:t>)),</w:t>
      </w:r>
    </w:p>
    <w:p w14:paraId="351CA58F" w14:textId="0891AFEA" w:rsidR="00EB1BAC" w:rsidRPr="00D16F1F" w:rsidRDefault="00EB1BAC" w:rsidP="00EB1BAC">
      <w:pPr>
        <w:pStyle w:val="NormalHanging"/>
      </w:pPr>
      <w:r w:rsidRPr="00D16F1F">
        <w:t>–</w:t>
      </w:r>
      <w:r w:rsidRPr="00D16F1F">
        <w:tab/>
        <w:t>като взе предвид съобщението на Комисията от 4 юли 2025 г., озаглавено „Рамка за мерки за държавна помощ в подкрепа на Пакта за чиста промишленост (Рамка за държавна помощ във връзка с Пакта за чиста промишленост)“</w:t>
      </w:r>
      <w:r w:rsidR="00516108">
        <w:rPr>
          <w:rStyle w:val="FootnoteReference"/>
        </w:rPr>
        <w:footnoteReference w:id="10"/>
      </w:r>
      <w:r w:rsidRPr="00D16F1F">
        <w:t>,</w:t>
      </w:r>
    </w:p>
    <w:p w14:paraId="2708278E" w14:textId="77777777" w:rsidR="00EB1BAC" w:rsidRPr="00D16F1F" w:rsidRDefault="00EB1BAC" w:rsidP="00EB1BAC">
      <w:pPr>
        <w:pStyle w:val="NormalHanging"/>
      </w:pPr>
      <w:r w:rsidRPr="00D16F1F">
        <w:t>–</w:t>
      </w:r>
      <w:r w:rsidRPr="00D16F1F">
        <w:tab/>
        <w:t>като взе предвид работния документ на службите на Комисията от 4 ноември 2025 г., придружаващ съобщението на Комисията, озаглавено „Рамка за държавна помощ във връзка с Пакта за чиста промишленост“ (SWD (2025) 0850),</w:t>
      </w:r>
    </w:p>
    <w:p w14:paraId="7EE24CCC" w14:textId="7719BBD2" w:rsidR="00EB1BAC" w:rsidRPr="00D16F1F" w:rsidRDefault="00EB1BAC" w:rsidP="00EB1BAC">
      <w:pPr>
        <w:pStyle w:val="NormalHanging"/>
      </w:pPr>
      <w:r w:rsidRPr="00D16F1F">
        <w:t>–</w:t>
      </w:r>
      <w:r w:rsidRPr="00D16F1F">
        <w:tab/>
        <w:t>като взе предвид Решение (ЕС) 2025/2630 на Комисията от 16 декември 2025 г.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и за отмяна на Решение 2012/21/ЕС</w:t>
      </w:r>
      <w:r w:rsidR="00516108">
        <w:rPr>
          <w:rStyle w:val="FootnoteReference"/>
        </w:rPr>
        <w:footnoteReference w:id="11"/>
      </w:r>
      <w:r w:rsidR="00FD775D">
        <w:t xml:space="preserve"> </w:t>
      </w:r>
      <w:r w:rsidRPr="00D16F1F">
        <w:t>(Решението за УОИИ), както и приложението към него,</w:t>
      </w:r>
    </w:p>
    <w:p w14:paraId="4AA9229F" w14:textId="3147616C" w:rsidR="00EB1BAC" w:rsidRPr="00D16F1F" w:rsidRDefault="00EB1BAC" w:rsidP="00EB1BAC">
      <w:pPr>
        <w:pStyle w:val="NormalHanging"/>
      </w:pPr>
      <w:r w:rsidRPr="00D16F1F">
        <w:t>–</w:t>
      </w:r>
      <w:r w:rsidRPr="00D16F1F">
        <w:tab/>
        <w:t>като взе предвид доклада на Комисията от 5 май 2026 г., озаглавен „Доклад относно политиката в областта на конкуренцията за 2025 г.“ (</w:t>
      </w:r>
      <w:r w:rsidR="00516108" w:rsidRPr="00DA391B">
        <w:t>COM(2026)0180</w:t>
      </w:r>
      <w:r w:rsidRPr="00D16F1F">
        <w:t>),</w:t>
      </w:r>
    </w:p>
    <w:p w14:paraId="55A218FC" w14:textId="77777777" w:rsidR="00EB1BAC" w:rsidRPr="00D16F1F" w:rsidRDefault="00EB1BAC" w:rsidP="00EB1BAC">
      <w:pPr>
        <w:pStyle w:val="NormalHanging"/>
      </w:pPr>
      <w:r w:rsidRPr="00D16F1F">
        <w:t>–</w:t>
      </w:r>
      <w:r w:rsidRPr="00D16F1F">
        <w:tab/>
        <w:t xml:space="preserve">като взе предвид доклада от 18 декември 2025 г. на Европейския орган за ценни книжа и пазари, озаглавен „CRA Market </w:t>
      </w:r>
      <w:proofErr w:type="spellStart"/>
      <w:r w:rsidRPr="00D16F1F">
        <w:t>Share</w:t>
      </w:r>
      <w:proofErr w:type="spellEnd"/>
      <w:r w:rsidRPr="00D16F1F">
        <w:t xml:space="preserve"> </w:t>
      </w:r>
      <w:proofErr w:type="spellStart"/>
      <w:r w:rsidRPr="00D16F1F">
        <w:t>Report</w:t>
      </w:r>
      <w:proofErr w:type="spellEnd"/>
      <w:r w:rsidRPr="00D16F1F">
        <w:t xml:space="preserve">: 2025 </w:t>
      </w:r>
      <w:proofErr w:type="spellStart"/>
      <w:r w:rsidRPr="00D16F1F">
        <w:t>edition</w:t>
      </w:r>
      <w:proofErr w:type="spellEnd"/>
      <w:r w:rsidRPr="00D16F1F">
        <w:t>“ (Доклад за 2025 г. относно определянето на пазарния дял на агенциите за кредитен рейтинг),</w:t>
      </w:r>
    </w:p>
    <w:p w14:paraId="46A5529D" w14:textId="77777777" w:rsidR="00EB1BAC" w:rsidRPr="00D16F1F" w:rsidRDefault="00EB1BAC" w:rsidP="00EB1BAC">
      <w:pPr>
        <w:pStyle w:val="NormalHanging"/>
      </w:pPr>
      <w:r w:rsidRPr="00D16F1F">
        <w:t>–</w:t>
      </w:r>
      <w:r w:rsidRPr="00D16F1F">
        <w:tab/>
        <w:t>като взе предвид член 55 от своя Правилник за дейността,</w:t>
      </w:r>
    </w:p>
    <w:p w14:paraId="4F5F2D6C" w14:textId="77777777" w:rsidR="00EB1BAC" w:rsidRPr="00D16F1F" w:rsidRDefault="00EB1BAC" w:rsidP="00EB1BAC">
      <w:pPr>
        <w:pStyle w:val="NormalHanging"/>
      </w:pPr>
      <w:r w:rsidRPr="00D16F1F">
        <w:t>–</w:t>
      </w:r>
      <w:r w:rsidRPr="00D16F1F">
        <w:tab/>
        <w:t>като взе предвид доклада на комисията по икономически и парични въпроси (A10-0171/2026),</w:t>
      </w:r>
    </w:p>
    <w:p w14:paraId="115E60A7" w14:textId="77777777" w:rsidR="00EB1BAC" w:rsidRPr="00D16F1F" w:rsidRDefault="00EB1BAC" w:rsidP="00EB1BAC">
      <w:pPr>
        <w:pStyle w:val="NormalHanging"/>
      </w:pPr>
      <w:r w:rsidRPr="00D16F1F">
        <w:t>А.</w:t>
      </w:r>
      <w:r w:rsidRPr="00D16F1F">
        <w:tab/>
        <w:t xml:space="preserve">като има предвид, че лоялната и открита конкуренция е съществен елемент за правилното функциониране на единния пазар, създаването на работни места, защитата на потребителите и развитието на предприятията, особено на малките и средните предприятия (МСП); като има предвид, че политиката в областта на конкуренцията следва преди всичко да има за цел да гарантира ефективна конкуренция и благосъстояние на потребителите, като същевременно остава в </w:t>
      </w:r>
      <w:r w:rsidRPr="00D16F1F">
        <w:lastRenderedPageBreak/>
        <w:t>съответствие с другите политики на ЕС;</w:t>
      </w:r>
    </w:p>
    <w:p w14:paraId="6CAEA707" w14:textId="77777777" w:rsidR="00EB1BAC" w:rsidRPr="00D16F1F" w:rsidRDefault="00EB1BAC" w:rsidP="00EB1BAC">
      <w:pPr>
        <w:pStyle w:val="NormalHanging"/>
      </w:pPr>
      <w:r w:rsidRPr="00D16F1F">
        <w:t>Б.</w:t>
      </w:r>
      <w:r w:rsidRPr="00D16F1F">
        <w:tab/>
        <w:t>като има предвид, че политиката на ЕС в областта на конкуренцията трябва да бъде ориентирана към бъдещето, да насърчава решенията и иновациите на ЕС и да защитава потребителите;</w:t>
      </w:r>
    </w:p>
    <w:p w14:paraId="034AB8E0" w14:textId="77777777" w:rsidR="00EB1BAC" w:rsidRPr="00D16F1F" w:rsidRDefault="00EB1BAC" w:rsidP="00EB1BAC">
      <w:pPr>
        <w:pStyle w:val="NormalHanging"/>
      </w:pPr>
      <w:r w:rsidRPr="00D16F1F">
        <w:t>В.</w:t>
      </w:r>
      <w:r w:rsidRPr="00D16F1F">
        <w:tab/>
        <w:t>като има предвид, че МСП са гръбнакът на европейската икономика и политиката в областта на конкуренцията трябва да отчита техните специфични нужди, като се гарантира, че задълженията за спазване и процедурите за прилагане не им налагат непропорционална тежест;</w:t>
      </w:r>
    </w:p>
    <w:p w14:paraId="64A30A44" w14:textId="77777777" w:rsidR="00EB1BAC" w:rsidRPr="00D16F1F" w:rsidRDefault="00EB1BAC" w:rsidP="00EB1BAC">
      <w:pPr>
        <w:pStyle w:val="NormalHanging"/>
      </w:pPr>
      <w:r w:rsidRPr="00D16F1F">
        <w:t>Г.</w:t>
      </w:r>
      <w:r w:rsidRPr="00D16F1F">
        <w:tab/>
        <w:t>като има предвид, че защитата на единния пазар изисква силни, надеждни, предсказуеми и недискриминационни правила в областта на конкуренцията, които се прилагат еднакво за всички участници на пазара и които трябва да бъдат изолирани от всякакъв вид неправомерна политическа намеса;</w:t>
      </w:r>
    </w:p>
    <w:p w14:paraId="5DCDC8F1" w14:textId="77777777" w:rsidR="00EB1BAC" w:rsidRPr="00D16F1F" w:rsidRDefault="00EB1BAC" w:rsidP="00EB1BAC">
      <w:pPr>
        <w:pStyle w:val="NormalHanging"/>
      </w:pPr>
      <w:r w:rsidRPr="00D16F1F">
        <w:t>Д.</w:t>
      </w:r>
      <w:r w:rsidRPr="00D16F1F">
        <w:tab/>
        <w:t>като има предвид, че нарастващата пазарна концентрация оказва влияние върху разпределението на доходите, въпреки че конкурентните пазари спомагат да се гарантира, че повишаването на производителността се споделя в по-широк план в цялата икономика и подкрепя устойчивата конкурентоспособност чрез засилване на покупателната способност, вътрешното търсене и формирането на човешки капитал;</w:t>
      </w:r>
    </w:p>
    <w:p w14:paraId="3AA2A828" w14:textId="77777777" w:rsidR="00EB1BAC" w:rsidRPr="00D16F1F" w:rsidRDefault="00EB1BAC" w:rsidP="00EB1BAC">
      <w:pPr>
        <w:pStyle w:val="NormalHanging"/>
      </w:pPr>
      <w:r w:rsidRPr="00D16F1F">
        <w:t>Е.</w:t>
      </w:r>
      <w:r w:rsidRPr="00D16F1F">
        <w:tab/>
        <w:t>като има предвид, че институционалната и оперативната независимост на националните органи за защита на конкуренцията и правоприлагането от страна на ЕС са предпоставка за надеждността и ефективността на политиката в областта на конкуренцията; като има предвид, че защитата на техните процеси на вземане на решения от политическа намеса или натиск от страна на частния сектор е от съществено значение за гарантиране на правна сигурност, отстояване на принципите на правовата държава и поддържане на еднакви условия на конкуренция в рамките на единния пазар;</w:t>
      </w:r>
    </w:p>
    <w:p w14:paraId="0D19E1DF" w14:textId="77777777" w:rsidR="00EB1BAC" w:rsidRPr="00D16F1F" w:rsidRDefault="00EB1BAC" w:rsidP="00EB1BAC">
      <w:pPr>
        <w:pStyle w:val="NormalHanging"/>
      </w:pPr>
      <w:r w:rsidRPr="00D16F1F">
        <w:t>Ж.</w:t>
      </w:r>
      <w:r w:rsidRPr="00D16F1F">
        <w:tab/>
        <w:t xml:space="preserve">като има предвид, че в доклада на Драги се определят три основни области на действие: първо, преодоляване на изоставането в областта на иновациите, второ, създаване на съвместен план за гарантиране както на </w:t>
      </w:r>
      <w:proofErr w:type="spellStart"/>
      <w:r w:rsidRPr="00D16F1F">
        <w:t>декарбонизацията</w:t>
      </w:r>
      <w:proofErr w:type="spellEnd"/>
      <w:r w:rsidRPr="00D16F1F">
        <w:t>, така и на конкурентоспособността, отразяващ силната промишлена и иновационна база на ЕС и неговото сравнително предимство в областта на зелените технологии, и накрая, повишаване на сигурността и намаляване на зависимостите;</w:t>
      </w:r>
    </w:p>
    <w:p w14:paraId="34FAEB99" w14:textId="77777777" w:rsidR="00EB1BAC" w:rsidRPr="00D16F1F" w:rsidRDefault="00EB1BAC" w:rsidP="00EB1BAC">
      <w:pPr>
        <w:pStyle w:val="NormalHanging"/>
      </w:pPr>
      <w:r w:rsidRPr="00D16F1F">
        <w:t>З.</w:t>
      </w:r>
      <w:r w:rsidRPr="00D16F1F">
        <w:tab/>
        <w:t>като има предвид, че в този контекст фрагментираният енергиен пазар повишава цените и отслабва конкуренцията, докато настоящото геополитическо напрежение може допълнително да увеличава уязвимостите; като има предвид, че по-задълбочената интеграция на вътрешния енергиен пазар, по-силните междусистемни връзки и ефективното прилагане на правото в областта на конкуренцията могат да повишат ефективността, устойчивостта и трансграничното участие, да намалят зависимостта от доставчици извън ЕС и да намалят разходите за потребителите;</w:t>
      </w:r>
    </w:p>
    <w:p w14:paraId="192D2048" w14:textId="77777777" w:rsidR="00EB1BAC" w:rsidRPr="00D16F1F" w:rsidRDefault="00EB1BAC" w:rsidP="00EB1BAC">
      <w:pPr>
        <w:pStyle w:val="NormalHanging"/>
      </w:pPr>
      <w:r w:rsidRPr="00D16F1F">
        <w:t>И.</w:t>
      </w:r>
      <w:r w:rsidRPr="00D16F1F">
        <w:tab/>
        <w:t xml:space="preserve">като има предвид, че бързото развитие на изкуствения интелект (ИИ), включително основани на ИИ генеративни системи, променят в значителна степен облика на конкурентната динамика, пазарните структури, веригите за </w:t>
      </w:r>
      <w:r w:rsidRPr="00D16F1F">
        <w:lastRenderedPageBreak/>
        <w:t>създаване на стойност и достъпа на ползвателите до цифрови услуги в целия Съюз, с евентуални последици за конкуренцията в рамките на цифровите пазари;</w:t>
      </w:r>
    </w:p>
    <w:p w14:paraId="733C1982" w14:textId="77777777" w:rsidR="00EB1BAC" w:rsidRPr="00D16F1F" w:rsidRDefault="00EB1BAC" w:rsidP="00EB1BAC">
      <w:pPr>
        <w:pStyle w:val="Normal12a"/>
      </w:pPr>
      <w:r w:rsidRPr="00D16F1F">
        <w:rPr>
          <w:b/>
          <w:i/>
        </w:rPr>
        <w:t>Възстановяване на стратегическата автономност на ЕС чрез политиката в областта на конкуренцията, иновациите и цифровия суверенитет</w:t>
      </w:r>
    </w:p>
    <w:p w14:paraId="63AB88A2" w14:textId="77777777" w:rsidR="00EB1BAC" w:rsidRPr="00D16F1F" w:rsidRDefault="00EB1BAC" w:rsidP="00EB1BAC">
      <w:pPr>
        <w:pStyle w:val="NormalHanging12a"/>
      </w:pPr>
      <w:r w:rsidRPr="00D16F1F">
        <w:t>1.</w:t>
      </w:r>
      <w:r w:rsidRPr="00D16F1F">
        <w:tab/>
        <w:t>припомня силната рамка на ЕС в областта на конкуренцията и нейното надлежно прилагане като инструмент за повишаване на конкурентоспособността във всички отрасли; подчертава, че политиките на ЕС не следва да се провеждат изолирано и че опасенията във връзка с конкурентоспособността не могат да се тълкуват като пропуски в политиката в областта на конкуренцията; припомня, че правилата на ЕС в областта на конкуренцията трябва да бъдат в съответствие с принципите, залегнали в Договорите, и следва да подкрепят прилагането на политиките на ЕС, включително тези, които обхващат промишлеността, търговията, потребителите, финансовите услуги и отбраната, като същевременно се гарантира стабилна рамка, която насърчава инвестициите, растежа и способността за разрастване при справедливи условия; подчертава, че политиката в областта на конкуренцията следва да допринася за интеграцията и задълбочаването на европейските капиталови пазари и да подкрепя целите на Съюза на спестяванията и инвестициите;</w:t>
      </w:r>
    </w:p>
    <w:p w14:paraId="46A5AB28" w14:textId="77777777" w:rsidR="00EB1BAC" w:rsidRPr="00D16F1F" w:rsidRDefault="00EB1BAC" w:rsidP="00EB1BAC">
      <w:pPr>
        <w:pStyle w:val="NormalHanging12a"/>
      </w:pPr>
      <w:r w:rsidRPr="00D16F1F">
        <w:t>2.</w:t>
      </w:r>
      <w:r w:rsidRPr="00D16F1F">
        <w:tab/>
        <w:t xml:space="preserve">подчертава, че добре функциониращата конкуренция е ключов двигател на икономическия растеж и дългосрочната конкурентоспособност в ЕС; отбелязва, че по-стриктното изпълнение на политиката в областта на конкуренцията се свързва с по-висока обща </w:t>
      </w:r>
      <w:proofErr w:type="spellStart"/>
      <w:r w:rsidRPr="00D16F1F">
        <w:t>факторна</w:t>
      </w:r>
      <w:proofErr w:type="spellEnd"/>
      <w:r w:rsidRPr="00D16F1F">
        <w:t xml:space="preserve"> производителност и по-ефективно разпределение на трудовата сила и капитала; поради това подчертава, че ефективната политика в областта на конкуренцията и прилагането ѝ допринасят за справедливи условия на заетост;</w:t>
      </w:r>
    </w:p>
    <w:p w14:paraId="5CA4047B" w14:textId="77777777" w:rsidR="00EB1BAC" w:rsidRPr="00D16F1F" w:rsidRDefault="00EB1BAC" w:rsidP="00EB1BAC">
      <w:pPr>
        <w:pStyle w:val="NormalHanging12a"/>
      </w:pPr>
      <w:r w:rsidRPr="00D16F1F">
        <w:t>3.</w:t>
      </w:r>
      <w:r w:rsidRPr="00D16F1F">
        <w:tab/>
        <w:t>изразява твърдо убеждение, че докладите на Драги и Лета следва да допринасят за определяне на приоритетите в областта на конкуренцията, и спешно призовава за последващи действия във връзка с тези доклади; приема за сведение приблизителната оценка на Марио Драги, че за да се защити конкурентоспособността на ЕС, са необходими допълнителни 800 милиарда евро годишно; подчертава, че интересите на потребителите следва да останат в центъра на вниманието, като същевременно се отчита необходимостта политиката в областта на конкуренцията да допринася за постигането на ключови цели като конкурентоспособност, издръжливост, сигурност, стратегическа автономност и устойчивост; приветства предложението в доклада на Драги за гъвкав инструмент за проучване на пазара („новия инструмент в областта на конкуренцията“) с цел преодоляване на неефективността на пазара, която не може да бъде преодоляна ефективно съгласно настоящите членове 101 и 102 от ДФЕС; отбелязва, че подобни инструменти вече са били успешно прилагани на равнището на държавите членки и счита, че един нов инструмент в областта на конкуренцията на равнището на ЕС би могъл да допринесе за разрешаване на структурните проблеми в областта на конкуренцията в целия Съюз; призовава Комисията да въведе такъв инструмент, за да допълни съществуващата рамка;</w:t>
      </w:r>
    </w:p>
    <w:p w14:paraId="1B4CD28E" w14:textId="77777777" w:rsidR="00EB1BAC" w:rsidRPr="00D16F1F" w:rsidRDefault="00EB1BAC" w:rsidP="00EB1BAC">
      <w:pPr>
        <w:pStyle w:val="NormalHanging12a"/>
      </w:pPr>
      <w:r w:rsidRPr="00D16F1F">
        <w:t>4.</w:t>
      </w:r>
      <w:r w:rsidRPr="00D16F1F">
        <w:tab/>
        <w:t xml:space="preserve">признава необходимостта от укрепване на европейската отбранителна индустриална база; подчертава, че политиката в областта на конкуренцията трябва да гарантира справедлив достъп за МСП и да предотвратява прекомерната </w:t>
      </w:r>
      <w:r w:rsidRPr="00D16F1F">
        <w:lastRenderedPageBreak/>
        <w:t>концентрация във веригите на доставки в областта на отбраната, която би могла да намали устойчивостта и да увеличи зависимостта; подчертава значението на намаляването на разходите за енергия, за да се запази конкурентоспособността на ЕС, насърчаването на диверсификацията на източници като ядрената енергия, посочена в доклада на Драги, като същевременно се гарантира, че отворения, конкурентоспособен и устойчив единен пазар е балансиран със сигурност на доставките и увеличена енергийна автономност на ЕС;</w:t>
      </w:r>
    </w:p>
    <w:p w14:paraId="6D364C54" w14:textId="77777777" w:rsidR="00EB1BAC" w:rsidRPr="00D16F1F" w:rsidRDefault="00EB1BAC" w:rsidP="00EB1BAC">
      <w:pPr>
        <w:pStyle w:val="NormalHanging12a"/>
      </w:pPr>
      <w:r w:rsidRPr="00D16F1F">
        <w:t>5.</w:t>
      </w:r>
      <w:r w:rsidRPr="00D16F1F">
        <w:tab/>
        <w:t>отново изтъква основната роля на МСП за укрепване на европейската конкурентоспособност, насърчаване на иновациите и създаване на работни места; призовава Комисията да гарантира, че при прилагането на правилата в областта на конкуренцията и цифровите политики се взема предвид тяхното въздействие върху МСП;</w:t>
      </w:r>
    </w:p>
    <w:p w14:paraId="571B1BF0" w14:textId="0EB5BFB1" w:rsidR="00EB1BAC" w:rsidRPr="00D16F1F" w:rsidRDefault="00EB1BAC" w:rsidP="00EB1BAC">
      <w:pPr>
        <w:pStyle w:val="NormalHanging12a"/>
      </w:pPr>
      <w:r w:rsidRPr="00D16F1F">
        <w:t>6.</w:t>
      </w:r>
      <w:r w:rsidRPr="00D16F1F">
        <w:tab/>
        <w:t>подчертава значението на намаляването на разходите за енергия, за да се запази конкурентоспособността на ЕС, като се насърчават енергийните източници с нулеви нетни емисии в съответствие с Делегирания акт</w:t>
      </w:r>
      <w:r w:rsidR="00516108">
        <w:rPr>
          <w:rStyle w:val="FootnoteReference"/>
        </w:rPr>
        <w:footnoteReference w:id="12"/>
      </w:r>
      <w:r w:rsidRPr="00D16F1F">
        <w:t xml:space="preserve"> за климата по Регламента за таксономията и Допълнителния делегиран акт</w:t>
      </w:r>
      <w:r w:rsidR="00516108">
        <w:rPr>
          <w:rStyle w:val="FootnoteReference"/>
        </w:rPr>
        <w:footnoteReference w:id="13"/>
      </w:r>
      <w:r w:rsidRPr="00D16F1F">
        <w:t xml:space="preserve"> за климата по Регламента за таксономията, като същевременно се гарантира, че един отворен, конкурентоспособен и устойчив единен пазар е балансиран със сигурността на доставките и повишената енергийна автономност на ЕС; подчертава, че справедливите, добре функциониращи, конкурентни, интегрирани и взаимосвързани пазари на електроенергия са от съществено значение за укрепване на съществено значение за конкурентоспособността на промишлеността на ЕС и за поддържането на по-стабилни и достъпни цени на енергията; подчертава значението на ефективното прилагане на правилата за конкуренция в областта на енергийната инфраструктура и достъпа до мрежата, за да се осигурява правилното функциониране на единния пазар, да бъде гарантирано справедливо ценообразуване и да бъде оказвана по-добра защита на потребителите;</w:t>
      </w:r>
    </w:p>
    <w:p w14:paraId="460BB5E8" w14:textId="45CF7E1A" w:rsidR="00EB1BAC" w:rsidRPr="00D16F1F" w:rsidRDefault="00EB1BAC" w:rsidP="00EB1BAC">
      <w:pPr>
        <w:pStyle w:val="NormalHanging12a"/>
      </w:pPr>
      <w:r w:rsidRPr="00D16F1F">
        <w:t>7.</w:t>
      </w:r>
      <w:r w:rsidRPr="00D16F1F">
        <w:tab/>
        <w:t xml:space="preserve">отбелязва стратегическата роля на суровините от критично значение за енергийния преход и целите на Законодателния акт за суровините от критично </w:t>
      </w:r>
      <w:r w:rsidRPr="00D16F1F">
        <w:lastRenderedPageBreak/>
        <w:t>значение</w:t>
      </w:r>
      <w:r w:rsidR="00516108">
        <w:rPr>
          <w:rStyle w:val="FootnoteReference"/>
        </w:rPr>
        <w:footnoteReference w:id="14"/>
      </w:r>
      <w:r w:rsidRPr="00D16F1F">
        <w:t xml:space="preserve"> за намаляване на геополитическите зависимости и укрепване на устойчивостта на веригата на доставки и призовава политиката в областта на конкуренцията да подкрепя конкурентните пазари по цялата верига за създаване на стойност и общоевропейските инвестиции;</w:t>
      </w:r>
    </w:p>
    <w:p w14:paraId="4A4E5874" w14:textId="77777777" w:rsidR="00EB1BAC" w:rsidRPr="00D16F1F" w:rsidRDefault="00EB1BAC" w:rsidP="00EB1BAC">
      <w:pPr>
        <w:pStyle w:val="NormalHanging12a"/>
      </w:pPr>
      <w:r w:rsidRPr="00D16F1F">
        <w:t>8.</w:t>
      </w:r>
      <w:r w:rsidRPr="00D16F1F">
        <w:tab/>
        <w:t>подчертава ключовата роля на конкуренцията за създаването на алтернативи на цифровия пазар и за намаляването на зависимостта от и господстващото положение на доставчици извън ЕС; насърчава изграждането на ключова инфраструктура за засилване на автономността и иновациите на Европа, включително услуги „в облак“, инфраструктура за ИИ (центрове за данни и свързаност), инфраструктура на финансовите пазари и устойчиви, оперативно съвместими и конкурентни европейски платежни системи, за да бъдат гарантирани отворени и „оспорими“ (достъпни) пазари и за да бъдат намалявани стратегическите зависимости; отбелязва променящите се бизнес практики и пазарни структури, както и потенциалните нови форми на вредно поведение, като например негласни тайни споразумения и алгоритмични тайни споразумения относно цените, и подчертава необходимостта от привеждане на приоритетите в областта на правоприлагането в съответствие с тази променяща се среда, подкрепени от основани на данни анализи и доказателства;</w:t>
      </w:r>
    </w:p>
    <w:p w14:paraId="3AA42572" w14:textId="77777777" w:rsidR="00EB1BAC" w:rsidRPr="00D16F1F" w:rsidRDefault="00EB1BAC" w:rsidP="00EB1BAC">
      <w:pPr>
        <w:pStyle w:val="NormalHanging12a"/>
      </w:pPr>
      <w:r w:rsidRPr="00D16F1F">
        <w:t>9.</w:t>
      </w:r>
      <w:r w:rsidRPr="00D16F1F">
        <w:tab/>
        <w:t>призовава за еднакви условия на конкуренция в стратегическите сектори и за това ЕС да използва всички налични инструменти, включително Регламента за чуждестранните субсидии (РЧС), правилата за обществените поръчки и надеждна рамка за преглед на сливанията, за да се гарантира, че дружествата от ЕС могат да се конкурират въз основа на качествата си и че участниците на пазара от трети държави не са облагодетелствани от чуждестранни държавни субсидии; подчертава значението на укрепването на устойчивостта, диверсификацията и сигурността на европейските вериги на доставки в стратегически сектори, като се насърчават европейските способности и решения, когато е целесъобразно, без да се излагат на риск отворените пазари;</w:t>
      </w:r>
    </w:p>
    <w:p w14:paraId="463D4EF2" w14:textId="77777777" w:rsidR="00EB1BAC" w:rsidRPr="00D16F1F" w:rsidRDefault="00EB1BAC" w:rsidP="00EB1BAC">
      <w:pPr>
        <w:pStyle w:val="NormalHanging12a"/>
      </w:pPr>
      <w:r w:rsidRPr="00D16F1F">
        <w:t>10.</w:t>
      </w:r>
      <w:r w:rsidRPr="00D16F1F">
        <w:tab/>
        <w:t>подчертава, че органите за защита на конкуренцията се нуждаят от подобряване на достъпността на данните, за да се гарантира ефективно прилагане на правилата в областта на конкуренцията; подчертава, че е важно да се подобри събирането на данни, да се улесни достъпът на националните органи за защита на конкуренцията до данни за обществените поръчки и да се укрепят механизмите за разкриване на измами при прилагането от тяхна страна на политиката в областта на конкуренцията; освен това призовава органите за защита на конкуренцията да насърчават опростени процедури, да повишават прозрачността и да подобряват достъпа до пазара за нововъзникващите МСП;</w:t>
      </w:r>
    </w:p>
    <w:p w14:paraId="390A6D29" w14:textId="77777777" w:rsidR="00EB1BAC" w:rsidRPr="00D16F1F" w:rsidRDefault="00EB1BAC" w:rsidP="00EB1BAC">
      <w:pPr>
        <w:pStyle w:val="NormalHanging12a"/>
      </w:pPr>
      <w:r w:rsidRPr="00D16F1F">
        <w:t>11.</w:t>
      </w:r>
      <w:r w:rsidRPr="00D16F1F">
        <w:tab/>
        <w:t xml:space="preserve">подчертава значението на важните проекти от общоевропейски интерес (ВПОИ) за финансирането на големи стратегически проекти на ЕС; призовава Комисията да рационализира и опрости процедурите за уведомленията за ВПОИ, тъй като те са обременяващи, по-специално за МСП, да гарантира пропорционалност, да </w:t>
      </w:r>
      <w:r w:rsidRPr="00D16F1F">
        <w:lastRenderedPageBreak/>
        <w:t>предоставя ясни и предсказуеми критерии за допустимост и да повишава прозрачността и правната сигурност по време на целия процес на оценка;</w:t>
      </w:r>
    </w:p>
    <w:p w14:paraId="600A902A" w14:textId="77777777" w:rsidR="00EB1BAC" w:rsidRPr="00D16F1F" w:rsidRDefault="00EB1BAC" w:rsidP="00EB1BAC">
      <w:pPr>
        <w:pStyle w:val="NormalHanging12a"/>
      </w:pPr>
      <w:r w:rsidRPr="00D16F1F">
        <w:t>12.</w:t>
      </w:r>
      <w:r w:rsidRPr="00D16F1F">
        <w:tab/>
        <w:t>приветства прилагането на РЧС като необходим инструмент за създаване на еднакви условия на конкуренция и справяне с нарушенията на пазара, причинени от чуждестранни субсидии; приветства насоките, съдържащи се РЧС; поддържа становището, че държавната помощ, която не е разрешена съгласно Договорите на ЕС, не следва да бъде разрешена и от държави извън ЕС; призовава за стриктна оценка на нарушенията на конкуренцията чрез РЧС и подобаващ скрининг на преките чуждестранни инвестиции, наред с традиционните инструменти за търговска защита; призовава Комисията да засили прилагането на РЧС по отношение на онлайн платформите и местата за търговия, установени в държави извън ЕС; призовава Комисията да гарантира, че МСП и по-малките сделки не са непропорционално обременени от задълженията за спазване на РЧС;</w:t>
      </w:r>
    </w:p>
    <w:p w14:paraId="10498609" w14:textId="77777777" w:rsidR="00EB1BAC" w:rsidRPr="00D16F1F" w:rsidRDefault="00EB1BAC" w:rsidP="00EB1BAC">
      <w:pPr>
        <w:pStyle w:val="NormalHanging12a"/>
      </w:pPr>
      <w:r w:rsidRPr="00D16F1F">
        <w:t>13.</w:t>
      </w:r>
      <w:r w:rsidRPr="00D16F1F">
        <w:tab/>
        <w:t>подчертава, че според последното проучване на Евробарометър и проучването на ЕС след европейските избори през 2024 г. респондентите очакват Съюзът да отдава приоритет на справянето с инфлацията, нарастващите цени и разходите за живот; подчертава, че гарантирането на лоялна и ефективна конкуренция е важен елемент за справяне с тези предизвикателства и поради това следва да остане приоритет в рамките на политиката в областта на конкуренцията;</w:t>
      </w:r>
    </w:p>
    <w:p w14:paraId="6FA7B486" w14:textId="77777777" w:rsidR="00EB1BAC" w:rsidRPr="00D16F1F" w:rsidRDefault="00EB1BAC" w:rsidP="00EB1BAC">
      <w:pPr>
        <w:pStyle w:val="NormalHanging12a"/>
      </w:pPr>
      <w:r w:rsidRPr="00D16F1F">
        <w:t>14.</w:t>
      </w:r>
      <w:r w:rsidRPr="00D16F1F">
        <w:tab/>
        <w:t>подчертава, че строгото и последователно прилагане на политиката в областта на конкуренцията допринася за укрепването на икономическото, социалното и териториалното сближаване в целия ЕС и неговите най-отдалечени региони; отбелязва, че продължават да се наблюдават икономически и инфраструктурни разлики между вътрешните, селските, периферните, най-отдалечените и островните региони, и призовава Комисията да отчита териториалното въздействие на решенията в областта на конкуренцията с цел насърчаване на подходящи политики на сближаване, които съпътстват развитието на единния пазар, като същевременно се гарантира еднакво прилагане на правилата, свързани с конкуренцията;</w:t>
      </w:r>
    </w:p>
    <w:p w14:paraId="0FC56DCC" w14:textId="18EBB58E" w:rsidR="00EB1BAC" w:rsidRPr="00D16F1F" w:rsidRDefault="00EB1BAC" w:rsidP="00EB1BAC">
      <w:pPr>
        <w:pStyle w:val="NormalHanging12a"/>
      </w:pPr>
      <w:r w:rsidRPr="00D16F1F">
        <w:t>15.</w:t>
      </w:r>
      <w:r w:rsidRPr="00D16F1F">
        <w:tab/>
        <w:t>приветства подписването на Споразумението</w:t>
      </w:r>
      <w:r w:rsidR="00516108">
        <w:rPr>
          <w:rStyle w:val="FootnoteReference"/>
        </w:rPr>
        <w:footnoteReference w:id="15"/>
      </w:r>
      <w:r w:rsidRPr="00D16F1F">
        <w:t xml:space="preserve"> за сътрудничество в областта на конкуренцията между ЕС и Обединеното кралство, което е ключова стъпка за засилване на координацията между съответните органи за защита на конкуренцията;</w:t>
      </w:r>
    </w:p>
    <w:p w14:paraId="2411DAFE" w14:textId="77777777" w:rsidR="00EB1BAC" w:rsidRPr="00D16F1F" w:rsidRDefault="00EB1BAC" w:rsidP="00EB1BAC">
      <w:pPr>
        <w:pStyle w:val="Normal12a"/>
      </w:pPr>
      <w:r w:rsidRPr="00D16F1F">
        <w:rPr>
          <w:b/>
          <w:i/>
        </w:rPr>
        <w:t>По-независимо и по-ефективно прилагане на законодателството на ЕС в областта на конкуренцията</w:t>
      </w:r>
    </w:p>
    <w:p w14:paraId="5C0AF85F" w14:textId="77777777" w:rsidR="00EB1BAC" w:rsidRPr="00D16F1F" w:rsidRDefault="00EB1BAC" w:rsidP="00EB1BAC">
      <w:pPr>
        <w:pStyle w:val="NormalHanging12a"/>
      </w:pPr>
      <w:r w:rsidRPr="00D16F1F">
        <w:t>16.</w:t>
      </w:r>
      <w:r w:rsidRPr="00D16F1F">
        <w:tab/>
        <w:t>призовава Комисията да проучи възможностите за укрепване на независимостта на правоприлагането от страна на ЕС във връзка с конкуренцията;</w:t>
      </w:r>
    </w:p>
    <w:p w14:paraId="2BE733E6" w14:textId="77777777" w:rsidR="00EB1BAC" w:rsidRPr="00D16F1F" w:rsidRDefault="00EB1BAC" w:rsidP="00EB1BAC">
      <w:pPr>
        <w:pStyle w:val="NormalHanging12a"/>
      </w:pPr>
      <w:r w:rsidRPr="00D16F1F">
        <w:lastRenderedPageBreak/>
        <w:t>17.</w:t>
      </w:r>
      <w:r w:rsidRPr="00D16F1F">
        <w:tab/>
        <w:t>подчертава, че засилването на съществуващия капацитет за правоприлагане е от съществено значение в краткосрочен план; призовава Комисията да гарантира в спешен порядък, че нейната Генерална дирекция „Конкуренция“ разполага с достатъчно персонал с необходимите ресурси и технически експертен опит, за да прилага ефективно антитръстовото законодателство, Законодателния акт за цифровите пазари (DMA) и правилата за сливанията;</w:t>
      </w:r>
    </w:p>
    <w:p w14:paraId="5FBEBACC" w14:textId="77777777" w:rsidR="00EB1BAC" w:rsidRPr="00D16F1F" w:rsidRDefault="00EB1BAC" w:rsidP="00EB1BAC">
      <w:pPr>
        <w:pStyle w:val="NormalHanging12a"/>
      </w:pPr>
      <w:r w:rsidRPr="00D16F1F">
        <w:t>18.</w:t>
      </w:r>
      <w:r w:rsidRPr="00D16F1F">
        <w:tab/>
        <w:t>подчертава значението на това прилагането на правилата в областта на конкуренцията да се извършва по безпристрастен, политически независим начин; призовава Комисията да представи оценка на въздействието относно предимствата от създаване на специален орган на ЕС за защита на конкуренцията, като проучи субсидиарността, подходящото разграничение между конкуренция и регулаторни функции, демократичната отчетност пред Парламента и евентуалните последици за европейската мрежа по конкуренция (ЕМК); подчертава необходимостта от подходящ персонал, експертен опит и правомощия;</w:t>
      </w:r>
    </w:p>
    <w:p w14:paraId="3310FF73" w14:textId="77777777" w:rsidR="00EB1BAC" w:rsidRPr="00D16F1F" w:rsidRDefault="00EB1BAC" w:rsidP="00EB1BAC">
      <w:pPr>
        <w:pStyle w:val="Normal12a"/>
      </w:pPr>
      <w:r w:rsidRPr="00D16F1F">
        <w:rPr>
          <w:b/>
          <w:i/>
        </w:rPr>
        <w:t>Конкуренция в цифровата ера и прилагане на Законодателния акт за цифровите пазари (DMA ) на фона на глобалните предизвикателства</w:t>
      </w:r>
    </w:p>
    <w:p w14:paraId="2E24A25D" w14:textId="77777777" w:rsidR="00EB1BAC" w:rsidRPr="00D16F1F" w:rsidRDefault="00EB1BAC" w:rsidP="00EB1BAC">
      <w:pPr>
        <w:pStyle w:val="NormalHanging12a"/>
      </w:pPr>
      <w:r w:rsidRPr="00D16F1F">
        <w:t>19.</w:t>
      </w:r>
      <w:r w:rsidRPr="00D16F1F">
        <w:tab/>
        <w:t>настоятелно призовава Комисията да прилага изцяло нормативната уредба на ЕС в областта на конкуренцията, включително DMA, по последователен, безпристрастен и солиден от правна гледна точка начин, за да защитава регулаторната автономност на Европа срещу политически натиск; отбелязва със загриженост външния натиск, свързан с Акта за цифровите пазари, и предупреждава за външна намеса;</w:t>
      </w:r>
    </w:p>
    <w:p w14:paraId="4E759D7B" w14:textId="77777777" w:rsidR="00EB1BAC" w:rsidRPr="00D16F1F" w:rsidRDefault="00EB1BAC" w:rsidP="00EB1BAC">
      <w:pPr>
        <w:pStyle w:val="NormalHanging12a"/>
      </w:pPr>
      <w:r w:rsidRPr="00D16F1F">
        <w:t>20.</w:t>
      </w:r>
      <w:r w:rsidRPr="00D16F1F">
        <w:tab/>
        <w:t>подчертава, че ефективно прилагане може да бъде постигнато само ако правилата за справяне със злоупотребата с господстващо положение (член 102 от ДФЕС) и Законодателният акт за цифровите пазари работят заедно, като съчетават предварителни и последващи подходи; призовава Комисията да рационализира и да формулира по-добре нормативната уредба в областта на конкуренцията и цифровите технологии;</w:t>
      </w:r>
    </w:p>
    <w:p w14:paraId="11274D68" w14:textId="77777777" w:rsidR="00EB1BAC" w:rsidRPr="00D16F1F" w:rsidRDefault="00EB1BAC" w:rsidP="00EB1BAC">
      <w:pPr>
        <w:pStyle w:val="NormalHanging12a"/>
      </w:pPr>
      <w:r w:rsidRPr="00D16F1F">
        <w:t>21.</w:t>
      </w:r>
      <w:r w:rsidRPr="00D16F1F">
        <w:tab/>
        <w:t>приветства публикуването на 28 април 2026 г. на доклада на Комисията относно прегледа на Акта за цифровите пазари; отбелязва заключението на Комисията в този първи преглед на Законодателния акт за цифровите пазари, че той е пригоден за целта и не е необходимо да бъде изменян на този етап, въпреки че в него се определят конкретни области на внимание в бъдеще, а именно ИИ и услугите за изчисления в облак, като същевременно се подчертава, че Законодателният акт за цифровите пазари не следва да се разглежда изолирано, когато става въпрос за регулаторни инструменти, насочени към обхващане на веригата за създаване на стойност в областта на ИИ или изчисленията в облак;</w:t>
      </w:r>
    </w:p>
    <w:p w14:paraId="2BD13A77" w14:textId="77777777" w:rsidR="00EB1BAC" w:rsidRPr="00D16F1F" w:rsidRDefault="00EB1BAC" w:rsidP="00EB1BAC">
      <w:pPr>
        <w:pStyle w:val="NormalHanging12a"/>
      </w:pPr>
      <w:r w:rsidRPr="00D16F1F">
        <w:t>22.</w:t>
      </w:r>
      <w:r w:rsidRPr="00D16F1F">
        <w:tab/>
        <w:t xml:space="preserve">призовава процесът на преглед на Законодателния акт за цифровите пазари, който се очаква да се извършва на всеки три години, да бъде прозрачен, основан на доказателства, пропорционален, целенасочен и амбициозен, като същевременно се гарантира регулаторна стабилност и се избягва ненужното разширяване на задълженията за участниците на пазара; настоява при периодичния преглед на DMA на всеки три години да бъдат оценявани систематично ефективността и практическото въздействие на съществуващите задължения, правната сигурност </w:t>
      </w:r>
      <w:r w:rsidRPr="00D16F1F">
        <w:lastRenderedPageBreak/>
        <w:t>за участниците на пазара, разходите за привеждане в съответствие, взаимодействието на Акта за цифровите пазари със специфичното за сектора регулиране, както и необходимостта от корекции на праговете за определяне на пазачи на информационния вход в контекста на развитието на пазара; призовава Комисията да включва систематично МСП в консултациите във връзка с прегледа на Акта за цифровите пазари;</w:t>
      </w:r>
    </w:p>
    <w:p w14:paraId="14BCBD1A" w14:textId="1BAE246C" w:rsidR="00EB1BAC" w:rsidRPr="00D16F1F" w:rsidRDefault="00EB1BAC" w:rsidP="00EB1BAC">
      <w:pPr>
        <w:pStyle w:val="NormalHanging12a"/>
      </w:pPr>
      <w:r w:rsidRPr="00D16F1F">
        <w:t>23.</w:t>
      </w:r>
      <w:r w:rsidRPr="00D16F1F">
        <w:tab/>
        <w:t xml:space="preserve">подчертава, че нарастващата концентрация в услугите „в облак“ може да подкопае конкуренцията, иновациите и стратегическата автономност на ЕС; подчертава, че практики като пакетните продажби, пазарите на услуги „в облак“ и договорните механизми, включително кредитите и ангажиментите за изразходване на средства, могат да засилят зависимостта от определен доставчик и да ограничат смяната на доставчика или многооблачните стратегии; подчертава, че задълженията, свързани с облачни услуги, трябва да бъдат актуализирани; отбелязва, че </w:t>
      </w:r>
      <w:r w:rsidR="006F2283" w:rsidRPr="006F2283">
        <w:t>след пазарните</w:t>
      </w:r>
      <w:r w:rsidRPr="00D16F1F">
        <w:t xml:space="preserve"> проучвания на услуги за изчисления в облак</w:t>
      </w:r>
      <w:r w:rsidR="006F2283" w:rsidRPr="006F2283">
        <w:t>, започнати</w:t>
      </w:r>
      <w:r w:rsidRPr="00D16F1F">
        <w:t xml:space="preserve"> през ноември 2025 г., </w:t>
      </w:r>
      <w:r w:rsidR="006F2283" w:rsidRPr="006F2283">
        <w:t xml:space="preserve">Комисията публикува предварителната си позиция на 25 юни 2026 г., като заяви, че </w:t>
      </w:r>
      <w:r w:rsidRPr="00D16F1F">
        <w:t xml:space="preserve">Microsoft </w:t>
      </w:r>
      <w:proofErr w:type="spellStart"/>
      <w:r w:rsidRPr="00D16F1F">
        <w:t>Azure</w:t>
      </w:r>
      <w:proofErr w:type="spellEnd"/>
      <w:r w:rsidRPr="00D16F1F">
        <w:t xml:space="preserve"> и </w:t>
      </w:r>
      <w:proofErr w:type="spellStart"/>
      <w:r w:rsidRPr="00D16F1F">
        <w:t>Amazon</w:t>
      </w:r>
      <w:proofErr w:type="spellEnd"/>
      <w:r w:rsidRPr="00D16F1F">
        <w:t xml:space="preserve"> </w:t>
      </w:r>
      <w:proofErr w:type="spellStart"/>
      <w:r w:rsidRPr="00D16F1F">
        <w:t>Web</w:t>
      </w:r>
      <w:proofErr w:type="spellEnd"/>
      <w:r w:rsidRPr="00D16F1F">
        <w:t xml:space="preserve"> Services следва да бъдат определени за контролиращи достъпа предприятия за услуги за изчисления в облак</w:t>
      </w:r>
      <w:r w:rsidR="006F2283">
        <w:rPr>
          <w:rStyle w:val="FootnoteReference"/>
        </w:rPr>
        <w:footnoteReference w:id="16"/>
      </w:r>
      <w:r w:rsidRPr="00D16F1F">
        <w:t xml:space="preserve">, </w:t>
      </w:r>
      <w:r w:rsidR="006F2283">
        <w:t>докато нейното проучване</w:t>
      </w:r>
      <w:r w:rsidRPr="00D16F1F">
        <w:t xml:space="preserve"> дали Актът за цифровите пазари може ефективно да се справя с практиките, които могат да ограничават конкурентоспособността и справедливостта при услугите за изчисления в облак</w:t>
      </w:r>
      <w:r w:rsidR="006F2283">
        <w:t xml:space="preserve"> </w:t>
      </w:r>
      <w:r w:rsidR="006F2283" w:rsidRPr="006F2283">
        <w:t>все още не е завършено</w:t>
      </w:r>
      <w:r w:rsidR="00516108">
        <w:rPr>
          <w:rStyle w:val="FootnoteReference"/>
        </w:rPr>
        <w:footnoteReference w:id="17"/>
      </w:r>
      <w:r w:rsidRPr="00D16F1F">
        <w:t>; призовава Комисията да използва проучването на пазара на услуги „в облак“, за да коригира задълженията по Акта за цифровите пазари и да гарантира, че с тях ефективно се преодоляват пречките, които възпрепятстват ползвателите да сменят доставчиците;</w:t>
      </w:r>
    </w:p>
    <w:p w14:paraId="27AF4811" w14:textId="77777777" w:rsidR="00EB1BAC" w:rsidRPr="00D16F1F" w:rsidRDefault="00EB1BAC" w:rsidP="00EB1BAC">
      <w:pPr>
        <w:pStyle w:val="NormalHanging12a"/>
      </w:pPr>
      <w:r w:rsidRPr="00D16F1F">
        <w:t>24.</w:t>
      </w:r>
      <w:r w:rsidRPr="00D16F1F">
        <w:tab/>
        <w:t>припомня, че прилагането на Законодателния акт за цифровите пазари все още не е оптимално; подкрепя по-строгото прилагане на Законодателния акт за цифровите пазари по отношение на всички участници на пазара, които попадат в обхвата на неговото регулиране, независимо от тяхната националност, и насърчава Комисията да приключи започнатите разследвания в рамките на сроковете, предвидени в Законодателния акт за цифровите пазари; отбелязва, че ефективното прилагане на Законодателния акт за цифровите пазари изисква подходящи и устойчиви ресурси; призовава Комисията и бюджетните органи да гарантират, че за прилагането на Акта за цифровите пазари биват отпускани адекватни и стабилни ресурси чрез бюджета на ЕС; поради това призовава за проучване на устойчиви финансови решения, като същевременно се зачита институционалният баланс, по-специално за въвеждане на „такса за Законодателния акт за цифровите пазари“, подобна на таксата по линия на Законодателния акт за цифровите услуги;</w:t>
      </w:r>
    </w:p>
    <w:p w14:paraId="0A6C81CE" w14:textId="77777777" w:rsidR="00EB1BAC" w:rsidRPr="00D16F1F" w:rsidRDefault="00EB1BAC" w:rsidP="00EB1BAC">
      <w:pPr>
        <w:pStyle w:val="NormalHanging12a"/>
      </w:pPr>
      <w:r w:rsidRPr="00D16F1F">
        <w:t>25.</w:t>
      </w:r>
      <w:r w:rsidRPr="00D16F1F">
        <w:tab/>
        <w:t xml:space="preserve">призовава Комисията да използва пълноценно и проактивно всички инструменти за правоприлагане, предвидени в Акта за цифровите пазари, включително по-нататъшните пазарни разследвания, производствата за установяване на неизпълнение на задължения, инспекциите, временните мерки, глобите и </w:t>
      </w:r>
      <w:r w:rsidRPr="00D16F1F">
        <w:lastRenderedPageBreak/>
        <w:t>периодичните имуществени санкции, за да се предотврати заобикалянето и да се гарантира ефективно спазване;</w:t>
      </w:r>
    </w:p>
    <w:p w14:paraId="7FBC7634" w14:textId="77777777" w:rsidR="00EB1BAC" w:rsidRPr="00D16F1F" w:rsidRDefault="00EB1BAC" w:rsidP="00EB1BAC">
      <w:pPr>
        <w:pStyle w:val="NormalHanging12a"/>
      </w:pPr>
      <w:r w:rsidRPr="00D16F1F">
        <w:t>26.</w:t>
      </w:r>
      <w:r w:rsidRPr="00D16F1F">
        <w:tab/>
        <w:t>признава съществуването на правно основание за структурни корективни мерки срещу злоупотребата с господстващо положение на пазара; съзнава, че правилата на ЕС в областта на конкуренцията предвиждат, че структурните корективни мерки следва да се използват само в краен случай, ако поведенческите мерки са се доказали като неефективни, но въпреки това изразява съжаление във връзка с нежеланието на Комисията да се справи с господстващото положение на пазара чрез структурни мерки;</w:t>
      </w:r>
    </w:p>
    <w:p w14:paraId="7C0F95D5" w14:textId="77777777" w:rsidR="00EB1BAC" w:rsidRPr="00D16F1F" w:rsidRDefault="00EB1BAC" w:rsidP="00EB1BAC">
      <w:pPr>
        <w:pStyle w:val="NormalHanging12a"/>
      </w:pPr>
      <w:r w:rsidRPr="00D16F1F">
        <w:t>27.</w:t>
      </w:r>
      <w:r w:rsidRPr="00D16F1F">
        <w:tab/>
        <w:t xml:space="preserve">приветства признаването от страна на Комисията в нейния първи преглед на Законодателния акт за цифровите пазари, че инструментите за адаптиране към бъдещето, включени от </w:t>
      </w:r>
      <w:proofErr w:type="spellStart"/>
      <w:r w:rsidRPr="00D16F1F">
        <w:t>съзаконодателите</w:t>
      </w:r>
      <w:proofErr w:type="spellEnd"/>
      <w:r w:rsidRPr="00D16F1F">
        <w:t>, са от решаващо значение, за да се даде възможност на рамката да реагира на развитието на пазарите и технологиите; ето защо призовава Комисията да гарантира последователно и ориентирано към бъдещето прилагане на Акта за цифровите пазари по отношение на технологичното развитие чрез своевременно предприемане на мерки във връзка с използващите ИИ услуги и инфраструктури, основани на технологии „в облак“, за да бъдат предотвратявани нови форми на зависимост, блокиране или практики на контролиране на достъпа, включително когато контролиращите достъпа предприятия упражняват контрол върху данните, компютърните ресурси или интегрираните услуги в ущърб на нововъзникващите разработчици на ИИ и иновативните участници на пазара;</w:t>
      </w:r>
    </w:p>
    <w:p w14:paraId="7CF410C6" w14:textId="77777777" w:rsidR="00EB1BAC" w:rsidRPr="00D16F1F" w:rsidRDefault="00EB1BAC" w:rsidP="00EB1BAC">
      <w:pPr>
        <w:pStyle w:val="NormalHanging12a"/>
      </w:pPr>
      <w:r w:rsidRPr="00D16F1F">
        <w:t>28.</w:t>
      </w:r>
      <w:r w:rsidRPr="00D16F1F">
        <w:tab/>
        <w:t xml:space="preserve">Приветства факта, че Комисията вече наблюдава внедряването на инструменти с ИИ в рамките на определени основни платформени услуги съгласно Акта за цифровите пазари; отбелязва, че в първия си преглед на Акта за цифровите пазари Комисията докладва, че по отношение на услугите с ИИ е започнала да разглежда различни въпроси, свързани със справедливостта и достъпността, които са били на видно място в обществената консултация, например чрез регулаторния си диалог с пазачите на информационния вход, за да се гарантира, че настройките по подразбиране могат лесно да бъдат променяни и че услугите с ИИ имат равен достъп до операционните системи; отбелязва, че през януари 2026 г. са образувани две производства за уточняване във връзка с </w:t>
      </w:r>
      <w:proofErr w:type="spellStart"/>
      <w:r w:rsidRPr="00D16F1F">
        <w:t>Alphabet</w:t>
      </w:r>
      <w:proofErr w:type="spellEnd"/>
      <w:r w:rsidRPr="00D16F1F">
        <w:t xml:space="preserve">, които също имат измерение, свързано с ИИ, свързано с оперативната съвместимост и достъпа до данни за търсене; призовава Комисията да разработи и приложи нови теории за вредите, за да се справи с по-нататъшното „окопаване“ на заварените оператори и да оцени, в рамките на предстоящия преглед на Акта за цифровите пазари, дали настоящият списък на основните платформени услуги отразява адекватно пазарните реалности, включително в области като моделите на ИИ, </w:t>
      </w:r>
      <w:proofErr w:type="spellStart"/>
      <w:r w:rsidRPr="00D16F1F">
        <w:t>чатботовете</w:t>
      </w:r>
      <w:proofErr w:type="spellEnd"/>
      <w:r w:rsidRPr="00D16F1F">
        <w:t xml:space="preserve"> с ИИ и услугите в облак, основните услуги за виртуални асистенти и операционните системи за свързана телевизия; призовава Комисията да включва МСП, стартиращите предприятия, промишлените сдружения, академичните експерти и организациите на потребителите във всички държави членки в консултациите относно прегледа на Акта за цифровите пазари;</w:t>
      </w:r>
    </w:p>
    <w:p w14:paraId="3A347AA2" w14:textId="77777777" w:rsidR="00EB1BAC" w:rsidRPr="00D16F1F" w:rsidRDefault="00EB1BAC" w:rsidP="00EB1BAC">
      <w:pPr>
        <w:pStyle w:val="NormalHanging12a"/>
      </w:pPr>
      <w:r w:rsidRPr="00D16F1F">
        <w:t>29.</w:t>
      </w:r>
      <w:r w:rsidRPr="00D16F1F">
        <w:tab/>
        <w:t xml:space="preserve">подчертава, че прилагането на Акта за цифровите пазари се прилага за всички определени пазачи на информационния вход, независимо от тяхната националност или произход, и призовава Комисията да прилага последователно задълженията по Акта за цифровите пазари; приветства координацията между </w:t>
      </w:r>
      <w:r w:rsidRPr="00D16F1F">
        <w:lastRenderedPageBreak/>
        <w:t>Комисията и националните органи за защита на конкуренцията относно поведението, свързано с Акта за цифровите пазари; настоятелно призовава Комисията да предприема съответно решителни действия;</w:t>
      </w:r>
    </w:p>
    <w:p w14:paraId="0A5178B0" w14:textId="0E2F569A" w:rsidR="00EB1BAC" w:rsidRPr="00D16F1F" w:rsidRDefault="00EB1BAC" w:rsidP="00EB1BAC">
      <w:pPr>
        <w:pStyle w:val="NormalHanging12a"/>
      </w:pPr>
      <w:r w:rsidRPr="00D16F1F">
        <w:t>30.</w:t>
      </w:r>
      <w:r w:rsidRPr="00D16F1F">
        <w:tab/>
        <w:t>призовава Комисията да проучи, в контекста на прилагането на Директивата за цифровия единен пазар</w:t>
      </w:r>
      <w:r w:rsidR="00516108">
        <w:rPr>
          <w:rStyle w:val="FootnoteReference"/>
        </w:rPr>
        <w:footnoteReference w:id="18"/>
      </w:r>
      <w:r w:rsidRPr="00D16F1F">
        <w:t>, евентуалните злоупотреби от страна на пазачите на информационния вход съгласно Акта за цифровите пазари в преговорите им с издателите на публикации в пресата, по-специално да проучи дали при тези преговори се спазват задълженията за справедливи, разумни и недискриминационни условия, като се гарантира справедливо възнаграждение, прозрачни условия и недискриминационен достъп до онлайн аудитория;</w:t>
      </w:r>
    </w:p>
    <w:p w14:paraId="728FB7A0" w14:textId="77777777" w:rsidR="00EB1BAC" w:rsidRPr="00D16F1F" w:rsidRDefault="00EB1BAC" w:rsidP="00EB1BAC">
      <w:pPr>
        <w:pStyle w:val="NormalHanging12a"/>
      </w:pPr>
      <w:r w:rsidRPr="00D16F1F">
        <w:t>31.</w:t>
      </w:r>
      <w:r w:rsidRPr="00D16F1F">
        <w:tab/>
        <w:t>призовава Комисията да използва пълноценно член 13 от Акта за цифровите пазари, за да се справя с всяко заобикаляне от страна на пазачите на информационния вход на техните задължения съгласно членове 5 и 6 от DMA;</w:t>
      </w:r>
    </w:p>
    <w:p w14:paraId="0E845E1A" w14:textId="77777777" w:rsidR="00EB1BAC" w:rsidRPr="00D16F1F" w:rsidRDefault="00EB1BAC" w:rsidP="00EB1BAC">
      <w:pPr>
        <w:pStyle w:val="Normal12a"/>
      </w:pPr>
      <w:r w:rsidRPr="00D16F1F">
        <w:rPr>
          <w:b/>
          <w:i/>
        </w:rPr>
        <w:t>Антитръстови мерки</w:t>
      </w:r>
    </w:p>
    <w:p w14:paraId="071AD15B" w14:textId="618B84D9" w:rsidR="00EB1BAC" w:rsidRPr="00D16F1F" w:rsidRDefault="00EB1BAC" w:rsidP="00EB1BAC">
      <w:pPr>
        <w:pStyle w:val="NormalHanging12a"/>
      </w:pPr>
      <w:r w:rsidRPr="00D16F1F">
        <w:t>32.</w:t>
      </w:r>
      <w:r w:rsidRPr="00D16F1F">
        <w:tab/>
        <w:t>настоятелно призовава Комисията да използва по подходящ начин междинни мерки, за да спира всякакви практики, които вредят на конкуренцията, особено на бързо развиващите се цифрови пазари; призовава Комисията да модернизира Регламент (ЕО) № 1/2003</w:t>
      </w:r>
      <w:r w:rsidR="00FD775D">
        <w:t xml:space="preserve"> на Съвета</w:t>
      </w:r>
      <w:r w:rsidR="00516108">
        <w:rPr>
          <w:rStyle w:val="FootnoteReference"/>
        </w:rPr>
        <w:footnoteReference w:id="19"/>
      </w:r>
      <w:r w:rsidRPr="00D16F1F">
        <w:t xml:space="preserve"> и Регламент (ЕО) № 773/2004 на Комисията</w:t>
      </w:r>
      <w:r w:rsidR="00516108">
        <w:rPr>
          <w:rStyle w:val="FootnoteReference"/>
        </w:rPr>
        <w:footnoteReference w:id="20"/>
      </w:r>
      <w:r w:rsidRPr="00D16F1F">
        <w:t>, за да се подобри ефективността, правната сигурност и пропорционалността на прилагането на антитръстовото законодателство на ЕС; подкрепя изясняването на рамката за временни мерки в случаи на сериозни и непоправими вреди за конкуренцията при подходящи гаранции за справедлив съдебен процес;</w:t>
      </w:r>
    </w:p>
    <w:p w14:paraId="2ADE5598" w14:textId="77777777" w:rsidR="00EB1BAC" w:rsidRPr="00D16F1F" w:rsidRDefault="00EB1BAC" w:rsidP="00EB1BAC">
      <w:pPr>
        <w:pStyle w:val="NormalHanging12a"/>
      </w:pPr>
      <w:r w:rsidRPr="00D16F1F">
        <w:t>33.</w:t>
      </w:r>
      <w:r w:rsidRPr="00D16F1F">
        <w:tab/>
        <w:t>призовава Комисията да се занимава с прекомерно дългите антитръстови разследвания; призовава за обвързващи процесуални срокове за антитръстовите разследвания, за да се предотвратяват неоправдани забавяния, които вредят на правната сигурност и правото на защита;</w:t>
      </w:r>
    </w:p>
    <w:p w14:paraId="2E867146" w14:textId="77777777" w:rsidR="00EB1BAC" w:rsidRPr="00D16F1F" w:rsidRDefault="00EB1BAC" w:rsidP="00EB1BAC">
      <w:pPr>
        <w:pStyle w:val="NormalHanging12a"/>
      </w:pPr>
      <w:r w:rsidRPr="00D16F1F">
        <w:t>34.</w:t>
      </w:r>
      <w:r w:rsidRPr="00D16F1F">
        <w:tab/>
        <w:t>настоятелно призовава Комисията да проведе всеобхватно проучване относно възпиращия ефект на своите глоби; настоява, че санкциите трябва да бъдат достатъчно високи, за да надхвърлят незаконната икономическа полза, извлечена от нарушението;</w:t>
      </w:r>
    </w:p>
    <w:p w14:paraId="76B46816" w14:textId="1D76BD14" w:rsidR="00EB1BAC" w:rsidRPr="00D16F1F" w:rsidRDefault="00EB1BAC" w:rsidP="00EB1BAC">
      <w:pPr>
        <w:pStyle w:val="NormalHanging12a"/>
      </w:pPr>
      <w:r w:rsidRPr="00D16F1F">
        <w:t>35.</w:t>
      </w:r>
      <w:r w:rsidRPr="00D16F1F">
        <w:tab/>
        <w:t xml:space="preserve">подчертава значението на ефективните искове за обезщетение за вреди като допълнение към прилагането на антитръстовите правила от страна на публичните органи, като се гарантира, че пострадалите от нарушения на членове 101 и 102 от </w:t>
      </w:r>
      <w:r w:rsidRPr="00D16F1F">
        <w:lastRenderedPageBreak/>
        <w:t>ДФЕС могат да получат пълно обезщетение; призовава Комисията и държавите членки да гарантират ефективното прилагане на Директивата относно исковете за обезщетение за вреди при нарушаване на антитръстовите правила</w:t>
      </w:r>
      <w:r w:rsidR="00516108">
        <w:rPr>
          <w:rStyle w:val="FootnoteReference"/>
        </w:rPr>
        <w:footnoteReference w:id="21"/>
      </w:r>
      <w:r w:rsidRPr="00D16F1F">
        <w:t xml:space="preserve"> и да премахнат оставащите пречки пред прилагането от страна на частноправни субекти;</w:t>
      </w:r>
    </w:p>
    <w:p w14:paraId="020A1626" w14:textId="075E3415" w:rsidR="00EB1BAC" w:rsidRPr="00D16F1F" w:rsidRDefault="00EB1BAC" w:rsidP="00EB1BAC">
      <w:pPr>
        <w:pStyle w:val="NormalHanging12a"/>
      </w:pPr>
      <w:r w:rsidRPr="00D16F1F">
        <w:t>36.</w:t>
      </w:r>
      <w:r w:rsidRPr="00D16F1F">
        <w:tab/>
        <w:t>отново потвърждава необходимостта от силно и ефективно сътрудничество между Комисията и НОЗК в рамките на ЕМК, както и със съответните частни и публични заинтересовани страни и организации на потребителите; подчертава, че националните органи за защита на конкуренцията трябва да останат политически независими и обезпечени с подходящи ресурси и че Директивата за ЕМК +</w:t>
      </w:r>
      <w:r w:rsidR="00516108">
        <w:rPr>
          <w:rStyle w:val="FootnoteReference"/>
        </w:rPr>
        <w:footnoteReference w:id="22"/>
      </w:r>
      <w:r w:rsidRPr="00D16F1F">
        <w:t xml:space="preserve"> следва да бъде изцяло и последователно транспонирана и прилагана във всички държави членки; призовава за засилено сближаване на стандартите за правоприлагане, своевременен обмен на информация и ясно разпределение на компетентностите, за да се избягват дублиращи се производства; подчертава, че ЕМК трябва да премине към напълно интегрирана форма на сътрудничество с цел повишаване на ефективността на разходите и подобряване на разглеждането на трансграничните аспекти, включително чрез предоставяне на възможност за съвместни разследвания и съвместно вземане на решения; призовава ЕМК да продължи да насочва дружествата, по-специално МСП, при прилагането на нормативната уредба в областта на конкуренцията;</w:t>
      </w:r>
    </w:p>
    <w:p w14:paraId="5800508C" w14:textId="77777777" w:rsidR="00EB1BAC" w:rsidRPr="00D16F1F" w:rsidRDefault="00EB1BAC" w:rsidP="00EB1BAC">
      <w:pPr>
        <w:pStyle w:val="NormalHanging12a"/>
      </w:pPr>
      <w:r w:rsidRPr="00D16F1F">
        <w:t>37.</w:t>
      </w:r>
      <w:r w:rsidRPr="00D16F1F">
        <w:tab/>
        <w:t>призовава Комисията и НОЗК да създадат леснодостъпни и благоприятни за МСП механизми за подаване на жалби за антиконкурентни практики, като се гарантира бързото и ефективно разглеждане на случаите;</w:t>
      </w:r>
    </w:p>
    <w:p w14:paraId="1F1EF32A" w14:textId="597CC6A9" w:rsidR="00EB1BAC" w:rsidRPr="00D16F1F" w:rsidRDefault="00EB1BAC" w:rsidP="00EB1BAC">
      <w:pPr>
        <w:pStyle w:val="NormalHanging12a"/>
      </w:pPr>
      <w:r w:rsidRPr="00D16F1F">
        <w:t>38.</w:t>
      </w:r>
      <w:r w:rsidRPr="00D16F1F">
        <w:tab/>
        <w:t xml:space="preserve">отбелязва текущите разследвания на дружества извън ЕС, включително предварителното разследване на Комисията относно таксите на </w:t>
      </w:r>
      <w:proofErr w:type="spellStart"/>
      <w:r w:rsidRPr="00D16F1F">
        <w:t>Visa</w:t>
      </w:r>
      <w:proofErr w:type="spellEnd"/>
      <w:r w:rsidRPr="00D16F1F">
        <w:t xml:space="preserve"> и </w:t>
      </w:r>
      <w:proofErr w:type="spellStart"/>
      <w:r w:rsidRPr="00D16F1F">
        <w:t>Mastercard</w:t>
      </w:r>
      <w:proofErr w:type="spellEnd"/>
      <w:r w:rsidRPr="00D16F1F">
        <w:t>; призовава Комисията да гарантира, че пазарът на плащанията продължава да бъде конкурентен, прозрачен и достъпен за потребителите и предприятията; подчертава необходимостта от преразглеждане на Регламента относно обменните такси</w:t>
      </w:r>
      <w:r w:rsidR="00516108">
        <w:rPr>
          <w:rStyle w:val="FootnoteReference"/>
        </w:rPr>
        <w:footnoteReference w:id="23"/>
      </w:r>
      <w:r w:rsidRPr="00D16F1F">
        <w:t xml:space="preserve">, за да се направи оценка на неговата ефективност за справяне с нарастващите такси; призовава Комисията да приключи без ненужно забавяне текущите разследвания в сектора на плащанията; подчертава, че цифровото евро е ключова възможност за намаляване на прекомерното разчитане на свързани с карти схеми извън ЕС и за укрепване на конкуренцията и стратегическата автономност на ЕС в сектора на плащанията, включително чрез подпомагане на </w:t>
      </w:r>
      <w:r w:rsidRPr="00D16F1F">
        <w:lastRenderedPageBreak/>
        <w:t>осигуряването на по-конкурентни ценови условия за предприятията, по-специално МСП;</w:t>
      </w:r>
    </w:p>
    <w:p w14:paraId="016356BF" w14:textId="40789DA0" w:rsidR="00EB1BAC" w:rsidRPr="00D16F1F" w:rsidRDefault="00EB1BAC" w:rsidP="00EB1BAC">
      <w:pPr>
        <w:pStyle w:val="NormalHanging12a"/>
      </w:pPr>
      <w:r w:rsidRPr="00D16F1F">
        <w:t>39.</w:t>
      </w:r>
      <w:r w:rsidRPr="00D16F1F">
        <w:tab/>
        <w:t>подчертава значението на конкуренцията в банковия сектор и завършването на банковия съюз; призовава Комисията да използва всички налични инструменти, за да гарантира лоялна конкуренция и да наблюдава тенденциите в банковия сектор по време на периоди на висока инфлация; подчертава значението и неотложността на предстоящия доклад на Комисията относно конкурентоспособността на банковия сектор на ЕС и очаква Комисията да приеме доклада до юли 2026 г.; приветства освен това предстоящата оценка на функционирането на Директива 2002/87/ЕО</w:t>
      </w:r>
      <w:r w:rsidR="00516108">
        <w:rPr>
          <w:rStyle w:val="FootnoteReference"/>
        </w:rPr>
        <w:footnoteReference w:id="24"/>
      </w:r>
      <w:r w:rsidRPr="00D16F1F">
        <w:t xml:space="preserve"> и Директивата „Платежоспособност II“</w:t>
      </w:r>
      <w:r w:rsidR="00516108">
        <w:rPr>
          <w:rStyle w:val="FootnoteReference"/>
        </w:rPr>
        <w:footnoteReference w:id="25"/>
      </w:r>
      <w:r w:rsidRPr="00D16F1F">
        <w:t xml:space="preserve"> по отношение на аспектите, свързани с еднаквите условия на конкуренция между участниците на застрахователния и банковия пазар;</w:t>
      </w:r>
    </w:p>
    <w:p w14:paraId="5B03919C" w14:textId="77777777" w:rsidR="00EB1BAC" w:rsidRPr="00D16F1F" w:rsidRDefault="00EB1BAC" w:rsidP="00EB1BAC">
      <w:pPr>
        <w:pStyle w:val="NormalHanging12a"/>
      </w:pPr>
      <w:r w:rsidRPr="00D16F1F">
        <w:t>40.</w:t>
      </w:r>
      <w:r w:rsidRPr="00D16F1F">
        <w:tab/>
        <w:t xml:space="preserve">отбелязва съществуването на </w:t>
      </w:r>
      <w:proofErr w:type="spellStart"/>
      <w:r w:rsidRPr="00D16F1F">
        <w:t>олигополи</w:t>
      </w:r>
      <w:proofErr w:type="spellEnd"/>
      <w:r w:rsidRPr="00D16F1F">
        <w:t xml:space="preserve"> при предоставянето на определени услуги, които са от решаващо за участниците на финансовите пазари в ЕС, като например доставчици на агрегирани услуги на пазара и доставчици на услуги за свързаност, които се характеризират с ограничен брой доставчици, значителни трудности при преминаването от един доставчик към друг или асиметрична ценова мощ в полза на доставчика, което в крайна сметка „надува“ разходите за инвеститорите; отбелязва освен това, че трите най-големи агенции за кредитен рейтинг и четирите най-големи дружества на пазара на одиторски услуги все още притежават пазарни дялове от над 90%; настоятелно призовава Комисията да проучи съществуващите </w:t>
      </w:r>
      <w:proofErr w:type="spellStart"/>
      <w:r w:rsidRPr="00D16F1F">
        <w:t>олигополи</w:t>
      </w:r>
      <w:proofErr w:type="spellEnd"/>
      <w:r w:rsidRPr="00D16F1F">
        <w:t xml:space="preserve"> и да предприеме подходящи мерки в полза на конкуренцията в ЕС;</w:t>
      </w:r>
    </w:p>
    <w:p w14:paraId="32F5FEAB" w14:textId="77777777" w:rsidR="00EB1BAC" w:rsidRPr="00D16F1F" w:rsidRDefault="00EB1BAC" w:rsidP="00EB1BAC">
      <w:pPr>
        <w:pStyle w:val="NormalHanging12a"/>
      </w:pPr>
      <w:r w:rsidRPr="00D16F1F">
        <w:t>41.</w:t>
      </w:r>
      <w:r w:rsidRPr="00D16F1F">
        <w:tab/>
        <w:t xml:space="preserve">припомня, че Европейската централна банка отбеляза, че цените на храните остават високи, като това засяга по-специално уязвимите потребители; изразява загриженост във връзка с високата пазарна концентрация на определени равнища от веригата на доставки на селскостопански и хранителни продукти; настоятелно призовава Комисията да направи оценка на мащаба и въздействието на обединенията за изкупуване и да анализира допълнително тяхното въздействие не само върху цените, но и върху способността на земеделските стопани и производителите на селскостопански хранителни продукти да осигуряват здравословни, безопасни и устойчиви продукти за потребителите; приканва Комисията да прецени дали са необходими допълнителни насоки относно прилагането на член 102 от ДФЕС относно злоупотребите с цел експлоатация, включително прекомерни или несправедливи цени, за да се подобри правната </w:t>
      </w:r>
      <w:r w:rsidRPr="00D16F1F">
        <w:lastRenderedPageBreak/>
        <w:t>сигурност и да се направи правоприлагането по-ефективно на силно концентрираните потребителски пазари;</w:t>
      </w:r>
    </w:p>
    <w:p w14:paraId="2237A1C4" w14:textId="77777777" w:rsidR="00EB1BAC" w:rsidRPr="00D16F1F" w:rsidRDefault="00EB1BAC" w:rsidP="00EB1BAC">
      <w:pPr>
        <w:pStyle w:val="Normal12a"/>
      </w:pPr>
      <w:r w:rsidRPr="00D16F1F">
        <w:rPr>
          <w:b/>
          <w:i/>
        </w:rPr>
        <w:t>Контрол върху сливанията</w:t>
      </w:r>
    </w:p>
    <w:p w14:paraId="4B45A628" w14:textId="77777777" w:rsidR="00EB1BAC" w:rsidRPr="00D16F1F" w:rsidRDefault="00EB1BAC" w:rsidP="00EB1BAC">
      <w:pPr>
        <w:pStyle w:val="NormalHanging12a"/>
      </w:pPr>
      <w:r w:rsidRPr="00D16F1F">
        <w:t>42.</w:t>
      </w:r>
      <w:r w:rsidRPr="00D16F1F">
        <w:tab/>
        <w:t>подчертава, че в Европа липсват големи дружества, способни да се конкурират на световния пазар в много на брой ключови стратегически области; счита, че разрастването в рамките на единния пазар е стратегическа повеля на ЕС за мобилизиране на инвестиции, стимулиране на конкурентоспособността, инвестиране в иновации и даване на възможност на дружествата от ЕС да се конкурират ефективно на световните пазари, както се подчертава в доклада на Лета; подчертава, че завършването на единния пазар и премахването на вътрешните пречки продължават да бъдат ключови приоритети в това отношение; отбелязва, че структурните пречки пред разрастването в рамките на ЕС могат да доведат до придобиването на иновативни европейски предприятия от участници извън ЕС с евентуално отрицателно въздействие върху дългосрочната конкуренция и капацитета за иновации в ЕС; счита, че контролът върху сливанията следва да отчита изцяло способността на дружествата от ЕС да инвестират в иновации;</w:t>
      </w:r>
    </w:p>
    <w:p w14:paraId="4A043116" w14:textId="77777777" w:rsidR="00EB1BAC" w:rsidRPr="00D16F1F" w:rsidRDefault="00EB1BAC" w:rsidP="00EB1BAC">
      <w:pPr>
        <w:pStyle w:val="NormalHanging12a"/>
      </w:pPr>
      <w:r w:rsidRPr="00D16F1F">
        <w:t>43.</w:t>
      </w:r>
      <w:r w:rsidRPr="00D16F1F">
        <w:tab/>
        <w:t>счита, че политиката в областта на конкуренцията следва да не създава ненужни пречки за дружествата, които трябва да се разрастват, за да се конкурират в световен мащаб, като същевременно отбелязва, че не всички дружества от ЕС се нуждаят от разрастване; подчертава, че ЕС процъфтява в условията на жизненоважната връзка между големите и малките предприятия; счита, че конкурентният мащаб следва да произтича преди всичко от лоялната конкуренция, надеждното прилагане на антитръстовото законодателство и задълбочаването на единния пазар, които са в основата на социалната пазарна икономика на ЕС и продължават да бъдат истинският двигател за иновации;</w:t>
      </w:r>
    </w:p>
    <w:p w14:paraId="1DDBE9B1" w14:textId="77777777" w:rsidR="00EB1BAC" w:rsidRPr="00D16F1F" w:rsidRDefault="00EB1BAC" w:rsidP="00EB1BAC">
      <w:pPr>
        <w:pStyle w:val="NormalHanging12a"/>
      </w:pPr>
      <w:r w:rsidRPr="00D16F1F">
        <w:t>44.</w:t>
      </w:r>
      <w:r w:rsidRPr="00D16F1F">
        <w:tab/>
        <w:t>призовава Комисията да прилага динамично политиката в областта на сливанията въз основа на икономическа и правна оценка, като анализира изцяло концепцията за благосъстоянието на потребителите при оценката на конкуренцията, и да разглежда по-широките икономически последици от сливанията, да адаптира политиката към новите пазарни реалности, включително цифровите екосистеми, ИИ, енергетиката и отбраната, и да анализира последиците от концентрациите в дългосрочен план, като възприеме ориентиран към бъдещето подход; насърчава Комисията да продължи да наблюдава развитието на пазарната мощ в Европа, включително въздействието на сливанията върху устойчивостта, иновациите и дългосрочната издръжливост;</w:t>
      </w:r>
    </w:p>
    <w:p w14:paraId="18A0F6D5" w14:textId="77777777" w:rsidR="00EB1BAC" w:rsidRPr="00D16F1F" w:rsidRDefault="00EB1BAC" w:rsidP="00EB1BAC">
      <w:pPr>
        <w:pStyle w:val="NormalHanging12a"/>
      </w:pPr>
      <w:r w:rsidRPr="00D16F1F">
        <w:t>45.</w:t>
      </w:r>
      <w:r w:rsidRPr="00D16F1F">
        <w:tab/>
        <w:t xml:space="preserve">призовава за амбициозно и основано на доказателства преразглеждане на насоките на ЕС за сливанията, така че те да бъдат по-добре съгласувани с новите пазарни реалности и приоритетите на ЕС за насърчаване на по-устойчива и конкурентоспособна Европа, като същевременно продължава да се гарантира високо равнище на благосъстояние на потребителите; настоява, че въпреки че продължава да се основава на анализа на конкуренцията и да защитава ефективната конкуренция на националните пазари и в рамките на единния пазар, контролът върху сливанията следва да оценява общоевропейските сливания по ориентиран към бъдещето начин и да гарантира, че всяка консолидация, създаваща „шампиони на ЕС“, повишава благосъстоянието на потребителите, </w:t>
      </w:r>
      <w:r w:rsidRPr="00D16F1F">
        <w:lastRenderedPageBreak/>
        <w:t>достъпността на пазара и дългосрочната устойчивост, особено в ключови сектори като телекомуникациите, банковото дело, плащанията, отбраната и енергетиката; призовава новите насоки за контрол върху сливанията да гарантират правна сигурност за предприятията при създаването на общоевропейски участници, насърчаващи разрастването в полза на конкуренцията, като същевременно се гарантира, че националните правомощия за намеса, включително правомощията за налагане на вето, се използват само в надлежно обосновани и пропорционални случаи;</w:t>
      </w:r>
    </w:p>
    <w:p w14:paraId="722A0073" w14:textId="77777777" w:rsidR="00EB1BAC" w:rsidRPr="00D16F1F" w:rsidRDefault="00EB1BAC" w:rsidP="00EB1BAC">
      <w:pPr>
        <w:pStyle w:val="NormalHanging12a"/>
      </w:pPr>
      <w:r w:rsidRPr="00D16F1F">
        <w:t>46.</w:t>
      </w:r>
      <w:r w:rsidRPr="00D16F1F">
        <w:tab/>
        <w:t>призовава Комисията да възприеме ориентиран към бъдещето и динамичен подход към сливанията, като взема предвид повишаването на ефективността, включително например икономиите от мащаба и повишаването на устойчивостта, на възможно най-ранен етап от процедурата, като същевременно гарантира прозрачност и предсказуемост и позволява на дружествата да създават съюзи, когато допринасят за иновациите, устойчивостта спрямо изменението на климата и сигурността, и като отразява подход към оценката на пазарната мощ и специфичните за сектора реалности, който надхвърля цените и пазарните дялове и включва също така въздействието върху заплатите и условията на заетост;</w:t>
      </w:r>
    </w:p>
    <w:p w14:paraId="50602906" w14:textId="77777777" w:rsidR="00EB1BAC" w:rsidRPr="00D16F1F" w:rsidRDefault="00EB1BAC" w:rsidP="00EB1BAC">
      <w:pPr>
        <w:pStyle w:val="NormalHanging12a"/>
      </w:pPr>
      <w:r w:rsidRPr="00D16F1F">
        <w:t>47.</w:t>
      </w:r>
      <w:r w:rsidRPr="00D16F1F">
        <w:tab/>
        <w:t xml:space="preserve">припомня, че конкуренцията гарантира избора на потребителите, пазарно многообразие и достъпни цени; отбелязва решението от страна на акционерите на Warner Bros. </w:t>
      </w:r>
      <w:proofErr w:type="spellStart"/>
      <w:r w:rsidRPr="00D16F1F">
        <w:t>Discovery</w:t>
      </w:r>
      <w:proofErr w:type="spellEnd"/>
      <w:r w:rsidRPr="00D16F1F">
        <w:t xml:space="preserve"> от 23 април 2026 г., с което се одобрява споразумението за сливане с </w:t>
      </w:r>
      <w:proofErr w:type="spellStart"/>
      <w:r w:rsidRPr="00D16F1F">
        <w:t>Paramount</w:t>
      </w:r>
      <w:proofErr w:type="spellEnd"/>
      <w:r w:rsidRPr="00D16F1F">
        <w:t xml:space="preserve"> </w:t>
      </w:r>
      <w:proofErr w:type="spellStart"/>
      <w:r w:rsidRPr="00D16F1F">
        <w:t>Skydance</w:t>
      </w:r>
      <w:proofErr w:type="spellEnd"/>
      <w:r w:rsidRPr="00D16F1F">
        <w:t>; призовава Комисията да прилага строг контрол върху сливанията в аудио-визуалния и медийния сектор, като наблюдава въздействието на консолидирането на пазара на единния пазар и дава възможност на участниците от ЕС да се разрастват;</w:t>
      </w:r>
    </w:p>
    <w:p w14:paraId="14129EBA" w14:textId="77777777" w:rsidR="00EB1BAC" w:rsidRPr="00D16F1F" w:rsidRDefault="00EB1BAC" w:rsidP="00EB1BAC">
      <w:pPr>
        <w:pStyle w:val="NormalHanging12a"/>
      </w:pPr>
      <w:r w:rsidRPr="00D16F1F">
        <w:t>48.</w:t>
      </w:r>
      <w:r w:rsidRPr="00D16F1F">
        <w:tab/>
        <w:t xml:space="preserve">отбелязва, че от 2000 г. насам онлайн платформите, които попадат в обхвата на Акта за цифровите пазари, са придобили почти 700 по-малки дружества, като само за 19 от тези сделки Комисията е била уведомена, тъй като повечето от тях са били под основаните на оборота прагове за уведомяване; призовава Комисията да разкрива „придобивания убийци“ (т.е. когато дадено дружество придобива контрол върху иновативно дружество, за да го премахне като възможен източник на бъдеща конкуренция) и да адаптира регулаторната дейност с цел предотвратяване на подобни придобивания, особено в цифровия сектор, ИИ, фармацевтичния и други стратегически сектори; изказва твърдението, че в случай на преразглеждане към Регламента на ЕС за сливанията следва да бъде добавено правно основание за единния пазар, така че </w:t>
      </w:r>
      <w:proofErr w:type="spellStart"/>
      <w:r w:rsidRPr="00D16F1F">
        <w:t>съзаконодателите</w:t>
      </w:r>
      <w:proofErr w:type="spellEnd"/>
      <w:r w:rsidRPr="00D16F1F">
        <w:t xml:space="preserve"> да участват пълноценно, по начин, подобен на този в Акта за цифровите пазари; настоятелно призовава държавите членки да предоставят на националните органи за защита на конкуренцията правомощия за „преглед и проверка“, така че те да могат да извършват преглед на сливанията и придобиванията, ако това още не се е случило, като същевременно се гарантира правната сигурност и се избягва прехвърлянето на неоправдана тежест върху МСП и стартиращите предприятия;</w:t>
      </w:r>
    </w:p>
    <w:p w14:paraId="29600D5A" w14:textId="77777777" w:rsidR="00EB1BAC" w:rsidRPr="00D16F1F" w:rsidRDefault="00EB1BAC" w:rsidP="00EB1BAC">
      <w:pPr>
        <w:pStyle w:val="NormalHanging12a"/>
      </w:pPr>
      <w:r w:rsidRPr="00D16F1F">
        <w:t>49.</w:t>
      </w:r>
      <w:r w:rsidRPr="00D16F1F">
        <w:tab/>
        <w:t xml:space="preserve">признава нарастващата тенденция към чуждестранни инвестиции и собственост върху множество клубове в европейския спорт, както и нарастването на динамичното ценообразуване на билетите, и призовава Комисията да взема предвид последиците от това развитие, когато подкрепя усилията за гарантиране на финансовата почтеност и конкурентното равновесие на европейския спорт; призовава Комисията и държавите членки да разглеждат сериозно всички </w:t>
      </w:r>
      <w:r w:rsidRPr="00D16F1F">
        <w:lastRenderedPageBreak/>
        <w:t>регулаторни възможности, включително забраната за динамично ценообразуване по време на спортни и културни прояви на живо в Акта за справедливост в областта на цифровите технологии с цел защита на потребителите и поддържане на социалната и обществената стойност на спорта и културата;</w:t>
      </w:r>
    </w:p>
    <w:p w14:paraId="64ED0FFB" w14:textId="77777777" w:rsidR="00EB1BAC" w:rsidRPr="00D16F1F" w:rsidRDefault="00EB1BAC" w:rsidP="00EB1BAC">
      <w:pPr>
        <w:pStyle w:val="Normal12a"/>
      </w:pPr>
      <w:r w:rsidRPr="00D16F1F">
        <w:rPr>
          <w:b/>
          <w:i/>
        </w:rPr>
        <w:t>Държавни помощи</w:t>
      </w:r>
    </w:p>
    <w:p w14:paraId="758B0BAA" w14:textId="77777777" w:rsidR="00EB1BAC" w:rsidRPr="00D16F1F" w:rsidRDefault="00EB1BAC" w:rsidP="00EB1BAC">
      <w:pPr>
        <w:pStyle w:val="NormalHanging12a"/>
      </w:pPr>
      <w:r w:rsidRPr="00D16F1F">
        <w:t>50.</w:t>
      </w:r>
      <w:r w:rsidRPr="00D16F1F">
        <w:tab/>
        <w:t xml:space="preserve">подчертава необходимостта от задълбочен анализ на правилата за държавна помощ, особено за дружествата, извършващи дейност в стратегически сектори като енергетиката, технологиите и иновациите; подчертава, че е важно да се гарантира ефективността на държавната помощ в селското стопанство, логистиката и транспорта; отбелязва различния фискален капацитет на държавите членки и предупреждава, че разпокъсаната държавна помощ създава </w:t>
      </w:r>
      <w:proofErr w:type="spellStart"/>
      <w:r w:rsidRPr="00D16F1F">
        <w:t>неравнопоставени</w:t>
      </w:r>
      <w:proofErr w:type="spellEnd"/>
      <w:r w:rsidRPr="00D16F1F">
        <w:t xml:space="preserve"> условия на конкуренция, и призовава Комисията да наблюдава тези въздействия; счита, че всяка предоставена държавна помощ следва да бъде в съответствие с правото и принципите на ЕС, включително целите на политиката на ЕС в областта на околната среда и социалната политика;</w:t>
      </w:r>
    </w:p>
    <w:p w14:paraId="724B5FC8" w14:textId="77777777" w:rsidR="00EB1BAC" w:rsidRPr="00D16F1F" w:rsidRDefault="00EB1BAC" w:rsidP="00EB1BAC">
      <w:pPr>
        <w:pStyle w:val="NormalHanging12a"/>
      </w:pPr>
      <w:r w:rsidRPr="00D16F1F">
        <w:t>51.</w:t>
      </w:r>
      <w:r w:rsidRPr="00D16F1F">
        <w:tab/>
        <w:t>приветства Рамката за държавна помощ във връзка с Пакта за чиста промишленост (CISAF); призовава CISAF да се прилага по начин, който е целенасочен и пропорционален, гарантира минимална тежест за държавите членки, предотвратява надпреварата за субсидии и запазва целостта на вътрешния пазар, като същевременно включва силни гаранции за прозрачност, пропорционалност и екологична ефективност;</w:t>
      </w:r>
    </w:p>
    <w:p w14:paraId="50A67291" w14:textId="77777777" w:rsidR="00EB1BAC" w:rsidRPr="00D16F1F" w:rsidRDefault="00EB1BAC" w:rsidP="00EB1BAC">
      <w:pPr>
        <w:pStyle w:val="NormalHanging12a"/>
      </w:pPr>
      <w:r w:rsidRPr="00D16F1F">
        <w:t>52.</w:t>
      </w:r>
      <w:r w:rsidRPr="00D16F1F">
        <w:tab/>
        <w:t>припомня, че временната, целенасочена държавна помощ може да бъде подходяща по време на криза; отново подчертава значението на CISAF за подкрепата на уязвимите сектори в контекста на бързо нарастващите цени на горивата поради настоящата геополитическа ситуация; въпреки това отбелязва констатациите на Европейската сметна палата (Специален доклад № 21/2024), в които се установяват недостатъци в мониторинга на Комисията на държавната помощ по време на криза, и призовава за по-строг мониторинг на уведомленията за държавна помощ от страна на Комисията и за засилено докладване и прозрачност на държавната помощ в съответствие с препоръките на Европейската сметна палата;</w:t>
      </w:r>
    </w:p>
    <w:p w14:paraId="1C8608B5" w14:textId="77777777" w:rsidR="00EB1BAC" w:rsidRPr="00D16F1F" w:rsidRDefault="00EB1BAC" w:rsidP="00EB1BAC">
      <w:pPr>
        <w:pStyle w:val="NormalHanging12a"/>
      </w:pPr>
      <w:r w:rsidRPr="00D16F1F">
        <w:t>53.</w:t>
      </w:r>
      <w:r w:rsidRPr="00D16F1F">
        <w:tab/>
        <w:t xml:space="preserve">отбелязва, че повече от три четвърти от държавната помощ е съсредоточена само в две държави членки, което подчертава рисковете от разпокъсаност и </w:t>
      </w:r>
      <w:proofErr w:type="spellStart"/>
      <w:r w:rsidRPr="00D16F1F">
        <w:t>неравнопоставени</w:t>
      </w:r>
      <w:proofErr w:type="spellEnd"/>
      <w:r w:rsidRPr="00D16F1F">
        <w:t xml:space="preserve"> условия на конкуренция на вътрешния пазар;</w:t>
      </w:r>
    </w:p>
    <w:p w14:paraId="5D08CE09" w14:textId="77777777" w:rsidR="00EB1BAC" w:rsidRPr="00D16F1F" w:rsidRDefault="00EB1BAC" w:rsidP="00EB1BAC">
      <w:pPr>
        <w:pStyle w:val="NormalHanging12a"/>
      </w:pPr>
      <w:r w:rsidRPr="00D16F1F">
        <w:t>54.</w:t>
      </w:r>
      <w:r w:rsidRPr="00D16F1F">
        <w:tab/>
        <w:t xml:space="preserve">подчертава ролята на държавната помощ като инструмент за намаляване на икономическите различия между най-развитите региони и острови на ЕС, вътрешните райони, най-отдалечените региони, икономически </w:t>
      </w:r>
      <w:proofErr w:type="spellStart"/>
      <w:r w:rsidRPr="00D16F1F">
        <w:t>необлагодетелстваните</w:t>
      </w:r>
      <w:proofErr w:type="spellEnd"/>
      <w:r w:rsidRPr="00D16F1F">
        <w:t xml:space="preserve"> зони и всички части на ЕС, засегнати от природни ограничения; призовава за по-голяма гъвкавост и по-малко ограничения за държавната помощ в островните и по-уязвимите региони на ЕС;</w:t>
      </w:r>
    </w:p>
    <w:p w14:paraId="35D517A5" w14:textId="761EB806" w:rsidR="00EB1BAC" w:rsidRPr="00D16F1F" w:rsidRDefault="00EB1BAC" w:rsidP="00EB1BAC">
      <w:pPr>
        <w:pStyle w:val="NormalHanging12a"/>
      </w:pPr>
      <w:r w:rsidRPr="00D16F1F">
        <w:lastRenderedPageBreak/>
        <w:t>55.</w:t>
      </w:r>
      <w:r w:rsidRPr="00D16F1F">
        <w:tab/>
        <w:t>очаква преразглеждането на Общия регламент за групово освобождаване</w:t>
      </w:r>
      <w:r w:rsidR="00516108">
        <w:rPr>
          <w:rStyle w:val="FootnoteReference"/>
        </w:rPr>
        <w:footnoteReference w:id="26"/>
      </w:r>
      <w:r w:rsidRPr="00D16F1F">
        <w:t xml:space="preserve"> да разреши настоящите проблеми по отношение на определението за „предприятие в затруднено положение“ и да модернизира и опрости правилата за държавна помощ, за да се намали бюрокрацията и да се повиши конкурентоспособността на ЕС; приветства започването на общества консултация за събиране на информация относно обхвата и съдържанието на прегледа;</w:t>
      </w:r>
    </w:p>
    <w:p w14:paraId="4AF8EFC1" w14:textId="77777777" w:rsidR="00EB1BAC" w:rsidRPr="00D16F1F" w:rsidRDefault="00EB1BAC" w:rsidP="00EB1BAC">
      <w:pPr>
        <w:pStyle w:val="NormalHanging12a"/>
      </w:pPr>
      <w:r w:rsidRPr="00D16F1F">
        <w:t>56.</w:t>
      </w:r>
      <w:r w:rsidRPr="00D16F1F">
        <w:tab/>
        <w:t>приветства приемането на преразгледаното решение за УОИИ, за да се даде възможност на държавите членки да подкрепят предоставянето на достойни, устойчиви, енергийно ефективни, социално приобщаващи проекти за жилища на достъпни цени, включително за домакинствата със средни доходи; призовава Комисията да следи за прилагането на преразгледаното решение за УОИИ и да преценява дали праговете и условията са достатъчно гъвкави, за да отговарят на нуждите на държавите членки; призовава за опростени процедури за уведомяване за мерки за държавна помощ, свързани с УОИИ, които не представляват значителни рискове за конкуренцията;</w:t>
      </w:r>
    </w:p>
    <w:p w14:paraId="4B129EA6" w14:textId="77777777" w:rsidR="00EB1BAC" w:rsidRPr="00D16F1F" w:rsidRDefault="00EB1BAC" w:rsidP="00EB1BAC">
      <w:pPr>
        <w:pStyle w:val="NormalHanging12a"/>
      </w:pPr>
      <w:r w:rsidRPr="00D16F1F">
        <w:t>57.</w:t>
      </w:r>
      <w:r w:rsidRPr="00D16F1F">
        <w:tab/>
        <w:t>приканва Комисията да направи оценка на въздействието на пазарните концентрации в сектора на недвижимите имоти и свързаните с него пазари, като например строителството и управлението на имоти, за да се гарантира, че ефективната конкуренция спомага за контролиране на цените и подобряване на достъпа до жилища;</w:t>
      </w:r>
    </w:p>
    <w:p w14:paraId="245D107C" w14:textId="15EA54DC" w:rsidR="00EB1BAC" w:rsidRPr="00D16F1F" w:rsidRDefault="00EB1BAC" w:rsidP="00EB1BAC">
      <w:pPr>
        <w:pStyle w:val="NormalHanging12a"/>
      </w:pPr>
      <w:r w:rsidRPr="00D16F1F">
        <w:t>58.</w:t>
      </w:r>
      <w:r w:rsidRPr="00D16F1F">
        <w:tab/>
        <w:t>отбелязва водещото да изкривяване въздействие на агресивното данъчно планиране и на данъчните системи, включително преференциалните данъчни споразумения, върху лоялната конкуренция, тъй като то може да задуши иновациите и да застраши достъпността (</w:t>
      </w:r>
      <w:proofErr w:type="spellStart"/>
      <w:r w:rsidRPr="00D16F1F">
        <w:t>оспоримостта</w:t>
      </w:r>
      <w:proofErr w:type="spellEnd"/>
      <w:r w:rsidRPr="00D16F1F">
        <w:t>) на пазарите, особено за МСП; приветства препоръката на Комисията от 14 юли 2020 г.</w:t>
      </w:r>
      <w:r w:rsidR="00516108">
        <w:rPr>
          <w:rStyle w:val="FootnoteReference"/>
        </w:rPr>
        <w:footnoteReference w:id="27"/>
      </w:r>
      <w:r w:rsidRPr="00D16F1F">
        <w:t xml:space="preserve"> да не се предоставя финансова подкрепа на дружества, имащи връзки с данъчни убежища, като същевременно се защитават честните данъкоплатци; призовава дружествата, установени в държави, включени в приетия от Съвета списък на ЕС на юрисдикциите, </w:t>
      </w:r>
      <w:proofErr w:type="spellStart"/>
      <w:r w:rsidRPr="00D16F1F">
        <w:t>неоказващи</w:t>
      </w:r>
      <w:proofErr w:type="spellEnd"/>
      <w:r w:rsidRPr="00D16F1F">
        <w:t xml:space="preserve"> съдействие за данъчни цели, да бъдат изключени от получаването на държавна помощ и приканва Комисията да прецени дали настоящата рамка допринася за по-широките усилия за борба с агресивното данъчно планиране и практиките на данъчните убежища;</w:t>
      </w:r>
    </w:p>
    <w:p w14:paraId="214E3825" w14:textId="77777777" w:rsidR="00EB1BAC" w:rsidRPr="00D16F1F" w:rsidRDefault="00EB1BAC" w:rsidP="00EB1BAC">
      <w:pPr>
        <w:pStyle w:val="Normal12a"/>
      </w:pPr>
      <w:r w:rsidRPr="00D16F1F">
        <w:rPr>
          <w:b/>
          <w:i/>
        </w:rPr>
        <w:t xml:space="preserve">Парламентарно участие </w:t>
      </w:r>
    </w:p>
    <w:p w14:paraId="50CCA7C6" w14:textId="77777777" w:rsidR="00EB1BAC" w:rsidRPr="00D16F1F" w:rsidRDefault="00EB1BAC" w:rsidP="00EB1BAC">
      <w:pPr>
        <w:pStyle w:val="NormalHanging12a"/>
      </w:pPr>
      <w:r w:rsidRPr="00D16F1F">
        <w:t>59.</w:t>
      </w:r>
      <w:r w:rsidRPr="00D16F1F">
        <w:tab/>
        <w:t xml:space="preserve">изразява съжаление относно липсата на информация, която получава относно преразглеждането и прилагането на правилата в областта на конкуренцията, и подчертава, че Парламентът следва да участва в достатъчна степен в оформянето на политиката в областта на конкуренцията; подчертава освен това </w:t>
      </w:r>
      <w:r w:rsidRPr="00D16F1F">
        <w:lastRenderedPageBreak/>
        <w:t>необходимостта от прозрачност с Парламента относно всички дискусии с държави извън ЕС, които могат да засегнат прилагането на Акта за цифровите пазари;</w:t>
      </w:r>
    </w:p>
    <w:p w14:paraId="564D49F2" w14:textId="77777777" w:rsidR="00EB1BAC" w:rsidRPr="00D16F1F" w:rsidRDefault="00EB1BAC" w:rsidP="00EB1BAC">
      <w:pPr>
        <w:pStyle w:val="NormalHanging12a"/>
      </w:pPr>
      <w:r w:rsidRPr="00D16F1F">
        <w:t>60.</w:t>
      </w:r>
      <w:r w:rsidRPr="00D16F1F">
        <w:tab/>
        <w:t>в този контекст призовава за структуриран и редовен диалог между Комисията и Парламента относно политиката в областта на конкуренцията, включително относно прегледа и прилагането на правилата в областта на конкуренцията; призовава Комисията да предоставя на компетентната комисия на Парламента своевременна и изчерпателна информация относно важни решения за правоприлагане, законодателни предложения и значителни инструменти с незадължителна юридическа сила (инструменти на „мекото право“); призовава за сключването на междуинституционално споразумение за формализиране на ролята на Парламента в надзора на политиката в областта на конкуренцията, включително консултации относно определянето на приоритети за насоки и рамки;</w:t>
      </w:r>
    </w:p>
    <w:p w14:paraId="6E1A9BC8" w14:textId="77777777" w:rsidR="00EB1BAC" w:rsidRPr="00D16F1F" w:rsidRDefault="00EB1BAC" w:rsidP="00EB1BAC">
      <w:pPr>
        <w:pStyle w:val="NormalHanging12a"/>
      </w:pPr>
      <w:r w:rsidRPr="00D16F1F">
        <w:t>61.</w:t>
      </w:r>
      <w:r w:rsidRPr="00D16F1F">
        <w:tab/>
        <w:t>отправя предупреждение срещу прекомерното разчитане на инструменти с незадължителна юридическа сила, като насоки и временни рамки, в които участието на Парламента е ограничено; приканва Европейския съвет да приеме решение съгласно член 48, параграф 7 от Договора за Европейския съюз, с което се разрешава приемането на законодателни актове относно политиката в областта на конкуренцията в съответствие с обикновената законодателна процедура;</w:t>
      </w:r>
    </w:p>
    <w:p w14:paraId="0DD743D1" w14:textId="77777777" w:rsidR="00EB1BAC" w:rsidRPr="00D16F1F" w:rsidRDefault="00EB1BAC" w:rsidP="00EB1BAC">
      <w:pPr>
        <w:pStyle w:val="NormalHanging12a"/>
      </w:pPr>
      <w:r w:rsidRPr="00D16F1F">
        <w:t>62.</w:t>
      </w:r>
      <w:r w:rsidRPr="00D16F1F">
        <w:tab/>
        <w:t>насърчава обмена на най-добри практики в рамките на международни форуми, като например Международната мрежа по конкуренция и Комитета по конкуренция на Организацията за икономическо сътрудничество и развитие; призовава Комисията да се стреми към непрекъснат диалог и сътрудничество на международно равнище, включително чрез споразумения за сътрудничество от второ поколение, които дават възможност за по-ефективен обмен на информация между органите за защита на конкуренцията, като същевременно изразява съжаление, че това не е било преследвано в достатъчна степен в миналото; призовава Комисията да разработи стратегия, чрез която ЕС да поеме водеща роля на международно равнище за насърчаване на ефективна конкуренция;</w:t>
      </w:r>
    </w:p>
    <w:p w14:paraId="16515BA8" w14:textId="77777777" w:rsidR="00EB1BAC" w:rsidRPr="00D16F1F" w:rsidRDefault="00EB1BAC" w:rsidP="00EB1BAC">
      <w:pPr>
        <w:pStyle w:val="NormalCenter12a"/>
      </w:pPr>
      <w:r w:rsidRPr="00D16F1F">
        <w:t>°</w:t>
      </w:r>
    </w:p>
    <w:p w14:paraId="4A35EE62" w14:textId="77777777" w:rsidR="00EB1BAC" w:rsidRPr="00D16F1F" w:rsidRDefault="00EB1BAC" w:rsidP="00EB1BAC">
      <w:pPr>
        <w:pStyle w:val="NormalCenter12a"/>
      </w:pPr>
      <w:r w:rsidRPr="00D16F1F">
        <w:t>°</w:t>
      </w:r>
      <w:r w:rsidRPr="00D16F1F">
        <w:tab/>
        <w:t>°</w:t>
      </w:r>
    </w:p>
    <w:p w14:paraId="120701D7" w14:textId="5863F707" w:rsidR="00D16F1F" w:rsidRPr="00D16F1F" w:rsidRDefault="00EB1BAC" w:rsidP="00D16F1F">
      <w:pPr>
        <w:pStyle w:val="NormalHanging12a"/>
      </w:pPr>
      <w:r w:rsidRPr="00D16F1F">
        <w:t>63.</w:t>
      </w:r>
      <w:r w:rsidRPr="00D16F1F">
        <w:tab/>
        <w:t>възлага на своя председател да предаде настоящата резолюция съответно на Съвета и Комисията.</w:t>
      </w:r>
    </w:p>
    <w:p w14:paraId="2E0E0336" w14:textId="016129A1" w:rsidR="00E365E1" w:rsidRPr="00D16F1F" w:rsidRDefault="00E365E1" w:rsidP="008A6140"/>
    <w:sectPr w:rsidR="00E365E1" w:rsidRPr="00D16F1F" w:rsidSect="00D16F1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C674" w14:textId="77777777" w:rsidR="008A6140" w:rsidRPr="00D16F1F" w:rsidRDefault="008A6140">
      <w:r w:rsidRPr="00D16F1F">
        <w:separator/>
      </w:r>
    </w:p>
  </w:endnote>
  <w:endnote w:type="continuationSeparator" w:id="0">
    <w:p w14:paraId="13E94448" w14:textId="77777777" w:rsidR="008A6140" w:rsidRPr="00D16F1F" w:rsidRDefault="008A6140">
      <w:r w:rsidRPr="00D16F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9AF6" w14:textId="77777777" w:rsidR="00064002" w:rsidRPr="00D16F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AEC4" w14:textId="77777777" w:rsidR="00064002" w:rsidRPr="00D16F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CB75" w14:textId="77777777" w:rsidR="00064002" w:rsidRPr="00D16F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5D23" w14:textId="77777777" w:rsidR="008A6140" w:rsidRPr="00D16F1F" w:rsidRDefault="008A6140">
      <w:r w:rsidRPr="00D16F1F">
        <w:separator/>
      </w:r>
    </w:p>
  </w:footnote>
  <w:footnote w:type="continuationSeparator" w:id="0">
    <w:p w14:paraId="04F41FE3" w14:textId="77777777" w:rsidR="008A6140" w:rsidRPr="00D16F1F" w:rsidRDefault="008A6140">
      <w:r w:rsidRPr="00D16F1F">
        <w:continuationSeparator/>
      </w:r>
    </w:p>
  </w:footnote>
  <w:footnote w:id="1">
    <w:p w14:paraId="320B0209" w14:textId="509CE3F0"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L 265, 12.10.2022 г., стр. 1, ELI: </w:t>
      </w:r>
      <w:hyperlink r:id="rId1" w:tgtFrame="http://data.europa.eu/eli/reg/2022/1925/oj" w:history="1">
        <w:r w:rsidRPr="00D16F1F">
          <w:rPr>
            <w:rStyle w:val="Hyperlink"/>
            <w:sz w:val="24"/>
            <w:lang w:val="bg-BG"/>
          </w:rPr>
          <w:t>http://data.europa.eu/eli/reg/2022/1925/oj</w:t>
        </w:r>
      </w:hyperlink>
      <w:r w:rsidRPr="00D16F1F">
        <w:rPr>
          <w:sz w:val="24"/>
          <w:lang w:val="bg-BG"/>
        </w:rPr>
        <w:t>.</w:t>
      </w:r>
    </w:p>
  </w:footnote>
  <w:footnote w:id="2">
    <w:p w14:paraId="125A8D37" w14:textId="00C2E69F"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L 277, 27.10.2022 г., стр. 1, ELI: </w:t>
      </w:r>
      <w:hyperlink r:id="rId2" w:tgtFrame="http://data.europa.eu/eli/reg/2022/2065/oj" w:history="1">
        <w:r w:rsidRPr="00D16F1F">
          <w:rPr>
            <w:rStyle w:val="Hyperlink"/>
            <w:sz w:val="24"/>
            <w:lang w:val="bg-BG"/>
          </w:rPr>
          <w:t>http://data.europa.eu/eli/reg/2022/2065/oj</w:t>
        </w:r>
      </w:hyperlink>
      <w:r w:rsidRPr="00D16F1F">
        <w:rPr>
          <w:sz w:val="24"/>
          <w:lang w:val="bg-BG"/>
        </w:rPr>
        <w:t>.</w:t>
      </w:r>
    </w:p>
  </w:footnote>
  <w:footnote w:id="3">
    <w:p w14:paraId="29391C7F" w14:textId="56EC6883"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L 24, 29.1.2004 г., стр. 1., ELI: </w:t>
      </w:r>
      <w:hyperlink r:id="rId3" w:tgtFrame="https://eur-lex.europa.eu/legal-content/BG/TXT/?uri=uriserv:OJ.L_.2004.024.01.0001.01.ENG" w:history="1">
        <w:r w:rsidRPr="00D16F1F">
          <w:rPr>
            <w:rStyle w:val="Hyperlink"/>
            <w:sz w:val="24"/>
            <w:lang w:val="bg-BG"/>
          </w:rPr>
          <w:t>http://data.europa.eu/eli/reg/2004/139/oj.</w:t>
        </w:r>
      </w:hyperlink>
    </w:p>
  </w:footnote>
  <w:footnote w:id="4">
    <w:p w14:paraId="7B37A06F" w14:textId="28320244"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OВ C 31, 5.2.2004 г</w:t>
      </w:r>
      <w:r w:rsidR="00F871C7">
        <w:rPr>
          <w:sz w:val="24"/>
          <w:lang w:val="en-GB"/>
        </w:rPr>
        <w:t>.</w:t>
      </w:r>
      <w:r w:rsidRPr="00D16F1F">
        <w:rPr>
          <w:sz w:val="24"/>
          <w:lang w:val="bg-BG"/>
        </w:rPr>
        <w:t>, стр. 5.</w:t>
      </w:r>
    </w:p>
  </w:footnote>
  <w:footnote w:id="5">
    <w:p w14:paraId="1E85D0F2" w14:textId="59174EFB"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ОВ C 265, 18.10.2008 г., стр. 6.</w:t>
      </w:r>
    </w:p>
  </w:footnote>
  <w:footnote w:id="6">
    <w:p w14:paraId="6E55DA64" w14:textId="261CFBDA"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C, C/2026/1472, 9.4.2026 г., ELI: </w:t>
      </w:r>
      <w:hyperlink r:id="rId4" w:tgtFrame="http://data.europa.eu/eli/C/2026/1472/oj" w:history="1">
        <w:r w:rsidRPr="00D16F1F">
          <w:rPr>
            <w:rStyle w:val="Hyperlink"/>
            <w:sz w:val="24"/>
            <w:lang w:val="bg-BG"/>
          </w:rPr>
          <w:t>http://data.europa.eu/eli/C/2026/1472/oj</w:t>
        </w:r>
      </w:hyperlink>
      <w:r w:rsidRPr="00D16F1F">
        <w:rPr>
          <w:sz w:val="24"/>
          <w:lang w:val="bg-BG"/>
        </w:rPr>
        <w:t>.</w:t>
      </w:r>
    </w:p>
  </w:footnote>
  <w:footnote w:id="7">
    <w:p w14:paraId="2D093046" w14:textId="60DF2768"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Европейска комисия, Генерална дирекция „Конкуренция“, </w:t>
      </w:r>
      <w:hyperlink r:id="rId5" w:tgtFrame="https://competition-policy.ec.europa.eu/document/download/53e9348d-4f11-46ef-9098-526e24313ee8_en?filename=kd0125000enn_ex-post_evaluation_antitrust_remedies_study_e-version.pdf" w:history="1">
        <w:r w:rsidRPr="00D16F1F">
          <w:rPr>
            <w:rStyle w:val="Hyperlink"/>
            <w:sz w:val="24"/>
            <w:lang w:val="bg-BG"/>
          </w:rPr>
          <w:t>„</w:t>
        </w:r>
        <w:proofErr w:type="spellStart"/>
      </w:hyperlink>
      <w:hyperlink r:id="rId6" w:tgtFrame="https://competition-policy.ec.europa.eu/document/download/53e9348d-4f11-46ef-9098-526e24313ee8_en?filename=kd0125000enn_ex-post_evaluation_antitrust_remedies_study_e-version.pdf" w:history="1">
        <w:r w:rsidRPr="00D16F1F">
          <w:rPr>
            <w:rStyle w:val="Hyperlink"/>
            <w:i/>
            <w:sz w:val="24"/>
            <w:lang w:val="bg-BG"/>
          </w:rPr>
          <w:t>Ex</w:t>
        </w:r>
        <w:proofErr w:type="spellEnd"/>
        <w:r w:rsidRPr="00D16F1F">
          <w:rPr>
            <w:rStyle w:val="Hyperlink"/>
            <w:i/>
            <w:sz w:val="24"/>
            <w:lang w:val="bg-BG"/>
          </w:rPr>
          <w:t xml:space="preserve"> </w:t>
        </w:r>
        <w:proofErr w:type="spellStart"/>
        <w:r w:rsidRPr="00D16F1F">
          <w:rPr>
            <w:rStyle w:val="Hyperlink"/>
            <w:i/>
            <w:sz w:val="24"/>
            <w:lang w:val="bg-BG"/>
          </w:rPr>
          <w:t>post</w:t>
        </w:r>
        <w:proofErr w:type="spellEnd"/>
        <w:r w:rsidRPr="00D16F1F">
          <w:rPr>
            <w:rStyle w:val="Hyperlink"/>
            <w:i/>
            <w:sz w:val="24"/>
            <w:lang w:val="bg-BG"/>
          </w:rPr>
          <w:t xml:space="preserve"> </w:t>
        </w:r>
        <w:proofErr w:type="spellStart"/>
        <w:r w:rsidRPr="00D16F1F">
          <w:rPr>
            <w:rStyle w:val="Hyperlink"/>
            <w:i/>
            <w:sz w:val="24"/>
            <w:lang w:val="bg-BG"/>
          </w:rPr>
          <w:t>evaluation</w:t>
        </w:r>
        <w:proofErr w:type="spellEnd"/>
        <w:r w:rsidRPr="00D16F1F">
          <w:rPr>
            <w:rStyle w:val="Hyperlink"/>
            <w:i/>
            <w:sz w:val="24"/>
            <w:lang w:val="bg-BG"/>
          </w:rPr>
          <w:t xml:space="preserve"> </w:t>
        </w:r>
        <w:proofErr w:type="spellStart"/>
        <w:r w:rsidRPr="00D16F1F">
          <w:rPr>
            <w:rStyle w:val="Hyperlink"/>
            <w:i/>
            <w:sz w:val="24"/>
            <w:lang w:val="bg-BG"/>
          </w:rPr>
          <w:t>of</w:t>
        </w:r>
        <w:proofErr w:type="spellEnd"/>
        <w:r w:rsidRPr="00D16F1F">
          <w:rPr>
            <w:rStyle w:val="Hyperlink"/>
            <w:i/>
            <w:sz w:val="24"/>
            <w:lang w:val="bg-BG"/>
          </w:rPr>
          <w:t xml:space="preserve"> </w:t>
        </w:r>
        <w:proofErr w:type="spellStart"/>
        <w:r w:rsidRPr="00D16F1F">
          <w:rPr>
            <w:rStyle w:val="Hyperlink"/>
            <w:i/>
            <w:sz w:val="24"/>
            <w:lang w:val="bg-BG"/>
          </w:rPr>
          <w:t>the</w:t>
        </w:r>
        <w:proofErr w:type="spellEnd"/>
        <w:r w:rsidRPr="00D16F1F">
          <w:rPr>
            <w:rStyle w:val="Hyperlink"/>
            <w:i/>
            <w:sz w:val="24"/>
            <w:lang w:val="bg-BG"/>
          </w:rPr>
          <w:t xml:space="preserve"> </w:t>
        </w:r>
        <w:proofErr w:type="spellStart"/>
        <w:r w:rsidRPr="00D16F1F">
          <w:rPr>
            <w:rStyle w:val="Hyperlink"/>
            <w:i/>
            <w:sz w:val="24"/>
            <w:lang w:val="bg-BG"/>
          </w:rPr>
          <w:t>implementation</w:t>
        </w:r>
        <w:proofErr w:type="spellEnd"/>
        <w:r w:rsidRPr="00D16F1F">
          <w:rPr>
            <w:rStyle w:val="Hyperlink"/>
            <w:i/>
            <w:sz w:val="24"/>
            <w:lang w:val="bg-BG"/>
          </w:rPr>
          <w:t xml:space="preserve"> </w:t>
        </w:r>
        <w:proofErr w:type="spellStart"/>
        <w:r w:rsidRPr="00D16F1F">
          <w:rPr>
            <w:rStyle w:val="Hyperlink"/>
            <w:i/>
            <w:sz w:val="24"/>
            <w:lang w:val="bg-BG"/>
          </w:rPr>
          <w:t>and</w:t>
        </w:r>
        <w:proofErr w:type="spellEnd"/>
        <w:r w:rsidRPr="00D16F1F">
          <w:rPr>
            <w:rStyle w:val="Hyperlink"/>
            <w:i/>
            <w:sz w:val="24"/>
            <w:lang w:val="bg-BG"/>
          </w:rPr>
          <w:t xml:space="preserve"> </w:t>
        </w:r>
        <w:proofErr w:type="spellStart"/>
        <w:r w:rsidRPr="00D16F1F">
          <w:rPr>
            <w:rStyle w:val="Hyperlink"/>
            <w:i/>
            <w:sz w:val="24"/>
            <w:lang w:val="bg-BG"/>
          </w:rPr>
          <w:t>effectiveness</w:t>
        </w:r>
        <w:proofErr w:type="spellEnd"/>
        <w:r w:rsidRPr="00D16F1F">
          <w:rPr>
            <w:rStyle w:val="Hyperlink"/>
            <w:i/>
            <w:sz w:val="24"/>
            <w:lang w:val="bg-BG"/>
          </w:rPr>
          <w:t xml:space="preserve"> </w:t>
        </w:r>
        <w:proofErr w:type="spellStart"/>
        <w:r w:rsidRPr="00D16F1F">
          <w:rPr>
            <w:rStyle w:val="Hyperlink"/>
            <w:i/>
            <w:sz w:val="24"/>
            <w:lang w:val="bg-BG"/>
          </w:rPr>
          <w:t>of</w:t>
        </w:r>
        <w:proofErr w:type="spellEnd"/>
        <w:r w:rsidRPr="00D16F1F">
          <w:rPr>
            <w:rStyle w:val="Hyperlink"/>
            <w:i/>
            <w:sz w:val="24"/>
            <w:lang w:val="bg-BG"/>
          </w:rPr>
          <w:t xml:space="preserve"> EU </w:t>
        </w:r>
        <w:proofErr w:type="spellStart"/>
        <w:r w:rsidRPr="00D16F1F">
          <w:rPr>
            <w:rStyle w:val="Hyperlink"/>
            <w:i/>
            <w:sz w:val="24"/>
            <w:lang w:val="bg-BG"/>
          </w:rPr>
          <w:t>antitrust</w:t>
        </w:r>
        <w:proofErr w:type="spellEnd"/>
        <w:r w:rsidRPr="00D16F1F">
          <w:rPr>
            <w:rStyle w:val="Hyperlink"/>
            <w:i/>
            <w:sz w:val="24"/>
            <w:lang w:val="bg-BG"/>
          </w:rPr>
          <w:t xml:space="preserve"> </w:t>
        </w:r>
        <w:proofErr w:type="spellStart"/>
        <w:r w:rsidRPr="00D16F1F">
          <w:rPr>
            <w:rStyle w:val="Hyperlink"/>
            <w:i/>
            <w:sz w:val="24"/>
            <w:lang w:val="bg-BG"/>
          </w:rPr>
          <w:t>remedies</w:t>
        </w:r>
        <w:proofErr w:type="spellEnd"/>
        <w:r w:rsidRPr="00D16F1F">
          <w:rPr>
            <w:rStyle w:val="Hyperlink"/>
            <w:i/>
            <w:sz w:val="24"/>
            <w:lang w:val="bg-BG"/>
          </w:rPr>
          <w:t>“</w:t>
        </w:r>
      </w:hyperlink>
      <w:r w:rsidRPr="00D16F1F">
        <w:rPr>
          <w:sz w:val="24"/>
          <w:lang w:val="bg-BG"/>
        </w:rPr>
        <w:t>(Последваща оценка на прилагането и ефективността на антитръстовите мерки на ЕС), 2025 г.</w:t>
      </w:r>
    </w:p>
  </w:footnote>
  <w:footnote w:id="8">
    <w:p w14:paraId="58A9900A" w14:textId="0A10172C"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L 330, 23.12.2022 г., стр. 1, ELI: </w:t>
      </w:r>
      <w:hyperlink r:id="rId7" w:tgtFrame="http://data.europa.eu/eli/reg/2022/2560/oj" w:history="1">
        <w:r w:rsidRPr="00D16F1F">
          <w:rPr>
            <w:rStyle w:val="Hyperlink"/>
            <w:sz w:val="24"/>
            <w:lang w:val="bg-BG"/>
          </w:rPr>
          <w:t>http://data.europa.eu/eli/reg/2022/2560/oj</w:t>
        </w:r>
      </w:hyperlink>
      <w:r w:rsidRPr="00D16F1F">
        <w:rPr>
          <w:sz w:val="24"/>
          <w:lang w:val="bg-BG"/>
        </w:rPr>
        <w:t>.</w:t>
      </w:r>
    </w:p>
  </w:footnote>
  <w:footnote w:id="9">
    <w:p w14:paraId="7F29D058" w14:textId="1D2520B6"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C, C/2026/224, 13.1.2026 г., ELI: </w:t>
      </w:r>
      <w:hyperlink r:id="rId8" w:tgtFrame="http://data.europa.eu/eli/C/2026/224/oj" w:history="1">
        <w:r w:rsidRPr="00D16F1F">
          <w:rPr>
            <w:rStyle w:val="Hyperlink"/>
            <w:sz w:val="24"/>
            <w:lang w:val="bg-BG"/>
          </w:rPr>
          <w:t>http://data.europa.eu/eli/C/2026/224/oj</w:t>
        </w:r>
      </w:hyperlink>
      <w:r w:rsidRPr="00D16F1F">
        <w:rPr>
          <w:sz w:val="24"/>
          <w:lang w:val="bg-BG"/>
        </w:rPr>
        <w:t>.</w:t>
      </w:r>
    </w:p>
  </w:footnote>
  <w:footnote w:id="10">
    <w:p w14:paraId="5DB875F2" w14:textId="6E5A685E"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ОВ C, C/2025/3602, 4.7.2025 г., ELI: </w:t>
      </w:r>
      <w:hyperlink r:id="rId9" w:tgtFrame="http://data.europa.eu/eli/C/2025/3602/oj" w:history="1">
        <w:r w:rsidRPr="00D16F1F">
          <w:rPr>
            <w:rStyle w:val="Hyperlink"/>
            <w:sz w:val="24"/>
            <w:lang w:val="bg-BG"/>
          </w:rPr>
          <w:t>http://data.europa.eu/eli/C/2025/3602/oj</w:t>
        </w:r>
      </w:hyperlink>
      <w:r w:rsidRPr="00D16F1F">
        <w:rPr>
          <w:sz w:val="24"/>
          <w:lang w:val="bg-BG"/>
        </w:rPr>
        <w:t>.</w:t>
      </w:r>
    </w:p>
  </w:footnote>
  <w:footnote w:id="11">
    <w:p w14:paraId="2123A65B" w14:textId="0B8A9CC5"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OВ L, 2025/2630, 19.12.2025 г., ELI: </w:t>
      </w:r>
      <w:hyperlink r:id="rId10" w:tgtFrame="http://data.europa.eu/eli/dec/2025/2630/oj" w:history="1">
        <w:r w:rsidRPr="00D16F1F">
          <w:rPr>
            <w:rStyle w:val="Hyperlink"/>
            <w:sz w:val="24"/>
            <w:lang w:val="bg-BG"/>
          </w:rPr>
          <w:t>http://data.europa.eu/eli/dec/2025/2630/oj</w:t>
        </w:r>
      </w:hyperlink>
      <w:r w:rsidRPr="00D16F1F">
        <w:rPr>
          <w:sz w:val="24"/>
          <w:lang w:val="bg-BG"/>
        </w:rPr>
        <w:t>.</w:t>
      </w:r>
    </w:p>
  </w:footnote>
  <w:footnote w:id="12">
    <w:p w14:paraId="145ABD64" w14:textId="293B6845"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Делегиран регламент (ЕС) 2021/2139 на Комисията от 4 юни 2021 г. за допълнение на Регламент (ЕС) 2020/852 на Европейския парламент и на Съвета чрез установяване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смекчаването на изменението на климата или за адаптирането към изменението на климата, и с цел определяне дали тази икономическа дейност не нанася значителни вреди във връзка с постигането на някоя от другите екологични цели (ОВ L 442, 9.12.2021 г., стр. 1, ELI: </w:t>
      </w:r>
      <w:hyperlink r:id="rId11" w:tgtFrame="http://data.europa.eu/eli/reg_del/2021/2139/oj" w:history="1">
        <w:r w:rsidRPr="00D16F1F">
          <w:rPr>
            <w:rStyle w:val="Hyperlink"/>
            <w:sz w:val="24"/>
            <w:lang w:val="bg-BG"/>
          </w:rPr>
          <w:t>http://data.europa.eu/eli/reg_del/2021/2139/oj).</w:t>
        </w:r>
      </w:hyperlink>
    </w:p>
  </w:footnote>
  <w:footnote w:id="13">
    <w:p w14:paraId="527C898D" w14:textId="05E417FD"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Делегиран регламент (ЕС) 2022/1214 на Комисията от 9 март 2022 г. за изменение на Делегиран регламент (ЕС) 2021/2139 по отношение на икономическите дейности в някои сектори на енергетиката и на Делегиран регламент (ЕС) 2021/2178 по отношение на специфичното публично оповестяване на информация за тези икономически дейности (ОВ L 188, 15.7.2022 г., стр. 1, ELI: </w:t>
      </w:r>
      <w:hyperlink r:id="rId12" w:tgtFrame="http://data.europa.eu/eli/reg_del/2022/1214/oj" w:history="1">
        <w:r w:rsidRPr="00D16F1F">
          <w:rPr>
            <w:rStyle w:val="Hyperlink"/>
            <w:sz w:val="24"/>
            <w:lang w:val="bg-BG"/>
          </w:rPr>
          <w:t>http://data.europa.eu/eli/reg_del/2022/1214/oj).</w:t>
        </w:r>
      </w:hyperlink>
    </w:p>
  </w:footnote>
  <w:footnote w:id="14">
    <w:p w14:paraId="68880909" w14:textId="704B9E1C"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w:t>
      </w:r>
      <w:hyperlink r:id="rId13" w:tgtFrame="http://data.europa.eu/eli/reg/2024/1252/oj" w:history="1">
        <w:r w:rsidRPr="00D16F1F">
          <w:rPr>
            <w:rStyle w:val="Hyperlink"/>
            <w:sz w:val="24"/>
            <w:lang w:val="bg-BG"/>
          </w:rPr>
          <w:t>http://data.europa.eu/eli/reg/2024/1252/oj).</w:t>
        </w:r>
      </w:hyperlink>
    </w:p>
  </w:footnote>
  <w:footnote w:id="15">
    <w:p w14:paraId="3BB48F56" w14:textId="22A08062"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Решение (ЕС) 2025/2376 на Съвета от 4 ноември 2025 г. за подписване, от името на Европейския съюз, на Споразумението между Европейския съюз и Обединеното кралство Великобритания и Северна Ирландия за сътрудничество при прилагането на съответното им законодателство в областта на конкуренцията (ОВ L, 2025/2376, 24.11.2025 г., ELI: </w:t>
      </w:r>
      <w:hyperlink r:id="rId14" w:tgtFrame="http://data.europa.eu/eli/dec/2025/2376/oj" w:history="1">
        <w:r w:rsidRPr="00D16F1F">
          <w:rPr>
            <w:rStyle w:val="Hyperlink"/>
            <w:sz w:val="24"/>
            <w:lang w:val="bg-BG"/>
          </w:rPr>
          <w:t>http://data.europa.eu/eli/dec/2025/2376/oj).</w:t>
        </w:r>
      </w:hyperlink>
    </w:p>
  </w:footnote>
  <w:footnote w:id="16">
    <w:p w14:paraId="6EEBD0E0" w14:textId="3C4FB8B6" w:rsidR="006F2283" w:rsidRPr="00DA391B" w:rsidRDefault="006F2283" w:rsidP="00DA391B">
      <w:pPr>
        <w:pStyle w:val="FootnoteText"/>
        <w:ind w:left="567" w:hanging="567"/>
        <w:rPr>
          <w:lang w:val="bg-BG"/>
        </w:rPr>
      </w:pPr>
      <w:r>
        <w:rPr>
          <w:rStyle w:val="FootnoteReference"/>
        </w:rPr>
        <w:footnoteRef/>
      </w:r>
      <w:r>
        <w:t xml:space="preserve"> </w:t>
      </w:r>
      <w:r>
        <w:rPr>
          <w:lang w:val="bg-BG"/>
        </w:rPr>
        <w:tab/>
      </w:r>
      <w:hyperlink r:id="rId15" w:history="1">
        <w:r w:rsidRPr="006F2283">
          <w:rPr>
            <w:rStyle w:val="Hyperlink"/>
            <w:lang w:val="bg-BG"/>
          </w:rPr>
          <w:t>https://digital-strategy.ec.europa.eu/en/news/commission-reaches-preliminary-position-amazons-and-microsofts-market-leading-cloud-services-should</w:t>
        </w:r>
      </w:hyperlink>
      <w:r w:rsidRPr="006F2283">
        <w:rPr>
          <w:lang w:val="bg-BG"/>
        </w:rPr>
        <w:t>.</w:t>
      </w:r>
    </w:p>
  </w:footnote>
  <w:footnote w:id="17">
    <w:p w14:paraId="69BC2C93" w14:textId="459843F5"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Европейска комисия, „Комисията започва проучвания на пазара на услуги за изчисления в облак съгласно Законодателния акт за цифровите пазари“, уебсайт на Европейската комисия, 18 ноември 2025 г.</w:t>
      </w:r>
    </w:p>
  </w:footnote>
  <w:footnote w:id="18">
    <w:p w14:paraId="2F0C83F7" w14:textId="070F693F"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Директива (ЕС) 2019/790 на Европейския парламент и на Съвета от 17 април 2019 г. относно авторското право и сродните му права в цифровия единен пазар и за изменение на директиви 96/9/ЕО и 2001/29/ЕО (ОВ L 130, 17.5.2019 г., стр. 92, ELI: </w:t>
      </w:r>
      <w:hyperlink r:id="rId16" w:tgtFrame="http://data.europa.eu/eli/dir/2019/790/oj" w:history="1">
        <w:r w:rsidRPr="00D16F1F">
          <w:rPr>
            <w:rStyle w:val="Hyperlink"/>
            <w:sz w:val="24"/>
            <w:lang w:val="bg-BG"/>
          </w:rPr>
          <w:t>http://data.europa.eu/eli/dir/2019/790/oj).</w:t>
        </w:r>
      </w:hyperlink>
    </w:p>
  </w:footnote>
  <w:footnote w:id="19">
    <w:p w14:paraId="349CACAB" w14:textId="3CC49973"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Регламент (ЕО) № 1/2003 на Съвета от 16 декември 2002 г. относно изпълнението на правилата за конкуренция, предвидени в членове 81 и 82 от Договора (ОВ L 1, 4.1.2003 г., стр. 1, ELI: </w:t>
      </w:r>
      <w:hyperlink r:id="rId17" w:tgtFrame="http://data.europa.eu/eli/reg/2003/1/oj" w:history="1">
        <w:r w:rsidRPr="00D16F1F">
          <w:rPr>
            <w:rStyle w:val="Hyperlink"/>
            <w:sz w:val="24"/>
            <w:lang w:val="bg-BG"/>
          </w:rPr>
          <w:t>http://data.europa.eu/eli/reg/2003/1/oj).</w:t>
        </w:r>
      </w:hyperlink>
    </w:p>
  </w:footnote>
  <w:footnote w:id="20">
    <w:p w14:paraId="4FCD2FB1" w14:textId="376FBC80"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Регламент (ЕО) № 773/2004 на Комисията от 7 април 2004 г. относно водените от Комисията производства съгласно членове 81 и 82 от Договора за ЕО (ОВ L 123, 27.4.2004 г., стр. 18, ELI: </w:t>
      </w:r>
      <w:hyperlink r:id="rId18" w:tgtFrame="http://data.europa.eu/eli/reg/2004/773/oj" w:history="1">
        <w:r w:rsidRPr="00D16F1F">
          <w:rPr>
            <w:rStyle w:val="Hyperlink"/>
            <w:sz w:val="24"/>
            <w:lang w:val="bg-BG"/>
          </w:rPr>
          <w:t>http://data.europa.eu/eli/reg/2004/773/oj).</w:t>
        </w:r>
      </w:hyperlink>
    </w:p>
  </w:footnote>
  <w:footnote w:id="21">
    <w:p w14:paraId="0709C928" w14:textId="15EC3897"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Директива 2014/104/ЕС на Европейския парламент и на Съвета от 26 ноември 2014 г. относно някои правила за уреждане на искове за обезщетение за вреди по националното право за нарушения на разпоредбите на правото на държавите членки и на Европейския съюз в областта на конкуренцията (ОВ L 349, 5.12.2014 г., стр. 1, ELI: </w:t>
      </w:r>
      <w:hyperlink r:id="rId19" w:tgtFrame="http://data.europa.eu/eli/dir/2014/104/oj" w:history="1">
        <w:r w:rsidRPr="00D16F1F">
          <w:rPr>
            <w:rStyle w:val="Hyperlink"/>
            <w:sz w:val="24"/>
            <w:lang w:val="bg-BG"/>
          </w:rPr>
          <w:t>http://data.europa.eu/eli/dir/2014/104/oj).</w:t>
        </w:r>
      </w:hyperlink>
    </w:p>
  </w:footnote>
  <w:footnote w:id="22">
    <w:p w14:paraId="254FF45C" w14:textId="6D0A1378"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Директива (ЕС) 2019/1 на Европейския парламент и на Съвета от 11 декември 2018 г. за предоставяне на правомощия на органите по конкуренция на държавите членки, за да бъдат по-ефективни в правоприлагането, и за гарантиране на правилното функциониране на вътрешния пазар (ОВ L 11, 14.1.2019 г., стр. 3, ELI: </w:t>
      </w:r>
      <w:hyperlink r:id="rId20" w:tgtFrame="http://data.europa.eu/eli/dir/2019/1/oj" w:history="1">
        <w:r w:rsidRPr="00D16F1F">
          <w:rPr>
            <w:rStyle w:val="Hyperlink"/>
            <w:sz w:val="24"/>
            <w:lang w:val="bg-BG"/>
          </w:rPr>
          <w:t>http://data.europa.eu/eli/dir/2019/1/oj).</w:t>
        </w:r>
      </w:hyperlink>
    </w:p>
  </w:footnote>
  <w:footnote w:id="23">
    <w:p w14:paraId="52FD463F" w14:textId="4111D894"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Регламент (ЕС) 2015/751 на Европейския парламент и на Съвета от 29 април 2015 г. относно обменните такси за платежни операции, свързани с карти (ОВ L 123, 19.5.2015 г., стр. 1, ELI: </w:t>
      </w:r>
      <w:hyperlink r:id="rId21" w:tgtFrame="http://data.europa.eu/eli/reg/2015/751/oj" w:history="1">
        <w:r w:rsidRPr="00D16F1F">
          <w:rPr>
            <w:rStyle w:val="Hyperlink"/>
            <w:sz w:val="24"/>
            <w:lang w:val="bg-BG"/>
          </w:rPr>
          <w:t>http://data.europa.eu/eli/reg/2015/751/oj).</w:t>
        </w:r>
      </w:hyperlink>
    </w:p>
  </w:footnote>
  <w:footnote w:id="24">
    <w:p w14:paraId="5CCDCF23" w14:textId="60E387EC"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Директива 2002/87/ЕО на Европейския Парламент и на Съвета от 16 декември 2002 г. относно допълнителния надзор на кредитните институции, застрахователните предприятия и на инвестиционните посредници към един финансов конгломерат и за изменение на Директиви 73/239/ЕИО, 79/267/ЕИО, 92/49/ЕИО, 92/96/ЕИО, 93/6/ЕИО и 93/22/ЕИО на Съвета и Директиви 98/78/ЕО и 2000/12/ЕО на Европейския парламент и на Съвета (ОВ L 35, 11.2.2003 г., стр. 1, ELI: </w:t>
      </w:r>
      <w:hyperlink r:id="rId22" w:tgtFrame="http://data.europa.eu/eli/dir/2002/87/oj" w:history="1">
        <w:r w:rsidRPr="00D16F1F">
          <w:rPr>
            <w:rStyle w:val="Hyperlink"/>
            <w:sz w:val="24"/>
            <w:lang w:val="bg-BG"/>
          </w:rPr>
          <w:t>http://data.europa.eu/eli/dir/2002/87/oj).</w:t>
        </w:r>
      </w:hyperlink>
    </w:p>
  </w:footnote>
  <w:footnote w:id="25">
    <w:p w14:paraId="3B6C2FF5" w14:textId="3AD7548B"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Директива 2009/138/ЕО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 (ОВ L 335, 17.12.2009 г., стр. 1, ELI: </w:t>
      </w:r>
      <w:hyperlink r:id="rId23" w:tgtFrame="http://data.europa.eu/eli/dir/2009/138/oj" w:history="1">
        <w:r w:rsidRPr="00D16F1F">
          <w:rPr>
            <w:rStyle w:val="Hyperlink"/>
            <w:sz w:val="24"/>
            <w:lang w:val="bg-BG"/>
          </w:rPr>
          <w:t>http://data.europa.eu/eli/dir/2009/138/oj).</w:t>
        </w:r>
      </w:hyperlink>
    </w:p>
  </w:footnote>
  <w:footnote w:id="26">
    <w:p w14:paraId="5AD69BAA" w14:textId="31BE78BC"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 26.6.2014 г., стр. 1, ELI:  </w:t>
      </w:r>
      <w:hyperlink r:id="rId24" w:tgtFrame="http://data.europa.eu/eli/reg/2014/651/oj" w:history="1">
        <w:r w:rsidRPr="00D16F1F">
          <w:rPr>
            <w:rStyle w:val="Hyperlink"/>
            <w:sz w:val="24"/>
            <w:lang w:val="bg-BG"/>
          </w:rPr>
          <w:t>http://data.europa.eu/eli/reg/2014/651/oj).</w:t>
        </w:r>
      </w:hyperlink>
    </w:p>
  </w:footnote>
  <w:footnote w:id="27">
    <w:p w14:paraId="7F9BC53B" w14:textId="2223B898" w:rsidR="00516108" w:rsidRPr="00D16F1F" w:rsidRDefault="00516108" w:rsidP="00D16F1F">
      <w:pPr>
        <w:pStyle w:val="FootnoteText"/>
        <w:ind w:left="567" w:hanging="567"/>
        <w:rPr>
          <w:sz w:val="24"/>
          <w:lang w:val="bg-BG"/>
        </w:rPr>
      </w:pPr>
      <w:r>
        <w:rPr>
          <w:rStyle w:val="FootnoteReference"/>
        </w:rPr>
        <w:footnoteRef/>
      </w:r>
      <w:r w:rsidRPr="00D16F1F">
        <w:rPr>
          <w:sz w:val="24"/>
          <w:lang w:val="bg-BG"/>
        </w:rPr>
        <w:t xml:space="preserve"> </w:t>
      </w:r>
      <w:r w:rsidRPr="00D16F1F">
        <w:rPr>
          <w:sz w:val="24"/>
          <w:lang w:val="bg-BG"/>
        </w:rPr>
        <w:tab/>
        <w:t xml:space="preserve">Препоръка (ЕС) 2020/1039 на Комисията от 14 юли 2020 г. за обвързване на държавната финансова подкрепа за предприятия в Съюза с липсата на връзки с юрисдикции, които не оказват съдействие (ОВ L 227, 16.7.2020 г., стр. 76, ELI: </w:t>
      </w:r>
      <w:hyperlink r:id="rId25" w:tgtFrame="http://data.europa.eu/eli/reco/2020/1039/oj" w:history="1">
        <w:r w:rsidRPr="00D16F1F">
          <w:rPr>
            <w:rStyle w:val="Hyperlink"/>
            <w:sz w:val="24"/>
            <w:lang w:val="bg-BG"/>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5BC1" w14:textId="77777777" w:rsidR="00064002" w:rsidRPr="00D16F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D521" w14:textId="77777777" w:rsidR="00064002" w:rsidRPr="00D16F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6B43" w14:textId="77777777" w:rsidR="00064002" w:rsidRPr="00D16F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9279108">
    <w:abstractNumId w:val="9"/>
  </w:num>
  <w:num w:numId="2" w16cid:durableId="1381242569">
    <w:abstractNumId w:val="9"/>
  </w:num>
  <w:num w:numId="3" w16cid:durableId="2113209109">
    <w:abstractNumId w:val="7"/>
  </w:num>
  <w:num w:numId="4" w16cid:durableId="1606695419">
    <w:abstractNumId w:val="7"/>
  </w:num>
  <w:num w:numId="5" w16cid:durableId="884024726">
    <w:abstractNumId w:val="6"/>
  </w:num>
  <w:num w:numId="6" w16cid:durableId="764154066">
    <w:abstractNumId w:val="6"/>
  </w:num>
  <w:num w:numId="7" w16cid:durableId="1251888751">
    <w:abstractNumId w:val="5"/>
  </w:num>
  <w:num w:numId="8" w16cid:durableId="1496216349">
    <w:abstractNumId w:val="5"/>
  </w:num>
  <w:num w:numId="9" w16cid:durableId="1384912577">
    <w:abstractNumId w:val="4"/>
  </w:num>
  <w:num w:numId="10" w16cid:durableId="622930583">
    <w:abstractNumId w:val="4"/>
  </w:num>
  <w:num w:numId="11" w16cid:durableId="1794665051">
    <w:abstractNumId w:val="8"/>
  </w:num>
  <w:num w:numId="12" w16cid:durableId="512229554">
    <w:abstractNumId w:val="8"/>
  </w:num>
  <w:num w:numId="13" w16cid:durableId="205681466">
    <w:abstractNumId w:val="3"/>
  </w:num>
  <w:num w:numId="14" w16cid:durableId="484587633">
    <w:abstractNumId w:val="3"/>
  </w:num>
  <w:num w:numId="15" w16cid:durableId="1825782696">
    <w:abstractNumId w:val="2"/>
  </w:num>
  <w:num w:numId="16" w16cid:durableId="1355425836">
    <w:abstractNumId w:val="2"/>
  </w:num>
  <w:num w:numId="17" w16cid:durableId="478959193">
    <w:abstractNumId w:val="1"/>
  </w:num>
  <w:num w:numId="18" w16cid:durableId="1140078728">
    <w:abstractNumId w:val="1"/>
  </w:num>
  <w:num w:numId="19" w16cid:durableId="1044981435">
    <w:abstractNumId w:val="0"/>
  </w:num>
  <w:num w:numId="20" w16cid:durableId="902066209">
    <w:abstractNumId w:val="0"/>
  </w:num>
  <w:num w:numId="21" w16cid:durableId="1648165850">
    <w:abstractNumId w:val="9"/>
  </w:num>
  <w:num w:numId="22" w16cid:durableId="784229236">
    <w:abstractNumId w:val="7"/>
  </w:num>
  <w:num w:numId="23" w16cid:durableId="239877030">
    <w:abstractNumId w:val="6"/>
  </w:num>
  <w:num w:numId="24" w16cid:durableId="376975769">
    <w:abstractNumId w:val="5"/>
  </w:num>
  <w:num w:numId="25" w16cid:durableId="319192647">
    <w:abstractNumId w:val="4"/>
  </w:num>
  <w:num w:numId="26" w16cid:durableId="1531383517">
    <w:abstractNumId w:val="8"/>
  </w:num>
  <w:num w:numId="27" w16cid:durableId="503934002">
    <w:abstractNumId w:val="3"/>
  </w:num>
  <w:num w:numId="28" w16cid:durableId="1441102653">
    <w:abstractNumId w:val="2"/>
  </w:num>
  <w:num w:numId="29" w16cid:durableId="1233736286">
    <w:abstractNumId w:val="1"/>
  </w:num>
  <w:num w:numId="30" w16cid:durableId="858469809">
    <w:abstractNumId w:val="0"/>
  </w:num>
  <w:num w:numId="31" w16cid:durableId="1137645953">
    <w:abstractNumId w:val="9"/>
  </w:num>
  <w:num w:numId="32" w16cid:durableId="779108171">
    <w:abstractNumId w:val="7"/>
  </w:num>
  <w:num w:numId="33" w16cid:durableId="1892761797">
    <w:abstractNumId w:val="6"/>
  </w:num>
  <w:num w:numId="34" w16cid:durableId="780538984">
    <w:abstractNumId w:val="5"/>
  </w:num>
  <w:num w:numId="35" w16cid:durableId="1971326086">
    <w:abstractNumId w:val="4"/>
  </w:num>
  <w:num w:numId="36" w16cid:durableId="131532281">
    <w:abstractNumId w:val="8"/>
  </w:num>
  <w:num w:numId="37" w16cid:durableId="2007785755">
    <w:abstractNumId w:val="3"/>
  </w:num>
  <w:num w:numId="38" w16cid:durableId="1100178699">
    <w:abstractNumId w:val="2"/>
  </w:num>
  <w:num w:numId="39" w16cid:durableId="817957542">
    <w:abstractNumId w:val="1"/>
  </w:num>
  <w:num w:numId="40" w16cid:durableId="940576165">
    <w:abstractNumId w:val="0"/>
  </w:num>
  <w:num w:numId="41" w16cid:durableId="1565292515">
    <w:abstractNumId w:val="10"/>
  </w:num>
  <w:num w:numId="42" w16cid:durableId="1850873106">
    <w:abstractNumId w:val="10"/>
  </w:num>
  <w:num w:numId="43" w16cid:durableId="1271858511">
    <w:abstractNumId w:val="10"/>
  </w:num>
  <w:num w:numId="44" w16cid:durableId="1314797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BG"/>
    <w:docVar w:name="dvnumam" w:val="0"/>
    <w:docVar w:name="dvpe" w:val="779.796"/>
    <w:docVar w:name="dvrapporteur" w:val="Докладчик: "/>
    <w:docVar w:name="dvtitre" w:val="Резолюция на Европейския парламент от ... 2026 г. относно политиката в областта на конкуренцията – годишен доклад за 2025 г.(2025/2134(INI))"/>
    <w:docVar w:name="ShowAdvertRegistre2" w:val="True"/>
  </w:docVars>
  <w:rsids>
    <w:rsidRoot w:val="008A614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663F"/>
    <w:rsid w:val="004C0004"/>
    <w:rsid w:val="004C5D52"/>
    <w:rsid w:val="0050519A"/>
    <w:rsid w:val="005072A1"/>
    <w:rsid w:val="00514517"/>
    <w:rsid w:val="00516108"/>
    <w:rsid w:val="00545827"/>
    <w:rsid w:val="00560270"/>
    <w:rsid w:val="005C2568"/>
    <w:rsid w:val="005F1B17"/>
    <w:rsid w:val="006037C0"/>
    <w:rsid w:val="00646895"/>
    <w:rsid w:val="006631B6"/>
    <w:rsid w:val="00680577"/>
    <w:rsid w:val="006F2283"/>
    <w:rsid w:val="006F74FA"/>
    <w:rsid w:val="007056A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14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F1F"/>
    <w:rsid w:val="00D56C11"/>
    <w:rsid w:val="00D834A0"/>
    <w:rsid w:val="00D872DF"/>
    <w:rsid w:val="00D878A3"/>
    <w:rsid w:val="00D91E21"/>
    <w:rsid w:val="00DA391B"/>
    <w:rsid w:val="00DA7FCD"/>
    <w:rsid w:val="00E365E1"/>
    <w:rsid w:val="00E820A4"/>
    <w:rsid w:val="00EB006A"/>
    <w:rsid w:val="00EB1BAC"/>
    <w:rsid w:val="00EB4772"/>
    <w:rsid w:val="00ED169E"/>
    <w:rsid w:val="00ED4235"/>
    <w:rsid w:val="00EE481B"/>
    <w:rsid w:val="00F04346"/>
    <w:rsid w:val="00F075DC"/>
    <w:rsid w:val="00F149E9"/>
    <w:rsid w:val="00F5134D"/>
    <w:rsid w:val="00F74202"/>
    <w:rsid w:val="00F871C7"/>
    <w:rsid w:val="00F87713"/>
    <w:rsid w:val="00FB4360"/>
    <w:rsid w:val="00FD0C70"/>
    <w:rsid w:val="00FD77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02D99"/>
  <w15:chartTrackingRefBased/>
  <w15:docId w15:val="{D2E58DD4-E482-4403-9DFE-AC75960E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B1BAC"/>
    <w:pPr>
      <w:widowControl/>
      <w:spacing w:after="240"/>
    </w:pPr>
    <w:rPr>
      <w:szCs w:val="24"/>
      <w:lang w:eastAsia="en-US"/>
    </w:rPr>
  </w:style>
  <w:style w:type="paragraph" w:customStyle="1" w:styleId="NormalHanging12a">
    <w:name w:val="NormalHanging12a"/>
    <w:basedOn w:val="Normal"/>
    <w:rsid w:val="00EB1BAC"/>
    <w:pPr>
      <w:widowControl/>
      <w:spacing w:after="240"/>
      <w:ind w:left="566" w:hanging="566"/>
    </w:pPr>
    <w:rPr>
      <w:szCs w:val="24"/>
      <w:lang w:eastAsia="en-US"/>
    </w:rPr>
  </w:style>
  <w:style w:type="paragraph" w:customStyle="1" w:styleId="Normal12">
    <w:name w:val="Normal12"/>
    <w:basedOn w:val="Normal"/>
    <w:rsid w:val="00EB1BAC"/>
    <w:pPr>
      <w:spacing w:after="240"/>
    </w:pPr>
    <w:rPr>
      <w:szCs w:val="24"/>
      <w:lang w:eastAsia="en-US"/>
    </w:rPr>
  </w:style>
  <w:style w:type="paragraph" w:customStyle="1" w:styleId="NormalHanging">
    <w:name w:val="NormalHanging"/>
    <w:basedOn w:val="Normal"/>
    <w:rsid w:val="00EB1BAC"/>
    <w:pPr>
      <w:spacing w:after="240"/>
      <w:ind w:left="566" w:hanging="566"/>
    </w:pPr>
    <w:rPr>
      <w:szCs w:val="24"/>
      <w:lang w:eastAsia="en-US"/>
    </w:rPr>
  </w:style>
  <w:style w:type="paragraph" w:customStyle="1" w:styleId="NormalCenter12a">
    <w:name w:val="NormalCenter12a"/>
    <w:basedOn w:val="Normal"/>
    <w:rsid w:val="00EB1BAC"/>
    <w:pPr>
      <w:widowControl/>
      <w:spacing w:after="240"/>
      <w:jc w:val="center"/>
    </w:pPr>
    <w:rPr>
      <w:szCs w:val="24"/>
      <w:lang w:eastAsia="en-US"/>
    </w:rPr>
  </w:style>
  <w:style w:type="character" w:styleId="Hyperlink">
    <w:name w:val="Hyperlink"/>
    <w:basedOn w:val="DefaultParagraphFont"/>
    <w:rsid w:val="00EB1BAC"/>
    <w:rPr>
      <w:color w:val="0000FF"/>
      <w:u w:val="single"/>
    </w:rPr>
  </w:style>
  <w:style w:type="paragraph" w:styleId="Revision">
    <w:name w:val="Revision"/>
    <w:hidden/>
    <w:uiPriority w:val="99"/>
    <w:semiHidden/>
    <w:rsid w:val="00516108"/>
    <w:rPr>
      <w:sz w:val="24"/>
      <w:lang w:val="bg-BG"/>
    </w:rPr>
  </w:style>
  <w:style w:type="character" w:styleId="UnresolvedMention">
    <w:name w:val="Unresolved Mention"/>
    <w:basedOn w:val="DefaultParagraphFont"/>
    <w:uiPriority w:val="99"/>
    <w:semiHidden/>
    <w:unhideWhenUsed/>
    <w:rsid w:val="006F2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224/oj" TargetMode="External"/><Relationship Id="rId13" Type="http://schemas.openxmlformats.org/officeDocument/2006/relationships/hyperlink" Target="http://data.europa.eu/eli/reg/2024/1252/oj" TargetMode="External"/><Relationship Id="rId18" Type="http://schemas.openxmlformats.org/officeDocument/2006/relationships/hyperlink" Target="http://data.europa.eu/eli/reg/2004/773/oj" TargetMode="External"/><Relationship Id="rId3" Type="http://schemas.openxmlformats.org/officeDocument/2006/relationships/hyperlink" Target="https://eur-lex.europa.eu/legal-content/BG/TXT/?uri=uriserv:OJ.L_.2004.024.01.0001.01.ENG" TargetMode="External"/><Relationship Id="rId21" Type="http://schemas.openxmlformats.org/officeDocument/2006/relationships/hyperlink" Target="http://data.europa.eu/eli/reg/2015/751/oj" TargetMode="External"/><Relationship Id="rId7" Type="http://schemas.openxmlformats.org/officeDocument/2006/relationships/hyperlink" Target="http://data.europa.eu/eli/reg/2022/2560/oj" TargetMode="External"/><Relationship Id="rId12" Type="http://schemas.openxmlformats.org/officeDocument/2006/relationships/hyperlink" Target="http://data.europa.eu/eli/reg_del/2022/1214/oj" TargetMode="External"/><Relationship Id="rId17" Type="http://schemas.openxmlformats.org/officeDocument/2006/relationships/hyperlink" Target="http://data.europa.eu/eli/reg/2003/1/oj" TargetMode="External"/><Relationship Id="rId25" Type="http://schemas.openxmlformats.org/officeDocument/2006/relationships/hyperlink" Target="http://data.europa.eu/eli/reco/2020/1039/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dir/2019/790/oj" TargetMode="External"/><Relationship Id="rId20" Type="http://schemas.openxmlformats.org/officeDocument/2006/relationships/hyperlink" Target="http://data.europa.eu/eli/dir/2019/1/oj" TargetMode="External"/><Relationship Id="rId1" Type="http://schemas.openxmlformats.org/officeDocument/2006/relationships/hyperlink" Target="http://data.europa.eu/eli/reg/2022/1925/oj" TargetMode="External"/><Relationship Id="rId6" Type="http://schemas.openxmlformats.org/officeDocument/2006/relationships/hyperlink" Target="https://competition-policy.ec.europa.eu/document/download/53e9348d-4f11-46ef-9098-526e24313ee8_en?filename=kd0125000enn_ex-post_evaluation_antitrust_remedies_study_e-version.pdf" TargetMode="External"/><Relationship Id="rId11" Type="http://schemas.openxmlformats.org/officeDocument/2006/relationships/hyperlink" Target="http://data.europa.eu/eli/reg_del/2021/2139/oj" TargetMode="External"/><Relationship Id="rId24" Type="http://schemas.openxmlformats.org/officeDocument/2006/relationships/hyperlink" Target="http://data.europa.eu/eli/reg/2014/651/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s://digital-strategy.ec.europa.eu/en/news/commission-reaches-preliminary-position-amazons-and-microsofts-market-leading-cloud-services-should" TargetMode="External"/><Relationship Id="rId23" Type="http://schemas.openxmlformats.org/officeDocument/2006/relationships/hyperlink" Target="http://data.europa.eu/eli/dir/2009/138/oj" TargetMode="External"/><Relationship Id="rId10" Type="http://schemas.openxmlformats.org/officeDocument/2006/relationships/hyperlink" Target="http://data.europa.eu/eli/dec/2025/2630/oj" TargetMode="External"/><Relationship Id="rId19" Type="http://schemas.openxmlformats.org/officeDocument/2006/relationships/hyperlink" Target="http://data.europa.eu/eli/dir/2014/104/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C/2025/3602/oj" TargetMode="External"/><Relationship Id="rId14" Type="http://schemas.openxmlformats.org/officeDocument/2006/relationships/hyperlink" Target="http://data.europa.eu/eli/dec/2025/2376/oj" TargetMode="External"/><Relationship Id="rId22" Type="http://schemas.openxmlformats.org/officeDocument/2006/relationships/hyperlink" Target="http://data.europa.eu/eli/dir/2002/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7069</Words>
  <Characters>43833</Characters>
  <Application>Microsoft Office Word</Application>
  <DocSecurity>0</DocSecurity>
  <Lines>365</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MINKOVA Maria</cp:lastModifiedBy>
  <cp:revision>2</cp:revision>
  <cp:lastPrinted>2004-11-19T15:42:00Z</cp:lastPrinted>
  <dcterms:created xsi:type="dcterms:W3CDTF">2026-07-07T13:16:00Z</dcterms:created>
  <dcterms:modified xsi:type="dcterms:W3CDTF">2026-07-07T13:16:00Z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A10-0171/2026</vt:lpwstr>
  </property>
  <property fmtid="{D5CDD505-2E9C-101B-9397-08002B2CF9AE}" pid="4" name="&lt;Type&gt;">
    <vt:lpwstr>RR</vt:lpwstr>
  </property>
  <property fmtid="{D5CDD505-2E9C-101B-9397-08002B2CF9AE}" pid="5" name="&lt;Model&gt;">
    <vt:lpwstr>NONE</vt:lpwstr>
  </property>
</Properties>
</file>