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7F7D" w14:paraId="5FE3D69F" w14:textId="77777777" w:rsidTr="0010095E">
        <w:trPr>
          <w:trHeight w:hRule="exact" w:val="1418"/>
        </w:trPr>
        <w:tc>
          <w:tcPr>
            <w:tcW w:w="6804" w:type="dxa"/>
            <w:shd w:val="clear" w:color="auto" w:fill="auto"/>
            <w:vAlign w:val="center"/>
          </w:tcPr>
          <w:p w14:paraId="64866AB1" w14:textId="69EC57C2" w:rsidR="00751A4A" w:rsidRPr="00AA7F7D" w:rsidRDefault="00EC36D2" w:rsidP="0010095E">
            <w:pPr>
              <w:pStyle w:val="EPName"/>
            </w:pPr>
            <w:r w:rsidRPr="00AA7F7D">
              <w:t>Europa-Parlamentet</w:t>
            </w:r>
          </w:p>
          <w:p w14:paraId="13B7FB2B" w14:textId="0F3BC8B6" w:rsidR="00751A4A" w:rsidRPr="00AA7F7D" w:rsidRDefault="00CA30C3" w:rsidP="005F1B17">
            <w:pPr>
              <w:pStyle w:val="EPTerm"/>
              <w:rPr>
                <w:rStyle w:val="HideTWBExt"/>
                <w:noProof w:val="0"/>
                <w:vanish w:val="0"/>
                <w:color w:val="auto"/>
              </w:rPr>
            </w:pPr>
            <w:r w:rsidRPr="00AA7F7D">
              <w:t>2024</w:t>
            </w:r>
            <w:r w:rsidR="00817416" w:rsidRPr="00AA7F7D">
              <w:t>-</w:t>
            </w:r>
            <w:r w:rsidRPr="00AA7F7D">
              <w:t>2029</w:t>
            </w:r>
          </w:p>
        </w:tc>
        <w:tc>
          <w:tcPr>
            <w:tcW w:w="2268" w:type="dxa"/>
            <w:shd w:val="clear" w:color="auto" w:fill="auto"/>
          </w:tcPr>
          <w:p w14:paraId="142B658F" w14:textId="77777777" w:rsidR="00751A4A" w:rsidRPr="00AA7F7D" w:rsidRDefault="00187494" w:rsidP="0010095E">
            <w:pPr>
              <w:pStyle w:val="EPLogo"/>
            </w:pPr>
            <w:r w:rsidRPr="00AA7F7D">
              <w:rPr>
                <w:noProof/>
                <w:lang w:eastAsia="ja-JP"/>
              </w:rPr>
              <w:drawing>
                <wp:inline distT="0" distB="0" distL="0" distR="0" wp14:anchorId="06C5216C" wp14:editId="539FCF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AD6A07" w14:textId="77777777" w:rsidR="00D058B8" w:rsidRPr="00AA7F7D" w:rsidRDefault="00D058B8" w:rsidP="004C5D52">
      <w:pPr>
        <w:pStyle w:val="LineTop"/>
      </w:pPr>
    </w:p>
    <w:p w14:paraId="11C96756" w14:textId="47C9FF2D" w:rsidR="00680577" w:rsidRPr="00AA7F7D" w:rsidRDefault="00EC36D2" w:rsidP="00680577">
      <w:pPr>
        <w:pStyle w:val="EPBodyTA1"/>
      </w:pPr>
      <w:r w:rsidRPr="00AA7F7D">
        <w:t>VEDTAGNE TEKSTER</w:t>
      </w:r>
    </w:p>
    <w:p w14:paraId="768E0B15" w14:textId="77777777" w:rsidR="00D058B8" w:rsidRPr="00AA7F7D" w:rsidRDefault="00D058B8" w:rsidP="00D058B8">
      <w:pPr>
        <w:pStyle w:val="LineBottom"/>
      </w:pPr>
    </w:p>
    <w:p w14:paraId="77DF25B9" w14:textId="2DCEE159" w:rsidR="00EC36D2" w:rsidRPr="00AA7F7D" w:rsidRDefault="00EC36D2" w:rsidP="00EC36D2">
      <w:pPr>
        <w:pStyle w:val="ATHeading1"/>
      </w:pPr>
      <w:bookmarkStart w:id="0" w:name="TANumber"/>
      <w:r w:rsidRPr="00AA7F7D">
        <w:t>P</w:t>
      </w:r>
      <w:r w:rsidR="00CA30C3" w:rsidRPr="00AA7F7D">
        <w:t>10</w:t>
      </w:r>
      <w:r w:rsidRPr="00AA7F7D">
        <w:t>_</w:t>
      </w:r>
      <w:proofErr w:type="gramStart"/>
      <w:r w:rsidRPr="00AA7F7D">
        <w:t>TA(</w:t>
      </w:r>
      <w:proofErr w:type="gramEnd"/>
      <w:r w:rsidR="00CA30C3" w:rsidRPr="00AA7F7D">
        <w:t>2026</w:t>
      </w:r>
      <w:r w:rsidRPr="00AA7F7D">
        <w:t>)</w:t>
      </w:r>
      <w:r w:rsidR="00CA30C3" w:rsidRPr="00AA7F7D">
        <w:t>0</w:t>
      </w:r>
      <w:r w:rsidR="009921F8">
        <w:t>247</w:t>
      </w:r>
      <w:bookmarkEnd w:id="0"/>
    </w:p>
    <w:p w14:paraId="710EC842" w14:textId="1232A048" w:rsidR="00EC36D2" w:rsidRPr="00AA7F7D" w:rsidRDefault="00EC36D2" w:rsidP="00EC36D2">
      <w:pPr>
        <w:pStyle w:val="ATHeading2"/>
      </w:pPr>
      <w:bookmarkStart w:id="1" w:name="title"/>
      <w:r w:rsidRPr="00AA7F7D">
        <w:t xml:space="preserve">Konkurrencepolitik – årsberetning </w:t>
      </w:r>
      <w:r w:rsidR="00CA30C3" w:rsidRPr="00AA7F7D">
        <w:t>20</w:t>
      </w:r>
      <w:bookmarkEnd w:id="1"/>
      <w:r w:rsidR="00CA30C3" w:rsidRPr="00AA7F7D">
        <w:t>25</w:t>
      </w:r>
    </w:p>
    <w:p w14:paraId="287ACFEB" w14:textId="11CBB451" w:rsidR="00EC36D2" w:rsidRPr="00AA7F7D" w:rsidRDefault="00EC36D2" w:rsidP="00EC36D2">
      <w:pPr>
        <w:rPr>
          <w:i/>
          <w:vanish/>
        </w:rPr>
      </w:pPr>
      <w:r w:rsidRPr="00AA7F7D">
        <w:rPr>
          <w:i/>
        </w:rPr>
        <w:fldChar w:fldCharType="begin"/>
      </w:r>
      <w:r w:rsidRPr="00AA7F7D">
        <w:rPr>
          <w:i/>
        </w:rPr>
        <w:instrText xml:space="preserve"> TC"(</w:instrText>
      </w:r>
      <w:bookmarkStart w:id="2" w:name="DocNumber"/>
      <w:r w:rsidRPr="00AA7F7D">
        <w:rPr>
          <w:i/>
        </w:rPr>
        <w:instrText>A</w:instrText>
      </w:r>
      <w:r w:rsidR="00CA30C3" w:rsidRPr="00AA7F7D">
        <w:rPr>
          <w:i/>
        </w:rPr>
        <w:instrText>10</w:instrText>
      </w:r>
      <w:r w:rsidRPr="00AA7F7D">
        <w:rPr>
          <w:i/>
        </w:rPr>
        <w:instrText>-</w:instrText>
      </w:r>
      <w:r w:rsidR="00CA30C3" w:rsidRPr="00AA7F7D">
        <w:rPr>
          <w:i/>
        </w:rPr>
        <w:instrText>0171</w:instrText>
      </w:r>
      <w:r w:rsidRPr="00AA7F7D">
        <w:rPr>
          <w:i/>
        </w:rPr>
        <w:instrText>/</w:instrText>
      </w:r>
      <w:r w:rsidR="00CA30C3" w:rsidRPr="00AA7F7D">
        <w:rPr>
          <w:i/>
        </w:rPr>
        <w:instrText>202</w:instrText>
      </w:r>
      <w:bookmarkEnd w:id="2"/>
      <w:r w:rsidR="00CA30C3" w:rsidRPr="00AA7F7D">
        <w:rPr>
          <w:i/>
        </w:rPr>
        <w:instrText>6</w:instrText>
      </w:r>
      <w:r w:rsidRPr="00AA7F7D">
        <w:rPr>
          <w:i/>
        </w:rPr>
        <w:instrText xml:space="preserve"> - Ordfører: </w:instrText>
      </w:r>
      <w:proofErr w:type="spellStart"/>
      <w:r w:rsidRPr="00AA7F7D">
        <w:rPr>
          <w:i/>
        </w:rPr>
        <w:instrText>Stéphanie</w:instrText>
      </w:r>
      <w:proofErr w:type="spellEnd"/>
      <w:r w:rsidRPr="00AA7F7D">
        <w:rPr>
          <w:i/>
        </w:rPr>
        <w:instrText xml:space="preserve"> Yon-Courtin)"\l</w:instrText>
      </w:r>
      <w:r w:rsidR="00CA30C3" w:rsidRPr="00AA7F7D">
        <w:rPr>
          <w:i/>
        </w:rPr>
        <w:instrText>3</w:instrText>
      </w:r>
      <w:r w:rsidRPr="00AA7F7D">
        <w:rPr>
          <w:i/>
        </w:rPr>
        <w:instrText xml:space="preserve"> \n&gt; \* MERGEFORMAT </w:instrText>
      </w:r>
      <w:r w:rsidRPr="00AA7F7D">
        <w:rPr>
          <w:i/>
        </w:rPr>
        <w:fldChar w:fldCharType="end"/>
      </w:r>
    </w:p>
    <w:p w14:paraId="3AB35790" w14:textId="77777777" w:rsidR="00EC36D2" w:rsidRPr="00AA7F7D" w:rsidRDefault="00EC36D2" w:rsidP="00EC36D2">
      <w:pPr>
        <w:rPr>
          <w:vanish/>
        </w:rPr>
      </w:pPr>
      <w:bookmarkStart w:id="3" w:name="Commission"/>
      <w:r w:rsidRPr="00AA7F7D">
        <w:rPr>
          <w:vanish/>
        </w:rPr>
        <w:t>Økonomi- og Valutaudvalget</w:t>
      </w:r>
      <w:bookmarkEnd w:id="3"/>
    </w:p>
    <w:p w14:paraId="63949E26" w14:textId="36A04FB9" w:rsidR="00EC36D2" w:rsidRPr="00AA7F7D" w:rsidRDefault="00EC36D2" w:rsidP="00EC36D2">
      <w:pPr>
        <w:rPr>
          <w:vanish/>
        </w:rPr>
      </w:pPr>
      <w:bookmarkStart w:id="4" w:name="PE"/>
      <w:r w:rsidRPr="00AA7F7D">
        <w:rPr>
          <w:vanish/>
        </w:rPr>
        <w:t>PE</w:t>
      </w:r>
      <w:r w:rsidR="00CA30C3" w:rsidRPr="00AA7F7D">
        <w:rPr>
          <w:vanish/>
        </w:rPr>
        <w:t>779</w:t>
      </w:r>
      <w:r w:rsidRPr="00AA7F7D">
        <w:rPr>
          <w:vanish/>
        </w:rPr>
        <w:t>.</w:t>
      </w:r>
      <w:r w:rsidR="00CA30C3" w:rsidRPr="00AA7F7D">
        <w:rPr>
          <w:vanish/>
        </w:rPr>
        <w:t>79</w:t>
      </w:r>
      <w:bookmarkEnd w:id="4"/>
      <w:r w:rsidR="00CA30C3" w:rsidRPr="00AA7F7D">
        <w:rPr>
          <w:vanish/>
        </w:rPr>
        <w:t>6</w:t>
      </w:r>
    </w:p>
    <w:p w14:paraId="79B61F4F" w14:textId="4948537A" w:rsidR="00EC36D2" w:rsidRPr="00AA7F7D" w:rsidRDefault="00EC36D2" w:rsidP="00EC36D2">
      <w:pPr>
        <w:pStyle w:val="ATHeading3"/>
      </w:pPr>
      <w:bookmarkStart w:id="5" w:name="Sujet"/>
      <w:r w:rsidRPr="00AA7F7D">
        <w:t xml:space="preserve">Europa-Parlamentets beslutning af </w:t>
      </w:r>
      <w:r w:rsidR="00CA30C3" w:rsidRPr="00AA7F7D">
        <w:t>7</w:t>
      </w:r>
      <w:r w:rsidRPr="00AA7F7D">
        <w:t xml:space="preserve">. juli </w:t>
      </w:r>
      <w:r w:rsidR="00CA30C3" w:rsidRPr="00AA7F7D">
        <w:t>2026</w:t>
      </w:r>
      <w:r w:rsidRPr="00AA7F7D">
        <w:t xml:space="preserve"> om konkurrencepolitik – årsberetning </w:t>
      </w:r>
      <w:r w:rsidR="00CA30C3" w:rsidRPr="00AA7F7D">
        <w:t>20</w:t>
      </w:r>
      <w:bookmarkEnd w:id="5"/>
      <w:r w:rsidR="00CA30C3" w:rsidRPr="00AA7F7D">
        <w:t>25</w:t>
      </w:r>
      <w:r w:rsidRPr="00AA7F7D">
        <w:t xml:space="preserve"> </w:t>
      </w:r>
      <w:bookmarkStart w:id="6" w:name="References"/>
      <w:r w:rsidRPr="00AA7F7D">
        <w:t>(</w:t>
      </w:r>
      <w:r w:rsidR="00CA30C3" w:rsidRPr="00AA7F7D">
        <w:t>2025</w:t>
      </w:r>
      <w:r w:rsidRPr="00AA7F7D">
        <w:t>/</w:t>
      </w:r>
      <w:r w:rsidR="00CA30C3" w:rsidRPr="00AA7F7D">
        <w:t>2134</w:t>
      </w:r>
      <w:r w:rsidRPr="00AA7F7D">
        <w:t>(INI))</w:t>
      </w:r>
      <w:bookmarkEnd w:id="6"/>
    </w:p>
    <w:p w14:paraId="6D319508" w14:textId="77777777" w:rsidR="006729C2" w:rsidRPr="00AA7F7D" w:rsidRDefault="006729C2" w:rsidP="006729C2">
      <w:pPr>
        <w:pStyle w:val="Normal12"/>
      </w:pPr>
      <w:r w:rsidRPr="00AA7F7D">
        <w:rPr>
          <w:i/>
        </w:rPr>
        <w:t>Europa-Parlamentet</w:t>
      </w:r>
      <w:r w:rsidRPr="00AA7F7D">
        <w:t>,</w:t>
      </w:r>
    </w:p>
    <w:p w14:paraId="222F3324" w14:textId="319A838A" w:rsidR="006729C2" w:rsidRPr="00AA7F7D" w:rsidRDefault="006729C2" w:rsidP="006729C2">
      <w:pPr>
        <w:pStyle w:val="NormalHanging"/>
      </w:pPr>
      <w:r w:rsidRPr="00AA7F7D">
        <w:t>–</w:t>
      </w:r>
      <w:r w:rsidRPr="00AA7F7D">
        <w:tab/>
        <w:t xml:space="preserve">der henviser til traktaten om Den Europæiske Unions funktionsmåde (TEUF), særlig artikel </w:t>
      </w:r>
      <w:r w:rsidR="00CA30C3" w:rsidRPr="00AA7F7D">
        <w:t>101</w:t>
      </w:r>
      <w:r w:rsidRPr="00AA7F7D">
        <w:t>-</w:t>
      </w:r>
      <w:r w:rsidR="00CA30C3" w:rsidRPr="00AA7F7D">
        <w:t>109</w:t>
      </w:r>
      <w:r w:rsidRPr="00AA7F7D">
        <w:t>,</w:t>
      </w:r>
    </w:p>
    <w:p w14:paraId="07C9C0D3" w14:textId="3EB4CF14" w:rsidR="006729C2" w:rsidRPr="00AA7F7D" w:rsidRDefault="006729C2" w:rsidP="006729C2">
      <w:pPr>
        <w:pStyle w:val="NormalHanging"/>
      </w:pPr>
      <w:r w:rsidRPr="00AA7F7D">
        <w:t>–</w:t>
      </w:r>
      <w:r w:rsidRPr="00AA7F7D">
        <w:tab/>
        <w:t xml:space="preserve">der henviser til Europa-Parlamentets og Rådets forordning (EU) </w:t>
      </w:r>
      <w:r w:rsidR="00CA30C3" w:rsidRPr="00AA7F7D">
        <w:t>2022</w:t>
      </w:r>
      <w:r w:rsidRPr="00AA7F7D">
        <w:t>/</w:t>
      </w:r>
      <w:r w:rsidR="00CA30C3" w:rsidRPr="00AA7F7D">
        <w:t>1925</w:t>
      </w:r>
      <w:r w:rsidRPr="00AA7F7D">
        <w:t xml:space="preserve"> af </w:t>
      </w:r>
      <w:r w:rsidR="00CA30C3" w:rsidRPr="00AA7F7D">
        <w:t>14</w:t>
      </w:r>
      <w:r w:rsidRPr="00AA7F7D">
        <w:t>. september </w:t>
      </w:r>
      <w:r w:rsidR="00CA30C3" w:rsidRPr="00AA7F7D">
        <w:t>2022</w:t>
      </w:r>
      <w:r w:rsidRPr="00AA7F7D">
        <w:t xml:space="preserve"> om åbne og fair markeder i den digitale sektor og om ændring af direktiv (EU) </w:t>
      </w:r>
      <w:r w:rsidR="00CA30C3" w:rsidRPr="00AA7F7D">
        <w:t>2019</w:t>
      </w:r>
      <w:r w:rsidRPr="00AA7F7D">
        <w:t>/</w:t>
      </w:r>
      <w:r w:rsidR="00CA30C3" w:rsidRPr="00AA7F7D">
        <w:t>1937</w:t>
      </w:r>
      <w:r w:rsidRPr="00AA7F7D">
        <w:t xml:space="preserve"> og (EU) </w:t>
      </w:r>
      <w:r w:rsidR="00CA30C3" w:rsidRPr="00AA7F7D">
        <w:t>2020</w:t>
      </w:r>
      <w:r w:rsidRPr="00AA7F7D">
        <w:t>/</w:t>
      </w:r>
      <w:r w:rsidR="00CA30C3" w:rsidRPr="00AA7F7D">
        <w:t>1828</w:t>
      </w:r>
      <w:r w:rsidRPr="00AA7F7D">
        <w:t xml:space="preserve"> (forordningen om digitale markeder)</w:t>
      </w:r>
      <w:r w:rsidR="00B57FAA" w:rsidRPr="00AA7F7D">
        <w:rPr>
          <w:rStyle w:val="FootnoteReference"/>
        </w:rPr>
        <w:footnoteReference w:id="1"/>
      </w:r>
      <w:r w:rsidRPr="00AA7F7D">
        <w:t>,</w:t>
      </w:r>
    </w:p>
    <w:p w14:paraId="61F722D6" w14:textId="25FE7827" w:rsidR="006729C2" w:rsidRPr="00AA7F7D" w:rsidRDefault="006729C2" w:rsidP="006729C2">
      <w:pPr>
        <w:pStyle w:val="NormalHanging"/>
      </w:pPr>
      <w:r w:rsidRPr="00AA7F7D">
        <w:t>–</w:t>
      </w:r>
      <w:r w:rsidRPr="00AA7F7D">
        <w:tab/>
        <w:t xml:space="preserve">der henviser til Kommissions rapport af </w:t>
      </w:r>
      <w:r w:rsidR="00CA30C3" w:rsidRPr="00AA7F7D">
        <w:t>28</w:t>
      </w:r>
      <w:r w:rsidRPr="00AA7F7D">
        <w:t xml:space="preserve">. april </w:t>
      </w:r>
      <w:r w:rsidR="00CA30C3" w:rsidRPr="00AA7F7D">
        <w:t>2026</w:t>
      </w:r>
      <w:r w:rsidRPr="00AA7F7D">
        <w:t xml:space="preserve"> om revision af Europa-Parlamentets og Rådets forordning (EU) </w:t>
      </w:r>
      <w:r w:rsidR="00CA30C3" w:rsidRPr="00AA7F7D">
        <w:t>2022</w:t>
      </w:r>
      <w:r w:rsidRPr="00AA7F7D">
        <w:t>/</w:t>
      </w:r>
      <w:r w:rsidR="00CA30C3" w:rsidRPr="00AA7F7D">
        <w:t>1925</w:t>
      </w:r>
      <w:r w:rsidRPr="00AA7F7D">
        <w:t xml:space="preserve"> om åbne og fair markeder i den digitale sektor og om ændring af direktiv (EU) </w:t>
      </w:r>
      <w:r w:rsidR="00CA30C3" w:rsidRPr="00AA7F7D">
        <w:t>2019</w:t>
      </w:r>
      <w:r w:rsidRPr="00AA7F7D">
        <w:t>/</w:t>
      </w:r>
      <w:r w:rsidR="00CA30C3" w:rsidRPr="00AA7F7D">
        <w:t>1937</w:t>
      </w:r>
      <w:r w:rsidRPr="00AA7F7D">
        <w:t xml:space="preserve"> og (EU) </w:t>
      </w:r>
      <w:r w:rsidR="00CA30C3" w:rsidRPr="00AA7F7D">
        <w:t>2020</w:t>
      </w:r>
      <w:r w:rsidRPr="00AA7F7D">
        <w:t>/</w:t>
      </w:r>
      <w:r w:rsidR="00CA30C3" w:rsidRPr="00AA7F7D">
        <w:t>1828</w:t>
      </w:r>
      <w:r w:rsidRPr="00AA7F7D">
        <w:t xml:space="preserve"> (forordningen om digitale markeder), i overensstemmelse med artikel </w:t>
      </w:r>
      <w:r w:rsidR="00CA30C3" w:rsidRPr="00AA7F7D">
        <w:t>53</w:t>
      </w:r>
      <w:r w:rsidRPr="00AA7F7D">
        <w:t xml:space="preserve"> heri (</w:t>
      </w:r>
      <w:proofErr w:type="gramStart"/>
      <w:r w:rsidR="00B57FAA" w:rsidRPr="003F2167">
        <w:t>COM(</w:t>
      </w:r>
      <w:proofErr w:type="gramEnd"/>
      <w:r w:rsidR="00CA30C3" w:rsidRPr="003F2167">
        <w:t>2026</w:t>
      </w:r>
      <w:r w:rsidR="00B57FAA" w:rsidRPr="003F2167">
        <w:t>)</w:t>
      </w:r>
      <w:r w:rsidR="00CA30C3" w:rsidRPr="003F2167">
        <w:t>0178</w:t>
      </w:r>
      <w:r w:rsidRPr="00AA7F7D">
        <w:t>),</w:t>
      </w:r>
    </w:p>
    <w:p w14:paraId="610050D2" w14:textId="48493B08" w:rsidR="006729C2" w:rsidRPr="00AA7F7D" w:rsidRDefault="006729C2" w:rsidP="006729C2">
      <w:pPr>
        <w:pStyle w:val="NormalHanging"/>
      </w:pPr>
      <w:r w:rsidRPr="00AA7F7D">
        <w:t>–</w:t>
      </w:r>
      <w:r w:rsidRPr="00AA7F7D">
        <w:tab/>
        <w:t xml:space="preserve">der henviser til Europa-Parlamentets og Rådets forordning (EU) </w:t>
      </w:r>
      <w:r w:rsidR="00CA30C3" w:rsidRPr="00AA7F7D">
        <w:t>2022</w:t>
      </w:r>
      <w:r w:rsidRPr="00AA7F7D">
        <w:t>/</w:t>
      </w:r>
      <w:r w:rsidR="00CA30C3" w:rsidRPr="00AA7F7D">
        <w:t>2065</w:t>
      </w:r>
      <w:r w:rsidRPr="00AA7F7D">
        <w:t xml:space="preserve"> af </w:t>
      </w:r>
      <w:r w:rsidR="00CA30C3" w:rsidRPr="00AA7F7D">
        <w:t>19</w:t>
      </w:r>
      <w:r w:rsidRPr="00AA7F7D">
        <w:t xml:space="preserve">. oktober </w:t>
      </w:r>
      <w:r w:rsidR="00CA30C3" w:rsidRPr="00AA7F7D">
        <w:t>2022</w:t>
      </w:r>
      <w:r w:rsidRPr="00AA7F7D">
        <w:t xml:space="preserve"> om et indre marked for digitale tjenester og om ændring af direktiv </w:t>
      </w:r>
      <w:r w:rsidR="00CA30C3" w:rsidRPr="00AA7F7D">
        <w:t>2000</w:t>
      </w:r>
      <w:r w:rsidRPr="00AA7F7D">
        <w:t>/</w:t>
      </w:r>
      <w:r w:rsidR="00CA30C3" w:rsidRPr="00AA7F7D">
        <w:t>31</w:t>
      </w:r>
      <w:r w:rsidRPr="00AA7F7D">
        <w:t>/EF (forordning om digitale tjenester)</w:t>
      </w:r>
      <w:r w:rsidR="00B57FAA" w:rsidRPr="00AA7F7D">
        <w:rPr>
          <w:rStyle w:val="FootnoteReference"/>
        </w:rPr>
        <w:footnoteReference w:id="2"/>
      </w:r>
      <w:r w:rsidRPr="00AA7F7D">
        <w:t>,</w:t>
      </w:r>
    </w:p>
    <w:p w14:paraId="64296366" w14:textId="7331C0B4" w:rsidR="006729C2" w:rsidRPr="00AA7F7D" w:rsidRDefault="006729C2" w:rsidP="006729C2">
      <w:pPr>
        <w:pStyle w:val="NormalHanging"/>
      </w:pPr>
      <w:r w:rsidRPr="00AA7F7D">
        <w:t>–</w:t>
      </w:r>
      <w:r w:rsidRPr="00AA7F7D">
        <w:tab/>
        <w:t>der henviser til Rådets forordning (EF) nr. </w:t>
      </w:r>
      <w:r w:rsidR="00CA30C3" w:rsidRPr="00AA7F7D">
        <w:t>139</w:t>
      </w:r>
      <w:r w:rsidRPr="00AA7F7D">
        <w:t>/</w:t>
      </w:r>
      <w:r w:rsidR="00CA30C3" w:rsidRPr="00AA7F7D">
        <w:t>2004</w:t>
      </w:r>
      <w:r w:rsidRPr="00AA7F7D">
        <w:t xml:space="preserve"> af </w:t>
      </w:r>
      <w:r w:rsidR="00CA30C3" w:rsidRPr="00AA7F7D">
        <w:t>20</w:t>
      </w:r>
      <w:r w:rsidRPr="00AA7F7D">
        <w:t xml:space="preserve">. januar </w:t>
      </w:r>
      <w:r w:rsidR="00CA30C3" w:rsidRPr="00AA7F7D">
        <w:t>2004</w:t>
      </w:r>
      <w:r w:rsidRPr="00AA7F7D">
        <w:t xml:space="preserve"> om kontrol med fusioner og virksomhedsovertagelser ("EF-fusionsforordningen")</w:t>
      </w:r>
      <w:r w:rsidR="00B57FAA" w:rsidRPr="00AA7F7D">
        <w:rPr>
          <w:rStyle w:val="FootnoteReference"/>
        </w:rPr>
        <w:footnoteReference w:id="3"/>
      </w:r>
      <w:r w:rsidRPr="00AA7F7D">
        <w:t>,</w:t>
      </w:r>
    </w:p>
    <w:p w14:paraId="22D73B77" w14:textId="46041B1F" w:rsidR="006729C2" w:rsidRPr="00AA7F7D" w:rsidRDefault="006729C2" w:rsidP="006729C2">
      <w:pPr>
        <w:pStyle w:val="NormalHanging"/>
      </w:pPr>
      <w:r w:rsidRPr="00AA7F7D">
        <w:t>–</w:t>
      </w:r>
      <w:r w:rsidRPr="00AA7F7D">
        <w:tab/>
        <w:t>der henviser til retningslinjerne for vurdering af horisontale fusioner efter Rådets forordning om kontrol med fusioner og virksomhedsovertagelser</w:t>
      </w:r>
      <w:r w:rsidR="00B57FAA" w:rsidRPr="00AA7F7D">
        <w:rPr>
          <w:rStyle w:val="FootnoteReference"/>
        </w:rPr>
        <w:footnoteReference w:id="4"/>
      </w:r>
      <w:r w:rsidRPr="00AA7F7D">
        <w:t>,</w:t>
      </w:r>
    </w:p>
    <w:p w14:paraId="3610FDED" w14:textId="37F2E1A6" w:rsidR="006729C2" w:rsidRPr="00AA7F7D" w:rsidRDefault="006729C2" w:rsidP="006729C2">
      <w:pPr>
        <w:pStyle w:val="NormalHanging"/>
      </w:pPr>
      <w:r w:rsidRPr="00AA7F7D">
        <w:t>–</w:t>
      </w:r>
      <w:r w:rsidRPr="00AA7F7D">
        <w:tab/>
        <w:t xml:space="preserve">der henviser til retningslinjerne for vurdering af ikke-horisontale fusioner efter Rådets </w:t>
      </w:r>
      <w:r w:rsidRPr="00AA7F7D">
        <w:lastRenderedPageBreak/>
        <w:t>forordning om kontrol med fusioner og virksomhedsovertagelser</w:t>
      </w:r>
      <w:r w:rsidR="00B57FAA" w:rsidRPr="00AA7F7D">
        <w:rPr>
          <w:rStyle w:val="FootnoteReference"/>
        </w:rPr>
        <w:footnoteReference w:id="5"/>
      </w:r>
      <w:r w:rsidRPr="00AA7F7D">
        <w:t>,</w:t>
      </w:r>
    </w:p>
    <w:p w14:paraId="44EA41B1" w14:textId="04ECF762" w:rsidR="006729C2" w:rsidRPr="00AA7F7D" w:rsidRDefault="006729C2" w:rsidP="006729C2">
      <w:pPr>
        <w:pStyle w:val="NormalHanging"/>
      </w:pPr>
      <w:r w:rsidRPr="00AA7F7D">
        <w:t>–</w:t>
      </w:r>
      <w:r w:rsidRPr="00AA7F7D">
        <w:tab/>
        <w:t xml:space="preserve">der henviser til Mario </w:t>
      </w:r>
      <w:proofErr w:type="spellStart"/>
      <w:r w:rsidRPr="00AA7F7D">
        <w:t>Draghis</w:t>
      </w:r>
      <w:proofErr w:type="spellEnd"/>
      <w:r w:rsidRPr="00AA7F7D">
        <w:t xml:space="preserve"> rapport af </w:t>
      </w:r>
      <w:r w:rsidR="00CA30C3" w:rsidRPr="00AA7F7D">
        <w:t>9</w:t>
      </w:r>
      <w:r w:rsidRPr="00AA7F7D">
        <w:t>. september </w:t>
      </w:r>
      <w:r w:rsidR="00CA30C3" w:rsidRPr="00AA7F7D">
        <w:t>2024</w:t>
      </w:r>
      <w:r w:rsidRPr="00AA7F7D">
        <w:t xml:space="preserve"> med titlen "The future of European </w:t>
      </w:r>
      <w:proofErr w:type="spellStart"/>
      <w:r w:rsidRPr="00AA7F7D">
        <w:t>competitiveness</w:t>
      </w:r>
      <w:proofErr w:type="spellEnd"/>
      <w:r w:rsidRPr="00AA7F7D">
        <w:t>" (Fremtiden for Europas konkurrenceevne) (</w:t>
      </w:r>
      <w:proofErr w:type="spellStart"/>
      <w:r w:rsidRPr="00AA7F7D">
        <w:t>Draghirapporten</w:t>
      </w:r>
      <w:proofErr w:type="spellEnd"/>
      <w:r w:rsidRPr="00AA7F7D">
        <w:t>),</w:t>
      </w:r>
    </w:p>
    <w:p w14:paraId="69E6FFE9" w14:textId="3B270080" w:rsidR="006729C2" w:rsidRPr="00AA7F7D" w:rsidRDefault="006729C2" w:rsidP="006729C2">
      <w:pPr>
        <w:pStyle w:val="NormalHanging"/>
      </w:pPr>
      <w:r w:rsidRPr="00AA7F7D">
        <w:t>–</w:t>
      </w:r>
      <w:r w:rsidRPr="00AA7F7D">
        <w:tab/>
        <w:t xml:space="preserve">der henviser til sin beslutning af </w:t>
      </w:r>
      <w:r w:rsidR="00CA30C3" w:rsidRPr="00AA7F7D">
        <w:t>10</w:t>
      </w:r>
      <w:r w:rsidRPr="00AA7F7D">
        <w:t xml:space="preserve">. september </w:t>
      </w:r>
      <w:r w:rsidR="00CA30C3" w:rsidRPr="00AA7F7D">
        <w:t>2025</w:t>
      </w:r>
      <w:r w:rsidRPr="00AA7F7D">
        <w:t xml:space="preserve"> om fremme af finansiering af investeringer og </w:t>
      </w:r>
      <w:proofErr w:type="spellStart"/>
      <w:r w:rsidRPr="00AA7F7D">
        <w:t>reformrer</w:t>
      </w:r>
      <w:proofErr w:type="spellEnd"/>
      <w:r w:rsidRPr="00AA7F7D">
        <w:t xml:space="preserve"> med henblik på at styrke den europæiske konkurrenceevne og skabe en kapitalmarkedsunion (</w:t>
      </w:r>
      <w:proofErr w:type="spellStart"/>
      <w:r w:rsidRPr="00AA7F7D">
        <w:t>Draghirapporten</w:t>
      </w:r>
      <w:proofErr w:type="spellEnd"/>
      <w:r w:rsidRPr="00AA7F7D">
        <w:t>)</w:t>
      </w:r>
      <w:r w:rsidR="00B57FAA" w:rsidRPr="00AA7F7D">
        <w:rPr>
          <w:rStyle w:val="FootnoteReference"/>
        </w:rPr>
        <w:footnoteReference w:id="6"/>
      </w:r>
      <w:r w:rsidRPr="00AA7F7D">
        <w:t>,</w:t>
      </w:r>
    </w:p>
    <w:p w14:paraId="5DF47AF7" w14:textId="77987C81" w:rsidR="006729C2" w:rsidRPr="00AA7F7D" w:rsidRDefault="006729C2" w:rsidP="006729C2">
      <w:pPr>
        <w:pStyle w:val="NormalHanging"/>
      </w:pPr>
      <w:r w:rsidRPr="00AA7F7D">
        <w:t>–</w:t>
      </w:r>
      <w:r w:rsidRPr="00AA7F7D">
        <w:tab/>
        <w:t xml:space="preserve">der henviser til Enrico </w:t>
      </w:r>
      <w:proofErr w:type="spellStart"/>
      <w:r w:rsidRPr="00AA7F7D">
        <w:t>Lettas</w:t>
      </w:r>
      <w:proofErr w:type="spellEnd"/>
      <w:r w:rsidRPr="00AA7F7D">
        <w:t xml:space="preserve"> rapport af </w:t>
      </w:r>
      <w:r w:rsidR="00CA30C3" w:rsidRPr="00AA7F7D">
        <w:t>17</w:t>
      </w:r>
      <w:r w:rsidRPr="00AA7F7D">
        <w:t xml:space="preserve">. april </w:t>
      </w:r>
      <w:r w:rsidR="00CA30C3" w:rsidRPr="00AA7F7D">
        <w:t>2024</w:t>
      </w:r>
      <w:r w:rsidRPr="00AA7F7D">
        <w:t xml:space="preserve"> med titlen "Much </w:t>
      </w:r>
      <w:proofErr w:type="gramStart"/>
      <w:r w:rsidRPr="00AA7F7D">
        <w:t>more</w:t>
      </w:r>
      <w:proofErr w:type="gramEnd"/>
      <w:r w:rsidRPr="00AA7F7D">
        <w:t xml:space="preserve"> </w:t>
      </w:r>
      <w:proofErr w:type="spellStart"/>
      <w:r w:rsidRPr="00AA7F7D">
        <w:t>than</w:t>
      </w:r>
      <w:proofErr w:type="spellEnd"/>
      <w:r w:rsidRPr="00AA7F7D">
        <w:t xml:space="preserve"> a </w:t>
      </w:r>
      <w:proofErr w:type="spellStart"/>
      <w:r w:rsidRPr="00AA7F7D">
        <w:t>market</w:t>
      </w:r>
      <w:proofErr w:type="spellEnd"/>
      <w:r w:rsidRPr="00AA7F7D">
        <w:t xml:space="preserve"> – Speed, security, </w:t>
      </w:r>
      <w:proofErr w:type="spellStart"/>
      <w:r w:rsidRPr="00AA7F7D">
        <w:t>solidarity</w:t>
      </w:r>
      <w:proofErr w:type="spellEnd"/>
      <w:r w:rsidRPr="00AA7F7D">
        <w:t xml:space="preserve">: </w:t>
      </w:r>
      <w:proofErr w:type="spellStart"/>
      <w:r w:rsidRPr="00AA7F7D">
        <w:t>Empowering</w:t>
      </w:r>
      <w:proofErr w:type="spellEnd"/>
      <w:r w:rsidRPr="00AA7F7D">
        <w:t xml:space="preserve"> the Single Market to deliver a </w:t>
      </w:r>
      <w:proofErr w:type="spellStart"/>
      <w:r w:rsidRPr="00AA7F7D">
        <w:t>sustainable</w:t>
      </w:r>
      <w:proofErr w:type="spellEnd"/>
      <w:r w:rsidRPr="00AA7F7D">
        <w:t xml:space="preserve"> future and </w:t>
      </w:r>
      <w:proofErr w:type="spellStart"/>
      <w:r w:rsidRPr="00AA7F7D">
        <w:t>prosperity</w:t>
      </w:r>
      <w:proofErr w:type="spellEnd"/>
      <w:r w:rsidRPr="00AA7F7D">
        <w:t xml:space="preserve"> for all EU Citizens" (Meget mere end et marked – hurtighed, sikkerhed og solidaritet: styrkelse af det indre marked for at skabe en bæredygtig fremtid og velstand for alle EU-borgere) (</w:t>
      </w:r>
      <w:proofErr w:type="spellStart"/>
      <w:r w:rsidRPr="00AA7F7D">
        <w:t>Lettarapporten</w:t>
      </w:r>
      <w:proofErr w:type="spellEnd"/>
      <w:r w:rsidRPr="00AA7F7D">
        <w:t>),</w:t>
      </w:r>
    </w:p>
    <w:p w14:paraId="071E3019" w14:textId="4741BF45" w:rsidR="006729C2" w:rsidRPr="00AA7F7D" w:rsidRDefault="006729C2" w:rsidP="006729C2">
      <w:pPr>
        <w:pStyle w:val="NormalHanging"/>
      </w:pPr>
      <w:r w:rsidRPr="00AA7F7D">
        <w:t>–</w:t>
      </w:r>
      <w:r w:rsidRPr="00AA7F7D">
        <w:tab/>
        <w:t xml:space="preserve">der henviser til rapporten af Jörg </w:t>
      </w:r>
      <w:proofErr w:type="spellStart"/>
      <w:r w:rsidRPr="00AA7F7D">
        <w:t>Kukies</w:t>
      </w:r>
      <w:proofErr w:type="spellEnd"/>
      <w:r w:rsidRPr="00AA7F7D">
        <w:t xml:space="preserve"> og Christian </w:t>
      </w:r>
      <w:proofErr w:type="spellStart"/>
      <w:r w:rsidRPr="00AA7F7D">
        <w:t>Noyer</w:t>
      </w:r>
      <w:proofErr w:type="spellEnd"/>
      <w:r w:rsidRPr="00AA7F7D">
        <w:t xml:space="preserve"> af </w:t>
      </w:r>
      <w:r w:rsidR="00CA30C3" w:rsidRPr="00AA7F7D">
        <w:t>19</w:t>
      </w:r>
      <w:r w:rsidRPr="00AA7F7D">
        <w:t xml:space="preserve">. januar </w:t>
      </w:r>
      <w:r w:rsidR="00CA30C3" w:rsidRPr="00AA7F7D">
        <w:t>2026</w:t>
      </w:r>
      <w:r w:rsidRPr="00AA7F7D">
        <w:t xml:space="preserve"> med titlen "</w:t>
      </w:r>
      <w:proofErr w:type="spellStart"/>
      <w:r w:rsidRPr="00AA7F7D">
        <w:t>Financing</w:t>
      </w:r>
      <w:proofErr w:type="spellEnd"/>
      <w:r w:rsidRPr="00AA7F7D">
        <w:t xml:space="preserve"> Innovative Ventures in Europe",</w:t>
      </w:r>
    </w:p>
    <w:p w14:paraId="2C27E4CF" w14:textId="7671AF51" w:rsidR="006729C2" w:rsidRPr="00AA7F7D" w:rsidRDefault="006729C2" w:rsidP="006729C2">
      <w:pPr>
        <w:pStyle w:val="NormalHanging"/>
      </w:pPr>
      <w:r w:rsidRPr="00AA7F7D">
        <w:t>–</w:t>
      </w:r>
      <w:r w:rsidRPr="00AA7F7D">
        <w:tab/>
        <w:t xml:space="preserve">der henviser til Kommissionens meddelelse af </w:t>
      </w:r>
      <w:r w:rsidR="00CA30C3" w:rsidRPr="00AA7F7D">
        <w:t>29</w:t>
      </w:r>
      <w:r w:rsidRPr="00AA7F7D">
        <w:t xml:space="preserve">. januar </w:t>
      </w:r>
      <w:r w:rsidR="00CA30C3" w:rsidRPr="00AA7F7D">
        <w:t>2025</w:t>
      </w:r>
      <w:r w:rsidRPr="00AA7F7D">
        <w:t xml:space="preserve"> med titlen "Et konkurrenceevnekompas for EU" (</w:t>
      </w:r>
      <w:proofErr w:type="gramStart"/>
      <w:r w:rsidRPr="00AA7F7D">
        <w:t>COM(</w:t>
      </w:r>
      <w:proofErr w:type="gramEnd"/>
      <w:r w:rsidR="00CA30C3" w:rsidRPr="00AA7F7D">
        <w:t>2025</w:t>
      </w:r>
      <w:r w:rsidRPr="00AA7F7D">
        <w:t>)</w:t>
      </w:r>
      <w:r w:rsidR="00CA30C3" w:rsidRPr="00AA7F7D">
        <w:t>0030</w:t>
      </w:r>
      <w:r w:rsidRPr="00AA7F7D">
        <w:t>),</w:t>
      </w:r>
    </w:p>
    <w:p w14:paraId="118195BF" w14:textId="2E5443B7" w:rsidR="006729C2" w:rsidRPr="00AA7F7D" w:rsidRDefault="006729C2" w:rsidP="006729C2">
      <w:pPr>
        <w:pStyle w:val="NormalHanging"/>
      </w:pPr>
      <w:r w:rsidRPr="00AA7F7D">
        <w:t>–</w:t>
      </w:r>
      <w:r w:rsidRPr="00AA7F7D">
        <w:tab/>
        <w:t xml:space="preserve">der henviser til Kommissionens forslag af </w:t>
      </w:r>
      <w:r w:rsidR="00CA30C3" w:rsidRPr="00AA7F7D">
        <w:t>21</w:t>
      </w:r>
      <w:r w:rsidRPr="00AA7F7D">
        <w:t xml:space="preserve">. januar </w:t>
      </w:r>
      <w:r w:rsidR="00CA30C3" w:rsidRPr="00AA7F7D">
        <w:t>2026</w:t>
      </w:r>
      <w:r w:rsidRPr="00AA7F7D">
        <w:t xml:space="preserve"> til Europa-Parlamentets og Rådets forordning om digitale net, om ændring af forordning (EU) </w:t>
      </w:r>
      <w:r w:rsidR="00CA30C3" w:rsidRPr="00AA7F7D">
        <w:t>2015</w:t>
      </w:r>
      <w:r w:rsidRPr="00AA7F7D">
        <w:t>/</w:t>
      </w:r>
      <w:r w:rsidR="00CA30C3" w:rsidRPr="00AA7F7D">
        <w:t>2120</w:t>
      </w:r>
      <w:r w:rsidRPr="00AA7F7D">
        <w:t xml:space="preserve">, direktiv </w:t>
      </w:r>
      <w:r w:rsidR="00CA30C3" w:rsidRPr="00AA7F7D">
        <w:t>2002</w:t>
      </w:r>
      <w:r w:rsidRPr="00AA7F7D">
        <w:t>/</w:t>
      </w:r>
      <w:r w:rsidR="00CA30C3" w:rsidRPr="00AA7F7D">
        <w:t>58</w:t>
      </w:r>
      <w:r w:rsidRPr="00AA7F7D">
        <w:t>/EF og beslutning nr. </w:t>
      </w:r>
      <w:r w:rsidR="00CA30C3" w:rsidRPr="00AA7F7D">
        <w:t>676</w:t>
      </w:r>
      <w:r w:rsidRPr="00AA7F7D">
        <w:t>/</w:t>
      </w:r>
      <w:r w:rsidR="00CA30C3" w:rsidRPr="00AA7F7D">
        <w:t>2002</w:t>
      </w:r>
      <w:r w:rsidRPr="00AA7F7D">
        <w:t xml:space="preserve">/EF, og om ophævelse af forordning (EU) </w:t>
      </w:r>
      <w:r w:rsidR="00CA30C3" w:rsidRPr="00AA7F7D">
        <w:t>2018</w:t>
      </w:r>
      <w:r w:rsidRPr="00AA7F7D">
        <w:t>/</w:t>
      </w:r>
      <w:r w:rsidR="00CA30C3" w:rsidRPr="00AA7F7D">
        <w:t>1971</w:t>
      </w:r>
      <w:r w:rsidRPr="00AA7F7D">
        <w:t xml:space="preserve">, direktiv (EU) </w:t>
      </w:r>
      <w:r w:rsidR="00CA30C3" w:rsidRPr="00AA7F7D">
        <w:t>2018</w:t>
      </w:r>
      <w:r w:rsidRPr="00AA7F7D">
        <w:t>/</w:t>
      </w:r>
      <w:r w:rsidR="00CA30C3" w:rsidRPr="00AA7F7D">
        <w:t>1972</w:t>
      </w:r>
      <w:r w:rsidRPr="00AA7F7D">
        <w:t xml:space="preserve"> og afgørelse nr. </w:t>
      </w:r>
      <w:r w:rsidR="00CA30C3" w:rsidRPr="00AA7F7D">
        <w:t>243</w:t>
      </w:r>
      <w:r w:rsidRPr="00AA7F7D">
        <w:t>/</w:t>
      </w:r>
      <w:r w:rsidR="00CA30C3" w:rsidRPr="00AA7F7D">
        <w:t>2012</w:t>
      </w:r>
      <w:r w:rsidRPr="00AA7F7D">
        <w:t>/EU (forordningen om digitale net) (</w:t>
      </w:r>
      <w:proofErr w:type="gramStart"/>
      <w:r w:rsidR="00B57FAA" w:rsidRPr="003F2167">
        <w:t>COM(</w:t>
      </w:r>
      <w:proofErr w:type="gramEnd"/>
      <w:r w:rsidR="00CA30C3" w:rsidRPr="003F2167">
        <w:t>2026</w:t>
      </w:r>
      <w:r w:rsidR="00B57FAA" w:rsidRPr="003F2167">
        <w:t>)</w:t>
      </w:r>
      <w:r w:rsidR="00CA30C3" w:rsidRPr="003F2167">
        <w:t>0016</w:t>
      </w:r>
      <w:r w:rsidRPr="00AA7F7D">
        <w:t>),</w:t>
      </w:r>
    </w:p>
    <w:p w14:paraId="335A6ADF" w14:textId="688D15AD" w:rsidR="006729C2" w:rsidRPr="00AA7F7D" w:rsidRDefault="006729C2" w:rsidP="006729C2">
      <w:pPr>
        <w:pStyle w:val="NormalHanging"/>
      </w:pPr>
      <w:r w:rsidRPr="00AA7F7D">
        <w:t>–</w:t>
      </w:r>
      <w:r w:rsidRPr="00AA7F7D">
        <w:tab/>
        <w:t xml:space="preserve">der henviser til rapporten af </w:t>
      </w:r>
      <w:r w:rsidR="00CA30C3" w:rsidRPr="00AA7F7D">
        <w:t>29</w:t>
      </w:r>
      <w:r w:rsidRPr="00AA7F7D">
        <w:t xml:space="preserve">. oktober </w:t>
      </w:r>
      <w:r w:rsidR="00CA30C3" w:rsidRPr="00AA7F7D">
        <w:t>2025</w:t>
      </w:r>
      <w:r w:rsidRPr="00AA7F7D">
        <w:t xml:space="preserve"> med titlen "</w:t>
      </w:r>
      <w:proofErr w:type="spellStart"/>
      <w:r w:rsidRPr="00AA7F7D">
        <w:t>Factual</w:t>
      </w:r>
      <w:proofErr w:type="spellEnd"/>
      <w:r w:rsidRPr="00AA7F7D">
        <w:t xml:space="preserve"> summary of the </w:t>
      </w:r>
      <w:proofErr w:type="spellStart"/>
      <w:r w:rsidRPr="00AA7F7D">
        <w:t>contributions</w:t>
      </w:r>
      <w:proofErr w:type="spellEnd"/>
      <w:r w:rsidRPr="00AA7F7D">
        <w:t xml:space="preserve"> </w:t>
      </w:r>
      <w:proofErr w:type="spellStart"/>
      <w:r w:rsidRPr="00AA7F7D">
        <w:t>received</w:t>
      </w:r>
      <w:proofErr w:type="spellEnd"/>
      <w:r w:rsidRPr="00AA7F7D">
        <w:t xml:space="preserve"> in the </w:t>
      </w:r>
      <w:proofErr w:type="spellStart"/>
      <w:r w:rsidRPr="00AA7F7D">
        <w:t>context</w:t>
      </w:r>
      <w:proofErr w:type="spellEnd"/>
      <w:r w:rsidRPr="00AA7F7D">
        <w:t xml:space="preserve"> of the public </w:t>
      </w:r>
      <w:proofErr w:type="spellStart"/>
      <w:r w:rsidRPr="00AA7F7D">
        <w:t>consultation</w:t>
      </w:r>
      <w:proofErr w:type="spellEnd"/>
      <w:r w:rsidRPr="00AA7F7D">
        <w:t xml:space="preserve"> on the </w:t>
      </w:r>
      <w:proofErr w:type="spellStart"/>
      <w:r w:rsidRPr="00AA7F7D">
        <w:t>review</w:t>
      </w:r>
      <w:proofErr w:type="spellEnd"/>
      <w:r w:rsidRPr="00AA7F7D">
        <w:t xml:space="preserve"> of the </w:t>
      </w:r>
      <w:proofErr w:type="spellStart"/>
      <w:r w:rsidRPr="00AA7F7D">
        <w:t>horizontal</w:t>
      </w:r>
      <w:proofErr w:type="spellEnd"/>
      <w:r w:rsidRPr="00AA7F7D">
        <w:t xml:space="preserve"> and the non-</w:t>
      </w:r>
      <w:proofErr w:type="spellStart"/>
      <w:r w:rsidRPr="00AA7F7D">
        <w:t>horizontal</w:t>
      </w:r>
      <w:proofErr w:type="spellEnd"/>
      <w:r w:rsidRPr="00AA7F7D">
        <w:t xml:space="preserve"> </w:t>
      </w:r>
      <w:proofErr w:type="spellStart"/>
      <w:r w:rsidRPr="00AA7F7D">
        <w:t>merger</w:t>
      </w:r>
      <w:proofErr w:type="spellEnd"/>
      <w:r w:rsidRPr="00AA7F7D">
        <w:t xml:space="preserve"> guidelines",</w:t>
      </w:r>
    </w:p>
    <w:p w14:paraId="2EC2C67A" w14:textId="225B0451" w:rsidR="006729C2" w:rsidRPr="00AA7F7D" w:rsidRDefault="006729C2" w:rsidP="006729C2">
      <w:pPr>
        <w:pStyle w:val="NormalHanging"/>
      </w:pPr>
      <w:r w:rsidRPr="00AA7F7D">
        <w:t>–</w:t>
      </w:r>
      <w:r w:rsidRPr="00AA7F7D">
        <w:tab/>
        <w:t xml:space="preserve">der henviser til arbejdsdokumentet fra Kommissionens tjenestegrene af </w:t>
      </w:r>
      <w:r w:rsidR="00CA30C3" w:rsidRPr="00AA7F7D">
        <w:t>13</w:t>
      </w:r>
      <w:r w:rsidRPr="00AA7F7D">
        <w:t xml:space="preserve">. oktober </w:t>
      </w:r>
      <w:r w:rsidR="00CA30C3" w:rsidRPr="00AA7F7D">
        <w:t>2025</w:t>
      </w:r>
      <w:r w:rsidRPr="00AA7F7D">
        <w:t xml:space="preserve"> med titlen "Evaluation of the </w:t>
      </w:r>
      <w:proofErr w:type="spellStart"/>
      <w:r w:rsidRPr="00AA7F7D">
        <w:t>Commission</w:t>
      </w:r>
      <w:proofErr w:type="spellEnd"/>
      <w:r w:rsidRPr="00AA7F7D">
        <w:t xml:space="preserve"> </w:t>
      </w:r>
      <w:proofErr w:type="spellStart"/>
      <w:r w:rsidRPr="00AA7F7D">
        <w:t>Notice</w:t>
      </w:r>
      <w:proofErr w:type="spellEnd"/>
      <w:r w:rsidRPr="00AA7F7D">
        <w:t xml:space="preserve"> on the application of </w:t>
      </w:r>
      <w:proofErr w:type="spellStart"/>
      <w:r w:rsidRPr="00AA7F7D">
        <w:t>Articles</w:t>
      </w:r>
      <w:proofErr w:type="spellEnd"/>
      <w:r w:rsidRPr="00AA7F7D">
        <w:t xml:space="preserve"> </w:t>
      </w:r>
      <w:r w:rsidR="00CA30C3" w:rsidRPr="00AA7F7D">
        <w:t>87</w:t>
      </w:r>
      <w:r w:rsidRPr="00AA7F7D">
        <w:t xml:space="preserve"> and </w:t>
      </w:r>
      <w:r w:rsidR="00CA30C3" w:rsidRPr="00AA7F7D">
        <w:t>88</w:t>
      </w:r>
      <w:r w:rsidRPr="00AA7F7D">
        <w:t xml:space="preserve"> on the EC </w:t>
      </w:r>
      <w:proofErr w:type="spellStart"/>
      <w:r w:rsidRPr="00AA7F7D">
        <w:t>Treaty</w:t>
      </w:r>
      <w:proofErr w:type="spellEnd"/>
      <w:r w:rsidRPr="00AA7F7D">
        <w:t xml:space="preserve"> to State </w:t>
      </w:r>
      <w:proofErr w:type="spellStart"/>
      <w:r w:rsidRPr="00AA7F7D">
        <w:t>aid</w:t>
      </w:r>
      <w:proofErr w:type="spellEnd"/>
      <w:r w:rsidRPr="00AA7F7D">
        <w:t xml:space="preserve"> in the form of </w:t>
      </w:r>
      <w:proofErr w:type="spellStart"/>
      <w:r w:rsidRPr="00AA7F7D">
        <w:t>guarantees</w:t>
      </w:r>
      <w:proofErr w:type="spellEnd"/>
      <w:r w:rsidRPr="00AA7F7D">
        <w:t>" (</w:t>
      </w:r>
      <w:proofErr w:type="gramStart"/>
      <w:r w:rsidRPr="00AA7F7D">
        <w:t>SWD(</w:t>
      </w:r>
      <w:proofErr w:type="gramEnd"/>
      <w:r w:rsidR="00CA30C3" w:rsidRPr="00AA7F7D">
        <w:t>2025</w:t>
      </w:r>
      <w:r w:rsidRPr="00AA7F7D">
        <w:t>)</w:t>
      </w:r>
      <w:r w:rsidR="00CA30C3" w:rsidRPr="00AA7F7D">
        <w:t>0330</w:t>
      </w:r>
      <w:r w:rsidRPr="00AA7F7D">
        <w:t>),</w:t>
      </w:r>
    </w:p>
    <w:p w14:paraId="01450B85" w14:textId="435C8B09" w:rsidR="006729C2" w:rsidRPr="00AA7F7D" w:rsidRDefault="006729C2" w:rsidP="006729C2">
      <w:pPr>
        <w:pStyle w:val="NormalHanging"/>
      </w:pPr>
      <w:r w:rsidRPr="00AA7F7D">
        <w:t>–</w:t>
      </w:r>
      <w:r w:rsidRPr="00AA7F7D">
        <w:tab/>
        <w:t xml:space="preserve">der henviser til arbejdsdokumentet fra Kommissionens tjenestegrene af </w:t>
      </w:r>
      <w:r w:rsidR="00CA30C3" w:rsidRPr="00AA7F7D">
        <w:t>13</w:t>
      </w:r>
      <w:r w:rsidRPr="00AA7F7D">
        <w:t xml:space="preserve">. oktober </w:t>
      </w:r>
      <w:r w:rsidR="00CA30C3" w:rsidRPr="00AA7F7D">
        <w:t>2025</w:t>
      </w:r>
      <w:r w:rsidRPr="00AA7F7D">
        <w:t xml:space="preserve"> med titlen "</w:t>
      </w:r>
      <w:proofErr w:type="spellStart"/>
      <w:r w:rsidRPr="00AA7F7D">
        <w:t>Executive</w:t>
      </w:r>
      <w:proofErr w:type="spellEnd"/>
      <w:r w:rsidRPr="00AA7F7D">
        <w:t xml:space="preserve"> summary of the </w:t>
      </w:r>
      <w:proofErr w:type="spellStart"/>
      <w:r w:rsidRPr="00AA7F7D">
        <w:t>evaluation</w:t>
      </w:r>
      <w:proofErr w:type="spellEnd"/>
      <w:r w:rsidRPr="00AA7F7D">
        <w:t xml:space="preserve"> of the </w:t>
      </w:r>
      <w:proofErr w:type="spellStart"/>
      <w:r w:rsidRPr="00AA7F7D">
        <w:t>Commission</w:t>
      </w:r>
      <w:proofErr w:type="spellEnd"/>
      <w:r w:rsidRPr="00AA7F7D">
        <w:t xml:space="preserve"> </w:t>
      </w:r>
      <w:proofErr w:type="spellStart"/>
      <w:r w:rsidRPr="00AA7F7D">
        <w:t>Notice</w:t>
      </w:r>
      <w:proofErr w:type="spellEnd"/>
      <w:r w:rsidRPr="00AA7F7D">
        <w:t xml:space="preserve"> on the application of </w:t>
      </w:r>
      <w:proofErr w:type="spellStart"/>
      <w:r w:rsidRPr="00AA7F7D">
        <w:t>Articles</w:t>
      </w:r>
      <w:proofErr w:type="spellEnd"/>
      <w:r w:rsidRPr="00AA7F7D">
        <w:t xml:space="preserve"> </w:t>
      </w:r>
      <w:r w:rsidR="00CA30C3" w:rsidRPr="00AA7F7D">
        <w:t>87</w:t>
      </w:r>
      <w:r w:rsidRPr="00AA7F7D">
        <w:t xml:space="preserve"> and </w:t>
      </w:r>
      <w:r w:rsidR="00CA30C3" w:rsidRPr="00AA7F7D">
        <w:t>88</w:t>
      </w:r>
      <w:r w:rsidRPr="00AA7F7D">
        <w:t xml:space="preserve"> of the EC </w:t>
      </w:r>
      <w:proofErr w:type="spellStart"/>
      <w:r w:rsidRPr="00AA7F7D">
        <w:t>Treaty</w:t>
      </w:r>
      <w:proofErr w:type="spellEnd"/>
      <w:r w:rsidRPr="00AA7F7D">
        <w:t xml:space="preserve"> to State </w:t>
      </w:r>
      <w:proofErr w:type="spellStart"/>
      <w:r w:rsidRPr="00AA7F7D">
        <w:t>aid</w:t>
      </w:r>
      <w:proofErr w:type="spellEnd"/>
      <w:r w:rsidRPr="00AA7F7D">
        <w:t xml:space="preserve"> in the form of </w:t>
      </w:r>
      <w:proofErr w:type="spellStart"/>
      <w:r w:rsidRPr="00AA7F7D">
        <w:t>guarantees</w:t>
      </w:r>
      <w:proofErr w:type="spellEnd"/>
      <w:r w:rsidRPr="00AA7F7D">
        <w:t>" (</w:t>
      </w:r>
      <w:proofErr w:type="gramStart"/>
      <w:r w:rsidRPr="00AA7F7D">
        <w:t>SWD(</w:t>
      </w:r>
      <w:proofErr w:type="gramEnd"/>
      <w:r w:rsidR="00CA30C3" w:rsidRPr="00AA7F7D">
        <w:t>2025</w:t>
      </w:r>
      <w:r w:rsidRPr="00AA7F7D">
        <w:t>)</w:t>
      </w:r>
      <w:r w:rsidR="00CA30C3" w:rsidRPr="00AA7F7D">
        <w:t>0331</w:t>
      </w:r>
      <w:r w:rsidRPr="00AA7F7D">
        <w:t>),</w:t>
      </w:r>
    </w:p>
    <w:p w14:paraId="50D78E95" w14:textId="0F443A37" w:rsidR="006729C2" w:rsidRPr="00AA7F7D" w:rsidRDefault="006729C2" w:rsidP="006729C2">
      <w:pPr>
        <w:pStyle w:val="NormalHanging"/>
      </w:pPr>
      <w:r w:rsidRPr="00AA7F7D">
        <w:t>–</w:t>
      </w:r>
      <w:r w:rsidRPr="00AA7F7D">
        <w:tab/>
        <w:t xml:space="preserve">der henviser til Kommissionens undersøgelse med titlen "Ex post </w:t>
      </w:r>
      <w:proofErr w:type="spellStart"/>
      <w:r w:rsidRPr="00AA7F7D">
        <w:t>evaluation</w:t>
      </w:r>
      <w:proofErr w:type="spellEnd"/>
      <w:r w:rsidRPr="00AA7F7D">
        <w:t xml:space="preserve"> of the </w:t>
      </w:r>
      <w:proofErr w:type="spellStart"/>
      <w:r w:rsidRPr="00AA7F7D">
        <w:t>implementation</w:t>
      </w:r>
      <w:proofErr w:type="spellEnd"/>
      <w:r w:rsidRPr="00AA7F7D">
        <w:t xml:space="preserve"> and </w:t>
      </w:r>
      <w:proofErr w:type="spellStart"/>
      <w:r w:rsidRPr="00AA7F7D">
        <w:t>effectiveness</w:t>
      </w:r>
      <w:proofErr w:type="spellEnd"/>
      <w:r w:rsidRPr="00AA7F7D">
        <w:t xml:space="preserve"> of EU antitrust remedies"</w:t>
      </w:r>
      <w:r w:rsidR="00B57FAA" w:rsidRPr="00AA7F7D">
        <w:rPr>
          <w:rStyle w:val="FootnoteReference"/>
        </w:rPr>
        <w:footnoteReference w:id="7"/>
      </w:r>
      <w:r w:rsidRPr="00AA7F7D">
        <w:t>,</w:t>
      </w:r>
    </w:p>
    <w:p w14:paraId="7885DCD8" w14:textId="4086AF0C" w:rsidR="006729C2" w:rsidRPr="00AA7F7D" w:rsidRDefault="006729C2" w:rsidP="006729C2">
      <w:pPr>
        <w:pStyle w:val="NormalHanging"/>
      </w:pPr>
      <w:r w:rsidRPr="00AA7F7D">
        <w:t>–</w:t>
      </w:r>
      <w:r w:rsidRPr="00AA7F7D">
        <w:tab/>
        <w:t>der henviser til Europa-Parlamentets og Rådets forordning (EU) </w:t>
      </w:r>
      <w:r w:rsidR="00CA30C3" w:rsidRPr="00AA7F7D">
        <w:t>2022</w:t>
      </w:r>
      <w:r w:rsidRPr="00AA7F7D">
        <w:t>/</w:t>
      </w:r>
      <w:r w:rsidR="00CA30C3" w:rsidRPr="00AA7F7D">
        <w:t>2560</w:t>
      </w:r>
      <w:r w:rsidRPr="00AA7F7D">
        <w:t xml:space="preserve"> af </w:t>
      </w:r>
      <w:r w:rsidR="00CA30C3" w:rsidRPr="00AA7F7D">
        <w:t>14</w:t>
      </w:r>
      <w:r w:rsidRPr="00AA7F7D">
        <w:t xml:space="preserve">. december </w:t>
      </w:r>
      <w:r w:rsidR="00CA30C3" w:rsidRPr="00AA7F7D">
        <w:t>2022</w:t>
      </w:r>
      <w:r w:rsidRPr="00AA7F7D">
        <w:t xml:space="preserve"> om udenlandske subsidier, der fordrejer det indre marked</w:t>
      </w:r>
      <w:r w:rsidR="00B57FAA" w:rsidRPr="00AA7F7D">
        <w:rPr>
          <w:rStyle w:val="FootnoteReference"/>
        </w:rPr>
        <w:footnoteReference w:id="8"/>
      </w:r>
      <w:r w:rsidRPr="00AA7F7D">
        <w:t xml:space="preserve"> </w:t>
      </w:r>
      <w:r w:rsidRPr="00AA7F7D">
        <w:lastRenderedPageBreak/>
        <w:t>(forordningen om udenlandske subsidier),</w:t>
      </w:r>
    </w:p>
    <w:p w14:paraId="4276334B" w14:textId="0C33DA04" w:rsidR="006729C2" w:rsidRPr="00AA7F7D" w:rsidRDefault="006729C2" w:rsidP="006729C2">
      <w:pPr>
        <w:pStyle w:val="NormalHanging"/>
      </w:pPr>
      <w:r w:rsidRPr="00AA7F7D">
        <w:t>–</w:t>
      </w:r>
      <w:r w:rsidRPr="00AA7F7D">
        <w:tab/>
        <w:t xml:space="preserve">der henviser til Kommissionens meddelelse af </w:t>
      </w:r>
      <w:r w:rsidR="00CA30C3" w:rsidRPr="00AA7F7D">
        <w:t>9</w:t>
      </w:r>
      <w:r w:rsidRPr="00AA7F7D">
        <w:t xml:space="preserve">. januar </w:t>
      </w:r>
      <w:r w:rsidR="00CA30C3" w:rsidRPr="00AA7F7D">
        <w:t>2026</w:t>
      </w:r>
      <w:r w:rsidRPr="00AA7F7D">
        <w:t xml:space="preserve"> med titlen "Retningslinjer for anvendelsen af visse bestemmelser i Europa-Parlamentets og Rådets forordning (EU) </w:t>
      </w:r>
      <w:r w:rsidR="00CA30C3" w:rsidRPr="00AA7F7D">
        <w:t>2022</w:t>
      </w:r>
      <w:r w:rsidRPr="00AA7F7D">
        <w:t>/</w:t>
      </w:r>
      <w:r w:rsidR="00CA30C3" w:rsidRPr="00AA7F7D">
        <w:t>2560</w:t>
      </w:r>
      <w:r w:rsidRPr="00AA7F7D">
        <w:t xml:space="preserve"> om udenlandske subsidier, der fordrejer det indre marked"</w:t>
      </w:r>
      <w:r w:rsidR="00B57FAA" w:rsidRPr="00AA7F7D">
        <w:rPr>
          <w:rStyle w:val="FootnoteReference"/>
        </w:rPr>
        <w:footnoteReference w:id="9"/>
      </w:r>
      <w:r w:rsidRPr="00AA7F7D">
        <w:t>,</w:t>
      </w:r>
    </w:p>
    <w:p w14:paraId="4B9AA295" w14:textId="71B68B42" w:rsidR="006729C2" w:rsidRPr="00AA7F7D" w:rsidRDefault="006729C2" w:rsidP="006729C2">
      <w:pPr>
        <w:pStyle w:val="NormalHanging"/>
      </w:pPr>
      <w:r w:rsidRPr="00AA7F7D">
        <w:t>–</w:t>
      </w:r>
      <w:r w:rsidRPr="00AA7F7D">
        <w:tab/>
        <w:t xml:space="preserve">der henviser til Kommissionens meddelelse af </w:t>
      </w:r>
      <w:r w:rsidR="00CA30C3" w:rsidRPr="00AA7F7D">
        <w:t>26</w:t>
      </w:r>
      <w:r w:rsidRPr="00AA7F7D">
        <w:t xml:space="preserve">. februar </w:t>
      </w:r>
      <w:r w:rsidR="00CA30C3" w:rsidRPr="00AA7F7D">
        <w:t>2025</w:t>
      </w:r>
      <w:r w:rsidRPr="00AA7F7D">
        <w:t xml:space="preserve"> med titlen "Aftalen om ren industri: En fælles køreplan for </w:t>
      </w:r>
      <w:proofErr w:type="spellStart"/>
      <w:r w:rsidRPr="00AA7F7D">
        <w:t>dekarbonisering</w:t>
      </w:r>
      <w:proofErr w:type="spellEnd"/>
      <w:r w:rsidRPr="00AA7F7D">
        <w:t xml:space="preserve"> og konkurrenceevne" (</w:t>
      </w:r>
      <w:proofErr w:type="gramStart"/>
      <w:r w:rsidR="00B57FAA" w:rsidRPr="003F2167">
        <w:t>COM(</w:t>
      </w:r>
      <w:proofErr w:type="gramEnd"/>
      <w:r w:rsidR="00CA30C3" w:rsidRPr="003F2167">
        <w:t>2025</w:t>
      </w:r>
      <w:r w:rsidR="00B57FAA" w:rsidRPr="003F2167">
        <w:t>)</w:t>
      </w:r>
      <w:r w:rsidR="00CA30C3" w:rsidRPr="003F2167">
        <w:t>0085</w:t>
      </w:r>
      <w:r w:rsidRPr="00AA7F7D">
        <w:t>),</w:t>
      </w:r>
    </w:p>
    <w:p w14:paraId="065BFBE9" w14:textId="761D1D40" w:rsidR="006729C2" w:rsidRPr="00AA7F7D" w:rsidRDefault="006729C2" w:rsidP="006729C2">
      <w:pPr>
        <w:pStyle w:val="NormalHanging"/>
      </w:pPr>
      <w:r w:rsidRPr="00AA7F7D">
        <w:t>–</w:t>
      </w:r>
      <w:r w:rsidRPr="00AA7F7D">
        <w:tab/>
        <w:t xml:space="preserve">der henviser til Kommissionens meddelelse af </w:t>
      </w:r>
      <w:r w:rsidR="00CA30C3" w:rsidRPr="00AA7F7D">
        <w:t>4</w:t>
      </w:r>
      <w:r w:rsidRPr="00AA7F7D">
        <w:t xml:space="preserve">. juli </w:t>
      </w:r>
      <w:r w:rsidR="00CA30C3" w:rsidRPr="00AA7F7D">
        <w:t>2025</w:t>
      </w:r>
      <w:r w:rsidRPr="00AA7F7D">
        <w:t xml:space="preserve"> med titlen "Rammebestemmelser for statsstøtteforanstaltninger til støtte for aftalen om ren industri (rammebestemmelser for statsstøtte i forbindelse med aftalen om ren industri)"</w:t>
      </w:r>
      <w:r w:rsidR="00B57FAA" w:rsidRPr="00AA7F7D">
        <w:rPr>
          <w:rStyle w:val="FootnoteReference"/>
        </w:rPr>
        <w:footnoteReference w:id="10"/>
      </w:r>
      <w:r w:rsidRPr="00AA7F7D">
        <w:t>,</w:t>
      </w:r>
    </w:p>
    <w:p w14:paraId="11DBBB97" w14:textId="7770F1AF" w:rsidR="006729C2" w:rsidRPr="00AA7F7D" w:rsidRDefault="006729C2" w:rsidP="006729C2">
      <w:pPr>
        <w:pStyle w:val="NormalHanging"/>
      </w:pPr>
      <w:r w:rsidRPr="00AA7F7D">
        <w:t>–</w:t>
      </w:r>
      <w:r w:rsidRPr="00AA7F7D">
        <w:tab/>
        <w:t xml:space="preserve">der henviser til arbejdsdokument fra Kommissionens tjenestegrene af </w:t>
      </w:r>
      <w:r w:rsidR="00CA30C3" w:rsidRPr="00AA7F7D">
        <w:t>4</w:t>
      </w:r>
      <w:r w:rsidRPr="00AA7F7D">
        <w:t xml:space="preserve">. november </w:t>
      </w:r>
      <w:r w:rsidR="00CA30C3" w:rsidRPr="00AA7F7D">
        <w:t>2025</w:t>
      </w:r>
      <w:r w:rsidRPr="00AA7F7D">
        <w:t>, der ledsager Kommissionens meddelelse om rammebestemmelserne for statsstøtte i forbindelse med aftalen om ren industri (</w:t>
      </w:r>
      <w:proofErr w:type="gramStart"/>
      <w:r w:rsidRPr="00AA7F7D">
        <w:t>SWD(</w:t>
      </w:r>
      <w:proofErr w:type="gramEnd"/>
      <w:r w:rsidR="00CA30C3" w:rsidRPr="00AA7F7D">
        <w:t>2025</w:t>
      </w:r>
      <w:r w:rsidRPr="00AA7F7D">
        <w:t>)</w:t>
      </w:r>
      <w:r w:rsidR="00CA30C3" w:rsidRPr="00AA7F7D">
        <w:t>0850</w:t>
      </w:r>
      <w:r w:rsidRPr="00AA7F7D">
        <w:t>),</w:t>
      </w:r>
    </w:p>
    <w:p w14:paraId="35B84E32" w14:textId="052522C0" w:rsidR="006729C2" w:rsidRPr="00AA7F7D" w:rsidRDefault="006729C2" w:rsidP="006729C2">
      <w:pPr>
        <w:pStyle w:val="NormalHanging"/>
      </w:pPr>
      <w:r w:rsidRPr="00AA7F7D">
        <w:t>–</w:t>
      </w:r>
      <w:r w:rsidRPr="00AA7F7D">
        <w:tab/>
        <w:t xml:space="preserve">der henviser til Kommissionens afgørelse (EU) </w:t>
      </w:r>
      <w:r w:rsidR="00CA30C3" w:rsidRPr="00AA7F7D">
        <w:t>2025</w:t>
      </w:r>
      <w:r w:rsidRPr="00AA7F7D">
        <w:t>/</w:t>
      </w:r>
      <w:r w:rsidR="00CA30C3" w:rsidRPr="00AA7F7D">
        <w:t>2630</w:t>
      </w:r>
      <w:r w:rsidRPr="00AA7F7D">
        <w:t xml:space="preserve"> af </w:t>
      </w:r>
      <w:r w:rsidR="00CA30C3" w:rsidRPr="00AA7F7D">
        <w:t>16</w:t>
      </w:r>
      <w:r w:rsidRPr="00AA7F7D">
        <w:t xml:space="preserve">. december </w:t>
      </w:r>
      <w:r w:rsidR="00CA30C3" w:rsidRPr="00AA7F7D">
        <w:t>2025</w:t>
      </w:r>
      <w:r w:rsidRPr="00AA7F7D">
        <w:t xml:space="preserve"> om anvendelse af bestemmelserne i artikel </w:t>
      </w:r>
      <w:r w:rsidR="00CA30C3" w:rsidRPr="00AA7F7D">
        <w:t>106</w:t>
      </w:r>
      <w:r w:rsidRPr="00AA7F7D">
        <w:t xml:space="preserve">, stk. </w:t>
      </w:r>
      <w:r w:rsidR="00CA30C3" w:rsidRPr="00AA7F7D">
        <w:t>2</w:t>
      </w:r>
      <w:r w:rsidRPr="00AA7F7D">
        <w:t xml:space="preserve">, i traktaten om Den Europæiske Unions funktionsmåde på statsstøtte i form af kompensation for offentlig tjeneste ydet til visse virksomheder, der har fået overdraget at udføre tjenesteydelser af almindelig økonomisk interesse, og om ophævelse af afgørelse </w:t>
      </w:r>
      <w:r w:rsidR="00CA30C3" w:rsidRPr="00AA7F7D">
        <w:t>2012</w:t>
      </w:r>
      <w:r w:rsidRPr="00AA7F7D">
        <w:t>/</w:t>
      </w:r>
      <w:r w:rsidR="00CA30C3" w:rsidRPr="00AA7F7D">
        <w:t>21</w:t>
      </w:r>
      <w:r w:rsidRPr="00AA7F7D">
        <w:t>/EU</w:t>
      </w:r>
      <w:r w:rsidR="00B57FAA" w:rsidRPr="00AA7F7D">
        <w:rPr>
          <w:rStyle w:val="FootnoteReference"/>
        </w:rPr>
        <w:footnoteReference w:id="11"/>
      </w:r>
      <w:r w:rsidRPr="00AA7F7D">
        <w:t xml:space="preserve"> (afgørelsen om tjenesteydelser af almindelig økonomisk interesse) og bilaget hertil,</w:t>
      </w:r>
    </w:p>
    <w:p w14:paraId="7A9CB2CC" w14:textId="030963A2" w:rsidR="006729C2" w:rsidRPr="00AA7F7D" w:rsidRDefault="006729C2" w:rsidP="006729C2">
      <w:pPr>
        <w:pStyle w:val="NormalHanging"/>
      </w:pPr>
      <w:r w:rsidRPr="00AA7F7D">
        <w:t>–</w:t>
      </w:r>
      <w:r w:rsidRPr="00AA7F7D">
        <w:tab/>
        <w:t xml:space="preserve">der henviser til Kommissionens beretning af </w:t>
      </w:r>
      <w:r w:rsidR="00CA30C3" w:rsidRPr="00AA7F7D">
        <w:t>5</w:t>
      </w:r>
      <w:r w:rsidRPr="00AA7F7D">
        <w:t xml:space="preserve">. maj </w:t>
      </w:r>
      <w:r w:rsidR="00CA30C3" w:rsidRPr="00AA7F7D">
        <w:t>2026</w:t>
      </w:r>
      <w:r w:rsidRPr="00AA7F7D">
        <w:t xml:space="preserve"> om konkurrencepolitikken </w:t>
      </w:r>
      <w:r w:rsidR="00CA30C3" w:rsidRPr="00AA7F7D">
        <w:t>2025</w:t>
      </w:r>
      <w:r w:rsidRPr="00AA7F7D">
        <w:t xml:space="preserve"> (</w:t>
      </w:r>
      <w:proofErr w:type="gramStart"/>
      <w:r w:rsidR="00B57FAA" w:rsidRPr="003F2167">
        <w:t>COM(</w:t>
      </w:r>
      <w:proofErr w:type="gramEnd"/>
      <w:r w:rsidR="00CA30C3" w:rsidRPr="003F2167">
        <w:t>2026</w:t>
      </w:r>
      <w:r w:rsidR="00B57FAA" w:rsidRPr="003F2167">
        <w:t>)</w:t>
      </w:r>
      <w:r w:rsidR="00CA30C3" w:rsidRPr="003F2167">
        <w:t>0180</w:t>
      </w:r>
      <w:r w:rsidRPr="00AA7F7D">
        <w:t>),</w:t>
      </w:r>
    </w:p>
    <w:p w14:paraId="688425C2" w14:textId="100FB43C" w:rsidR="006729C2" w:rsidRPr="00AA7F7D" w:rsidRDefault="006729C2" w:rsidP="006729C2">
      <w:pPr>
        <w:pStyle w:val="NormalHanging"/>
      </w:pPr>
      <w:r w:rsidRPr="00AA7F7D">
        <w:t>–</w:t>
      </w:r>
      <w:r w:rsidRPr="00AA7F7D">
        <w:tab/>
        <w:t xml:space="preserve">der henviser til rapporten af </w:t>
      </w:r>
      <w:r w:rsidR="00CA30C3" w:rsidRPr="00AA7F7D">
        <w:t>18</w:t>
      </w:r>
      <w:r w:rsidRPr="00AA7F7D">
        <w:t xml:space="preserve">. december </w:t>
      </w:r>
      <w:r w:rsidR="00CA30C3" w:rsidRPr="00AA7F7D">
        <w:t>2025</w:t>
      </w:r>
      <w:r w:rsidRPr="00AA7F7D">
        <w:t xml:space="preserve"> fra Den Europæiske Værdipapir- og Markedstilsynsmyndighed med titlen "CRA Market </w:t>
      </w:r>
      <w:proofErr w:type="spellStart"/>
      <w:r w:rsidRPr="00AA7F7D">
        <w:t>Share</w:t>
      </w:r>
      <w:proofErr w:type="spellEnd"/>
      <w:r w:rsidRPr="00AA7F7D">
        <w:t xml:space="preserve"> Report: </w:t>
      </w:r>
      <w:r w:rsidR="00CA30C3" w:rsidRPr="00AA7F7D">
        <w:t>2025</w:t>
      </w:r>
      <w:r w:rsidRPr="00AA7F7D">
        <w:t xml:space="preserve"> edition" (rapport om kreditvurderingsbureauers markedsandel </w:t>
      </w:r>
      <w:r w:rsidR="00CA30C3" w:rsidRPr="00AA7F7D">
        <w:t>2025</w:t>
      </w:r>
      <w:r w:rsidRPr="00AA7F7D">
        <w:t>),</w:t>
      </w:r>
    </w:p>
    <w:p w14:paraId="30A961D0" w14:textId="4B223CEB" w:rsidR="006729C2" w:rsidRPr="00AA7F7D" w:rsidRDefault="006729C2" w:rsidP="006729C2">
      <w:pPr>
        <w:pStyle w:val="NormalHanging"/>
      </w:pPr>
      <w:r w:rsidRPr="00AA7F7D">
        <w:t>–</w:t>
      </w:r>
      <w:r w:rsidRPr="00AA7F7D">
        <w:tab/>
        <w:t xml:space="preserve">der henviser til forretningsordenens artikel </w:t>
      </w:r>
      <w:r w:rsidR="00CA30C3" w:rsidRPr="00AA7F7D">
        <w:t>55</w:t>
      </w:r>
      <w:r w:rsidRPr="00AA7F7D">
        <w:t>,</w:t>
      </w:r>
    </w:p>
    <w:p w14:paraId="6D1A3656" w14:textId="6B0A01B9" w:rsidR="006729C2" w:rsidRPr="00AA7F7D" w:rsidRDefault="006729C2" w:rsidP="006729C2">
      <w:pPr>
        <w:pStyle w:val="NormalHanging"/>
      </w:pPr>
      <w:r w:rsidRPr="00AA7F7D">
        <w:t>–</w:t>
      </w:r>
      <w:r w:rsidRPr="00AA7F7D">
        <w:tab/>
        <w:t>der henviser til betænkning fra Økonomi- og Valutaudvalget (A</w:t>
      </w:r>
      <w:r w:rsidR="00CA30C3" w:rsidRPr="00AA7F7D">
        <w:t>10</w:t>
      </w:r>
      <w:r w:rsidRPr="00AA7F7D">
        <w:t>-</w:t>
      </w:r>
      <w:r w:rsidR="00CA30C3" w:rsidRPr="00AA7F7D">
        <w:t>0171</w:t>
      </w:r>
      <w:r w:rsidRPr="00AA7F7D">
        <w:t>/</w:t>
      </w:r>
      <w:r w:rsidR="00CA30C3" w:rsidRPr="00AA7F7D">
        <w:t>2026</w:t>
      </w:r>
      <w:r w:rsidRPr="00AA7F7D">
        <w:t>),</w:t>
      </w:r>
    </w:p>
    <w:p w14:paraId="21A36FEA" w14:textId="77777777" w:rsidR="006729C2" w:rsidRPr="00AA7F7D" w:rsidRDefault="006729C2" w:rsidP="006729C2">
      <w:pPr>
        <w:pStyle w:val="NormalHanging"/>
      </w:pPr>
      <w:r w:rsidRPr="00AA7F7D">
        <w:t>A.</w:t>
      </w:r>
      <w:r w:rsidRPr="00AA7F7D">
        <w:tab/>
        <w:t>der henviser til, at fair og åben konkurrence er et væsentligt element i et velfungerende indre marked, jobskabelse, forbrugerbeskyttelse og udvikling af virksomheder, navnlig små og mellemstore virksomheder (SMV'er); der henviser til, at konkurrencepolitikken primært bør sigte mod at sikre effektiv konkurrence og forbrugervelfærd, samtidig med at den forbliver i overensstemmelse med andre EU-politikker;</w:t>
      </w:r>
    </w:p>
    <w:p w14:paraId="1609226D" w14:textId="77777777" w:rsidR="006729C2" w:rsidRPr="00AA7F7D" w:rsidRDefault="006729C2" w:rsidP="006729C2">
      <w:pPr>
        <w:pStyle w:val="NormalHanging"/>
      </w:pPr>
      <w:r w:rsidRPr="00AA7F7D">
        <w:t>B.</w:t>
      </w:r>
      <w:r w:rsidRPr="00AA7F7D">
        <w:tab/>
        <w:t>der henviser til, at EU's konkurrencepolitik skal være fremadskuende, fremme EU-løsninger og innovation og beskytte forbrugerne;</w:t>
      </w:r>
    </w:p>
    <w:p w14:paraId="777A6ED6" w14:textId="77777777" w:rsidR="006729C2" w:rsidRPr="00AA7F7D" w:rsidRDefault="006729C2" w:rsidP="006729C2">
      <w:pPr>
        <w:pStyle w:val="NormalHanging"/>
      </w:pPr>
      <w:r w:rsidRPr="00AA7F7D">
        <w:t>C.</w:t>
      </w:r>
      <w:r w:rsidRPr="00AA7F7D">
        <w:tab/>
        <w:t xml:space="preserve">der henviser til, at SMV'er udgør rygraden i den europæiske økonomi, og at konkurrencepolitikken skal tage hensyn til deres særlige behov og sikre, at overholdelsesforpligtelser og håndhævelsesprocedurer ikke pålægger dem </w:t>
      </w:r>
      <w:r w:rsidRPr="00AA7F7D">
        <w:lastRenderedPageBreak/>
        <w:t>uforholdsmæssigt store byrder;</w:t>
      </w:r>
    </w:p>
    <w:p w14:paraId="2EFAED45" w14:textId="77777777" w:rsidR="006729C2" w:rsidRPr="00AA7F7D" w:rsidRDefault="006729C2" w:rsidP="006729C2">
      <w:pPr>
        <w:pStyle w:val="NormalHanging"/>
      </w:pPr>
      <w:r w:rsidRPr="00AA7F7D">
        <w:t>D.</w:t>
      </w:r>
      <w:r w:rsidRPr="00AA7F7D">
        <w:tab/>
        <w:t>der henviser til, at beskyttelse af det indre marked kræver stærke, solide, forudsigelige og ikkediskriminerende konkurrenceregler, der anvendes ens på alle markedsaktører, som skal beskyttes mod enhver form for utilbørlig politisk indblanding;</w:t>
      </w:r>
    </w:p>
    <w:p w14:paraId="6B6D4EB3" w14:textId="77777777" w:rsidR="006729C2" w:rsidRPr="00AA7F7D" w:rsidRDefault="006729C2" w:rsidP="006729C2">
      <w:pPr>
        <w:pStyle w:val="NormalHanging"/>
      </w:pPr>
      <w:r w:rsidRPr="00AA7F7D">
        <w:t>E.</w:t>
      </w:r>
      <w:r w:rsidRPr="00AA7F7D">
        <w:tab/>
        <w:t>der henviser til, at stigende markedskoncentration har en indvirkning på indkomstfordelingen, mens konkurrencedygtige markeder er med til at sikre, at produktivitetsgevinster fordeles bredere i økonomien og støtter bæredygtig konkurrenceevne ved at styrke købekraften, den interne efterspørgsel og skabelse af menneskelig kapital;</w:t>
      </w:r>
    </w:p>
    <w:p w14:paraId="5B7112AD" w14:textId="77777777" w:rsidR="006729C2" w:rsidRPr="00AA7F7D" w:rsidRDefault="006729C2" w:rsidP="006729C2">
      <w:pPr>
        <w:pStyle w:val="NormalHanging"/>
      </w:pPr>
      <w:r w:rsidRPr="00AA7F7D">
        <w:t>F.</w:t>
      </w:r>
      <w:r w:rsidRPr="00AA7F7D">
        <w:tab/>
        <w:t>der henviser til, at de nationale konkurrencemyndigheders institutionelle og operationelle uafhængighed og EU's håndhævelse er forudsætninger for, at konkurrencepolitikken kan være troværdig og effektiv; der henviser til, at det er afgørende at beskytte deres beslutningsprocesser mod politisk indblanding eller pres fra den private sektor for at sikre retssikkerheden, opretholde retsstatsprincippet og opretholde lige vilkår på tværs af det indre marked;</w:t>
      </w:r>
    </w:p>
    <w:p w14:paraId="1BE6552F" w14:textId="77777777" w:rsidR="006729C2" w:rsidRPr="00AA7F7D" w:rsidRDefault="006729C2" w:rsidP="006729C2">
      <w:pPr>
        <w:pStyle w:val="NormalHanging"/>
      </w:pPr>
      <w:r w:rsidRPr="00AA7F7D">
        <w:t>G.</w:t>
      </w:r>
      <w:r w:rsidRPr="00AA7F7D">
        <w:tab/>
        <w:t xml:space="preserve">der henviser til, at der i </w:t>
      </w:r>
      <w:proofErr w:type="spellStart"/>
      <w:r w:rsidRPr="00AA7F7D">
        <w:t>Draghirapporten</w:t>
      </w:r>
      <w:proofErr w:type="spellEnd"/>
      <w:r w:rsidRPr="00AA7F7D">
        <w:t xml:space="preserve"> identificeres tre hovedindsatsområder: for det første at lukke innovationskløften, for det andet at udarbejde en fælles plan for at sikre både </w:t>
      </w:r>
      <w:proofErr w:type="spellStart"/>
      <w:r w:rsidRPr="00AA7F7D">
        <w:t>dekarbonisering</w:t>
      </w:r>
      <w:proofErr w:type="spellEnd"/>
      <w:r w:rsidRPr="00AA7F7D">
        <w:t xml:space="preserve"> og konkurrenceevne, der afspejler EU's stærke industri- og innovationsgrundlag og dets komparative fordel inden for grønne teknologier, og endelig at øge sikkerheden og mindske afhængigheden;</w:t>
      </w:r>
    </w:p>
    <w:p w14:paraId="6E5EB9D9" w14:textId="77777777" w:rsidR="006729C2" w:rsidRPr="00AA7F7D" w:rsidRDefault="006729C2" w:rsidP="006729C2">
      <w:pPr>
        <w:pStyle w:val="NormalHanging"/>
      </w:pPr>
      <w:r w:rsidRPr="00AA7F7D">
        <w:t>H.</w:t>
      </w:r>
      <w:r w:rsidRPr="00AA7F7D">
        <w:tab/>
        <w:t>der henviser til, at det fragmenterede energimarked i denne forbindelse presser priserne op og svækker konkurrencen, mens de aktuelle geopolitiske spændinger kan øge sårbarhederne yderligere; der henviser til, at en dybere integration af det indre marked for energi, stærkere sammenkoblinger og en effektiv håndhævelse af konkurrencelovgivningen kan øge effektiviteten, modstandsdygtigheden og den grænseoverskridende deltagelse, mindske afhængigheden af leverandører uden for EU og reducere omkostningerne for forbrugerne;</w:t>
      </w:r>
    </w:p>
    <w:p w14:paraId="430CA880" w14:textId="77777777" w:rsidR="006729C2" w:rsidRPr="00AA7F7D" w:rsidRDefault="006729C2" w:rsidP="006729C2">
      <w:pPr>
        <w:pStyle w:val="NormalHanging"/>
      </w:pPr>
      <w:r w:rsidRPr="00AA7F7D">
        <w:t>I.</w:t>
      </w:r>
      <w:r w:rsidRPr="00AA7F7D">
        <w:tab/>
        <w:t>der henviser til, at den hurtige udvikling inden for kunstig intelligens (AI), herunder generative AI-systemer, samtidig i væsentlig grad omformer konkurrencedynamikken, markedsstrukturerne, værdikæderne og brugernes adgang til digitale tjenester i hele EU med potentielle konsekvenser for konkurrencen på de digitale markeder;</w:t>
      </w:r>
    </w:p>
    <w:p w14:paraId="57A91B47" w14:textId="77777777" w:rsidR="006729C2" w:rsidRPr="00AA7F7D" w:rsidRDefault="006729C2" w:rsidP="006729C2">
      <w:pPr>
        <w:pStyle w:val="Normal12a"/>
      </w:pPr>
      <w:r w:rsidRPr="00AA7F7D">
        <w:rPr>
          <w:b/>
          <w:i/>
        </w:rPr>
        <w:t>Genoprettelse af EU's strategiske autonomi gennem konkurrencepolitik, innovation og digital suverænitet</w:t>
      </w:r>
    </w:p>
    <w:p w14:paraId="0D885866" w14:textId="37489FAB" w:rsidR="006729C2" w:rsidRPr="00AA7F7D" w:rsidRDefault="00CA30C3" w:rsidP="006729C2">
      <w:pPr>
        <w:pStyle w:val="NormalHanging12a"/>
      </w:pPr>
      <w:r w:rsidRPr="00AA7F7D">
        <w:t>1</w:t>
      </w:r>
      <w:r w:rsidR="006729C2" w:rsidRPr="00AA7F7D">
        <w:t>.</w:t>
      </w:r>
      <w:r w:rsidR="006729C2" w:rsidRPr="00AA7F7D">
        <w:tab/>
        <w:t xml:space="preserve">minder om, at EU's stærke konkurrenceregler og den konsekvente håndhævelse heraf er et redskab til at øge konkurrenceevnen på tværs af alle industrier; understreger, at EU's politikker ikke bør føres isoleret, og at bekymring for konkurrenceevnen ikke kan tolkes som mangler i konkurrencepolitikken; minder om, at EU's konkurrenceregler skal være i overensstemmelse med de principper, der er nedfældet i traktaterne, og bør støtte gennemførelsen af EU's politikker, herunder industri-, handels- og forbrugerpolitikken, politikken for finansielle tjenesteydelser og forsvarspolitikken, og samtidig sikre en stabil ramme, der fremmer investeringer, vækst og evnen til at opskalere under fair forhold; understreger, at konkurrencepolitikken bør bidrage til integration og uddybning </w:t>
      </w:r>
      <w:r w:rsidR="006729C2" w:rsidRPr="00AA7F7D">
        <w:lastRenderedPageBreak/>
        <w:t>af de europæiske kapitalmarkeder og støtte målene for opsparings- og investeringsunionen;</w:t>
      </w:r>
    </w:p>
    <w:p w14:paraId="42B40038" w14:textId="7C5DD862" w:rsidR="006729C2" w:rsidRPr="00AA7F7D" w:rsidRDefault="00CA30C3" w:rsidP="006729C2">
      <w:pPr>
        <w:pStyle w:val="NormalHanging12a"/>
      </w:pPr>
      <w:r w:rsidRPr="00AA7F7D">
        <w:t>2</w:t>
      </w:r>
      <w:r w:rsidR="006729C2" w:rsidRPr="00AA7F7D">
        <w:t>.</w:t>
      </w:r>
      <w:r w:rsidR="006729C2" w:rsidRPr="00AA7F7D">
        <w:tab/>
        <w:t>fremhæver, at en velfungerende konkurrence er en vigtig drivkraft for produktivitetsvækst og langsigtet konkurrenceevne i EU; bemærker, at stærkere håndhævelse af konkurrencepolitikken er forbundet med en højere samlet faktorproduktivitet og en mere effektiv fordeling af arbejdskraft og kapital; understreger derfor, at en effektiv konkurrencepolitik og håndhævelse heraf bidrager til rimelige ansættelsesvilkår;</w:t>
      </w:r>
    </w:p>
    <w:p w14:paraId="0E7942E8" w14:textId="5916E597" w:rsidR="006729C2" w:rsidRPr="00AA7F7D" w:rsidRDefault="00CA30C3" w:rsidP="006729C2">
      <w:pPr>
        <w:pStyle w:val="NormalHanging12a"/>
      </w:pPr>
      <w:r w:rsidRPr="00AA7F7D">
        <w:t>3</w:t>
      </w:r>
      <w:r w:rsidR="006729C2" w:rsidRPr="00AA7F7D">
        <w:t>.</w:t>
      </w:r>
      <w:r w:rsidR="006729C2" w:rsidRPr="00AA7F7D">
        <w:tab/>
        <w:t xml:space="preserve">er af den faste overbevisning, at </w:t>
      </w:r>
      <w:proofErr w:type="spellStart"/>
      <w:r w:rsidR="006729C2" w:rsidRPr="00AA7F7D">
        <w:t>Draghirapporten</w:t>
      </w:r>
      <w:proofErr w:type="spellEnd"/>
      <w:r w:rsidR="006729C2" w:rsidRPr="00AA7F7D">
        <w:t xml:space="preserve"> og </w:t>
      </w:r>
      <w:proofErr w:type="spellStart"/>
      <w:r w:rsidR="006729C2" w:rsidRPr="00AA7F7D">
        <w:t>Lettarapporten</w:t>
      </w:r>
      <w:proofErr w:type="spellEnd"/>
      <w:r w:rsidR="006729C2" w:rsidRPr="00AA7F7D">
        <w:t xml:space="preserve"> bør bidrage til at udforme prioriteterne på konkurrenceområdet, og opfordrer til, at der hurtigst muligt følges op på disse rapporter; noterer sig Mario </w:t>
      </w:r>
      <w:proofErr w:type="spellStart"/>
      <w:r w:rsidR="006729C2" w:rsidRPr="00AA7F7D">
        <w:t>Draghis</w:t>
      </w:r>
      <w:proofErr w:type="spellEnd"/>
      <w:r w:rsidR="006729C2" w:rsidRPr="00AA7F7D">
        <w:t xml:space="preserve"> skøn om, at der for at beskytte EU's konkurrenceevne er behov for yderligere </w:t>
      </w:r>
      <w:r w:rsidRPr="00AA7F7D">
        <w:t>800</w:t>
      </w:r>
      <w:r w:rsidR="006729C2" w:rsidRPr="00AA7F7D">
        <w:t xml:space="preserve"> mia. EUR om året; understreger, at forbrugerinteresser fortsat bør være centrale, samtidig med at der tages hensyn til behovet for, at konkurrencepolitikken bidrager til centrale mål såsom konkurrenceevne, modstandsdygtighed, sikkerhed, strategisk autonomi og bæredygtighed; bifalder </w:t>
      </w:r>
      <w:proofErr w:type="spellStart"/>
      <w:r w:rsidR="006729C2" w:rsidRPr="00AA7F7D">
        <w:t>Draghirapportens</w:t>
      </w:r>
      <w:proofErr w:type="spellEnd"/>
      <w:r w:rsidR="006729C2" w:rsidRPr="00AA7F7D">
        <w:t xml:space="preserve"> forslag om et fleksibelt markedsundersøgelsesværktøj (det "nye konkurrenceværktøj") til at håndtere markedssvigt, som ikke kan håndteres effektivt i henhold til den nuværende artikel </w:t>
      </w:r>
      <w:r w:rsidRPr="00AA7F7D">
        <w:t>101</w:t>
      </w:r>
      <w:r w:rsidR="006729C2" w:rsidRPr="00AA7F7D">
        <w:t xml:space="preserve"> og </w:t>
      </w:r>
      <w:r w:rsidRPr="00AA7F7D">
        <w:t>102</w:t>
      </w:r>
      <w:r w:rsidR="006729C2" w:rsidRPr="00AA7F7D">
        <w:t xml:space="preserve"> i TEUF; bemærker, at lignende værktøjer allerede er blevet implementeret med succes på medlemsstatsniveau, og foreslår, at et nyt konkurrenceværktøj på EU-plan kan hjælpe med at løse strukturelle konkurrenceproblemer i hele EU; opfordrer Kommissionen til at indføre et sådant værktøj som supplement til de eksisterende rammer;</w:t>
      </w:r>
    </w:p>
    <w:p w14:paraId="5D087A99" w14:textId="41DF002A" w:rsidR="006729C2" w:rsidRPr="00AA7F7D" w:rsidRDefault="00CA30C3" w:rsidP="006729C2">
      <w:pPr>
        <w:pStyle w:val="NormalHanging12a"/>
      </w:pPr>
      <w:r w:rsidRPr="00AA7F7D">
        <w:t>4</w:t>
      </w:r>
      <w:r w:rsidR="006729C2" w:rsidRPr="00AA7F7D">
        <w:t>.</w:t>
      </w:r>
      <w:r w:rsidR="006729C2" w:rsidRPr="00AA7F7D">
        <w:tab/>
        <w:t>anerkender behovet for at styrke den europæiske forsvarsindustrielle base; understreger, at konkurrencepolitikken skal sikre fair adgang for SMV'er og forhindre overdreven koncentration i forsvarsforsyningskæderne, som kan reducere modstandsdygtigheden og øge afhængigheden;</w:t>
      </w:r>
    </w:p>
    <w:p w14:paraId="295421E4" w14:textId="4295F8FA" w:rsidR="006729C2" w:rsidRPr="00AA7F7D" w:rsidRDefault="00CA30C3" w:rsidP="006729C2">
      <w:pPr>
        <w:pStyle w:val="NormalHanging12a"/>
      </w:pPr>
      <w:r w:rsidRPr="00AA7F7D">
        <w:t>5</w:t>
      </w:r>
      <w:r w:rsidR="006729C2" w:rsidRPr="00AA7F7D">
        <w:t>.</w:t>
      </w:r>
      <w:r w:rsidR="006729C2" w:rsidRPr="00AA7F7D">
        <w:tab/>
        <w:t>gentager den grundlæggende rolle, som SMV'erne spiller for at styrke den europæiske konkurrenceevne, fremme innovation og skabe arbejdspladser; opfordrer Kommissionen til at sikre, at der i håndhævelsen af konkurrencereglerne og de digitale politikker tages hensyn til deres indvirkning på SMV'erne;</w:t>
      </w:r>
    </w:p>
    <w:p w14:paraId="1BA4E74C" w14:textId="42F75638" w:rsidR="006729C2" w:rsidRPr="00AA7F7D" w:rsidRDefault="00CA30C3" w:rsidP="006729C2">
      <w:pPr>
        <w:pStyle w:val="NormalHanging12a"/>
      </w:pPr>
      <w:r w:rsidRPr="00AA7F7D">
        <w:t>6</w:t>
      </w:r>
      <w:r w:rsidR="006729C2" w:rsidRPr="00AA7F7D">
        <w:t>.</w:t>
      </w:r>
      <w:r w:rsidR="006729C2" w:rsidRPr="00AA7F7D">
        <w:tab/>
        <w:t>understreger betydningen af at reducere energiomkostningerne for at beskytte EU's konkurrenceevne og fremme energineutrale energikilder i overensstemmelse med den delegerede retsakt om klimaklassificeringssystemet</w:t>
      </w:r>
      <w:r w:rsidR="00B57FAA" w:rsidRPr="00AA7F7D">
        <w:rPr>
          <w:rStyle w:val="FootnoteReference"/>
        </w:rPr>
        <w:footnoteReference w:id="12"/>
      </w:r>
      <w:r w:rsidR="006729C2" w:rsidRPr="00AA7F7D">
        <w:t xml:space="preserve"> og den supplerende delegerede </w:t>
      </w:r>
      <w:r w:rsidR="006729C2" w:rsidRPr="00AA7F7D">
        <w:lastRenderedPageBreak/>
        <w:t>retsakt om klimaklassificeringssystemet</w:t>
      </w:r>
      <w:r w:rsidR="00B57FAA" w:rsidRPr="00AA7F7D">
        <w:rPr>
          <w:rStyle w:val="FootnoteReference"/>
        </w:rPr>
        <w:footnoteReference w:id="13"/>
      </w:r>
      <w:r w:rsidR="006729C2" w:rsidRPr="00AA7F7D">
        <w:t>, samtidig med at det sikres, at et åbent, konkurrencedygtigt og bæredygtigt indre marked afbalanceres med forsyningssikkerhed og øget energiuafhængighed i EU; understreger, at retfærdige, velfungerende, konkurrencedygtige, integrerede og sammenkoblede elektricitetsmarkeder er afgørende for at styrke EU's industrielle konkurrenceevne og støtte mere stabile og overkommelige energipriser; understreger vigtigheden af en effektiv håndhævelse af konkurrencereglerne inden for energiinfrastruktur og netadgang for at sikre et velfungerende indre marked og sikre rimelige priser og bedre forbrugerbeskyttelse;</w:t>
      </w:r>
    </w:p>
    <w:p w14:paraId="2049FC51" w14:textId="5B10986D" w:rsidR="006729C2" w:rsidRPr="00AA7F7D" w:rsidRDefault="00CA30C3" w:rsidP="006729C2">
      <w:pPr>
        <w:pStyle w:val="NormalHanging12a"/>
      </w:pPr>
      <w:r w:rsidRPr="00AA7F7D">
        <w:t>7</w:t>
      </w:r>
      <w:r w:rsidR="006729C2" w:rsidRPr="00AA7F7D">
        <w:t>.</w:t>
      </w:r>
      <w:r w:rsidR="006729C2" w:rsidRPr="00AA7F7D">
        <w:tab/>
        <w:t>bemærker den strategiske rolle, som kritiske råstoffer spiller for energiomstillingen, og målene i forordningen om kritiske råstoffer</w:t>
      </w:r>
      <w:r w:rsidR="00B57FAA" w:rsidRPr="00AA7F7D">
        <w:rPr>
          <w:rStyle w:val="FootnoteReference"/>
        </w:rPr>
        <w:footnoteReference w:id="14"/>
      </w:r>
      <w:r w:rsidR="006729C2" w:rsidRPr="00AA7F7D">
        <w:t xml:space="preserve"> med hensyn til at mindske den geopolitiske afhængighed og styrke forsyningskædens modstandsdygtighed og opfordrer til, at konkurrencepolitikken skal støtte konkurrencedygtige markeder i hele værdikæden og paneuropæiske investeringer;</w:t>
      </w:r>
    </w:p>
    <w:p w14:paraId="5161819F" w14:textId="62DF3643" w:rsidR="006729C2" w:rsidRPr="00AA7F7D" w:rsidRDefault="00CA30C3" w:rsidP="006729C2">
      <w:pPr>
        <w:pStyle w:val="NormalHanging12a"/>
      </w:pPr>
      <w:r w:rsidRPr="00AA7F7D">
        <w:t>8</w:t>
      </w:r>
      <w:r w:rsidR="006729C2" w:rsidRPr="00AA7F7D">
        <w:t>.</w:t>
      </w:r>
      <w:r w:rsidR="006729C2" w:rsidRPr="00AA7F7D">
        <w:tab/>
        <w:t xml:space="preserve">understreger den centrale rolle, som konkurrencen spiller med hensyn til at skabe digitale markedsalternativer og mindske afhængigheden og dominansen af udbydere uden for EU; opfordrer til, at der opbygges central infrastruktur for at styrke Europas autonomi og innovation, herunder cloudtjenester, AI-infrastruktur (datacentre og </w:t>
      </w:r>
      <w:proofErr w:type="spellStart"/>
      <w:r w:rsidR="006729C2" w:rsidRPr="00AA7F7D">
        <w:t>konnektivitet</w:t>
      </w:r>
      <w:proofErr w:type="spellEnd"/>
      <w:r w:rsidR="006729C2" w:rsidRPr="00AA7F7D">
        <w:t xml:space="preserve">), finansmarkedsinfrastruktur og modstandsdygtige, </w:t>
      </w:r>
      <w:proofErr w:type="spellStart"/>
      <w:r w:rsidR="006729C2" w:rsidRPr="00AA7F7D">
        <w:t>interoperable</w:t>
      </w:r>
      <w:proofErr w:type="spellEnd"/>
      <w:r w:rsidR="006729C2" w:rsidRPr="00AA7F7D">
        <w:t xml:space="preserve"> og konkurrencedygtige europæiske betalingssystemer, for at sikre åbne markeder og mindske strategiske afhængighedsforhold; bemærker udviklingen i forretningspraksis og markedsstrukturer og potentielle nye former for skadelig adfærd såsom stiltiende samordning og algoritmisk samordning af priser og understreger behovet for at tilpasse håndhævelsesprioriteterne til dette skiftende landskab understøttet af datadrevet analyse og dokumentation;</w:t>
      </w:r>
    </w:p>
    <w:p w14:paraId="24B69491" w14:textId="454F7684" w:rsidR="006729C2" w:rsidRPr="00AA7F7D" w:rsidRDefault="00CA30C3" w:rsidP="006729C2">
      <w:pPr>
        <w:pStyle w:val="NormalHanging12a"/>
      </w:pPr>
      <w:r w:rsidRPr="00AA7F7D">
        <w:t>9</w:t>
      </w:r>
      <w:r w:rsidR="006729C2" w:rsidRPr="00AA7F7D">
        <w:t>.</w:t>
      </w:r>
      <w:r w:rsidR="006729C2" w:rsidRPr="00AA7F7D">
        <w:tab/>
        <w:t>opfordrer til lige vilkår i strategiske sektorer og til, at EU anvender alle tilgængelige værktøjer, herunder forordningen om udenlandske subsidier, reglerne for offentlige udbud og en solid ramme for fusionskontrol, for at sikre, at EU-virksomheder kan konkurrere på grundlag af deres kvalifikationer, og at markedsdeltagere uden for EU ikke begunstiges af udenlandsk statsstøtte; understreger betydningen af at styrke modstandsdygtigheden, diversificeringen og sikkerheden i de europæiske forsyningskæder i strategiske sektorer og fremme europæiske kapaciteter og løsninger, hvor det er relevant, uden at gå på kompromis med åbne markeder;</w:t>
      </w:r>
    </w:p>
    <w:p w14:paraId="0B6E566C" w14:textId="35358A82" w:rsidR="006729C2" w:rsidRPr="00AA7F7D" w:rsidRDefault="00CA30C3" w:rsidP="006729C2">
      <w:pPr>
        <w:pStyle w:val="NormalHanging12a"/>
      </w:pPr>
      <w:r w:rsidRPr="00AA7F7D">
        <w:t>10</w:t>
      </w:r>
      <w:r w:rsidR="006729C2" w:rsidRPr="00AA7F7D">
        <w:t>.</w:t>
      </w:r>
      <w:r w:rsidR="006729C2" w:rsidRPr="00AA7F7D">
        <w:tab/>
        <w:t xml:space="preserve">understreger, at konkurrencemyndighederne har brug for forbedret datatilgængelighed for at sikre en effektiv håndhævelse af konkurrencereglerne; understreger betydningen af at forbedre dataindsamlingen, lette de nationale konkurrencemyndigheders adgang til udbudsdata og styrke mekanismerne til afsløring af svig i deres håndhævelse af </w:t>
      </w:r>
      <w:r w:rsidR="006729C2" w:rsidRPr="00AA7F7D">
        <w:lastRenderedPageBreak/>
        <w:t>konkurrencepolitikken; opfordrer endvidere konkurrencemyndighederne til at fremme forenklede procedurer, øge gennemsigtigheden og forbedre markedsadgangen for nye SMV'er;</w:t>
      </w:r>
    </w:p>
    <w:p w14:paraId="22F61540" w14:textId="2BD9D98C" w:rsidR="006729C2" w:rsidRPr="00AA7F7D" w:rsidRDefault="00CA30C3" w:rsidP="006729C2">
      <w:pPr>
        <w:pStyle w:val="NormalHanging12a"/>
      </w:pPr>
      <w:r w:rsidRPr="00AA7F7D">
        <w:t>11</w:t>
      </w:r>
      <w:r w:rsidR="006729C2" w:rsidRPr="00AA7F7D">
        <w:t>.</w:t>
      </w:r>
      <w:r w:rsidR="006729C2" w:rsidRPr="00AA7F7D">
        <w:tab/>
        <w:t>understreger betydningen af vigtige projekter af fælleseuropæisk interesse for finansieringen af store strategiske EU-projekter; opfordrer Kommissionen til at strømline og forenkle anmeldelsesprocedurerne for vigtige projekter af fælleseuropæisk interesse, da de er en byrde, navnlig for SMV'er, og til at sikre proportionalitet, fastsætte klare og forudsigelige kriterier for antagelighed og øge gennemsigtigheden og retssikkerheden under hele vurderingsprocessen;</w:t>
      </w:r>
    </w:p>
    <w:p w14:paraId="5599EB93" w14:textId="5D5C4B02" w:rsidR="006729C2" w:rsidRPr="00AA7F7D" w:rsidRDefault="00CA30C3" w:rsidP="006729C2">
      <w:pPr>
        <w:pStyle w:val="NormalHanging12a"/>
      </w:pPr>
      <w:r w:rsidRPr="00AA7F7D">
        <w:t>12</w:t>
      </w:r>
      <w:r w:rsidR="006729C2" w:rsidRPr="00AA7F7D">
        <w:t>.</w:t>
      </w:r>
      <w:r w:rsidR="006729C2" w:rsidRPr="00AA7F7D">
        <w:tab/>
        <w:t>glæder sig over håndhævelsen af forordningen om udenlandske subsidier som et nødvendigt redskab til at skabe lige konkurrencevilkår og til at håndtere markedsforvridninger forårsaget af udenlandske subsidier; glæder sig over retningslinjerne for forordningen om udenlandske subsidier; fastholder, at statsstøtte, der ikke er tilladt i henhold til EU-traktaterne, heller ikke bør tillades fra lande uden for EU; opfordrer til en streng vurdering af konkurrenceforvridninger via forordningen om udenlandske subsidier og en passende screening af udenlandske direkte investeringer sammen med traditionelle handelspolitiske beskyttelsesinstrumenter; opfordrer Kommissionen til at styrke håndhævelsen af forordningen om udenlandske subsidier med hensyn til onlineplatforme og ‑markedspladser, der er etableret i lande uden for EU; opfordrer Kommissionen til at sikre, at SMV'er og mindre transaktioner ikke belastes uforholdsmæssigt af forpligtelserne til at overholde forordningen om udenlandske subsidier;</w:t>
      </w:r>
    </w:p>
    <w:p w14:paraId="0CEF5081" w14:textId="60D1256A" w:rsidR="006729C2" w:rsidRPr="00AA7F7D" w:rsidRDefault="00CA30C3" w:rsidP="006729C2">
      <w:pPr>
        <w:pStyle w:val="NormalHanging12a"/>
      </w:pPr>
      <w:r w:rsidRPr="00AA7F7D">
        <w:t>13</w:t>
      </w:r>
      <w:r w:rsidR="006729C2" w:rsidRPr="00AA7F7D">
        <w:t>.</w:t>
      </w:r>
      <w:r w:rsidR="006729C2" w:rsidRPr="00AA7F7D">
        <w:tab/>
        <w:t xml:space="preserve">understreger, at respondenterne ifølge den seneste Eurobarometerundersøgelse og Eurobarometerundersøgelsen efter valget i </w:t>
      </w:r>
      <w:r w:rsidRPr="00AA7F7D">
        <w:t>2024</w:t>
      </w:r>
      <w:r w:rsidR="006729C2" w:rsidRPr="00AA7F7D">
        <w:t xml:space="preserve"> forventer, at EU prioriterer at tage fat på inflation, stigende priser og leveomkostninger; understreger, at sikring af fair og effektiv konkurrence er et vigtigt element i håndteringen af disse udfordringer og derfor fortsat bør være en prioritet i konkurrencepolitikken;</w:t>
      </w:r>
    </w:p>
    <w:p w14:paraId="53F02021" w14:textId="3FABE609" w:rsidR="006729C2" w:rsidRPr="00AA7F7D" w:rsidRDefault="00CA30C3" w:rsidP="006729C2">
      <w:pPr>
        <w:pStyle w:val="NormalHanging12a"/>
      </w:pPr>
      <w:r w:rsidRPr="00AA7F7D">
        <w:t>14</w:t>
      </w:r>
      <w:r w:rsidR="006729C2" w:rsidRPr="00AA7F7D">
        <w:t>.</w:t>
      </w:r>
      <w:r w:rsidR="006729C2" w:rsidRPr="00AA7F7D">
        <w:tab/>
        <w:t xml:space="preserve">understreger, at en streng og konsekvent håndhævelse af konkurrencepolitikken bidrager til at styrke den økonomiske, sociale og territoriale samhørighed i hele EU og dets regioner i den yderste periferi; bemærker, at der er vedvarende økonomiske og infrastrukturelle forskelle mellem interne regioner, landdistrikter, perifere regioner, regioner i den yderste periferi og </w:t>
      </w:r>
      <w:proofErr w:type="spellStart"/>
      <w:r w:rsidR="006729C2" w:rsidRPr="00AA7F7D">
        <w:t>øregioner</w:t>
      </w:r>
      <w:proofErr w:type="spellEnd"/>
      <w:r w:rsidR="006729C2" w:rsidRPr="00AA7F7D">
        <w:t xml:space="preserve"> og opfordrer Kommissionen til at tage højde for de territoriale konsekvenser af konkurrencebeslutninger for at fremme passende samhørighedspolitikker, der ledsager udviklingen af det indre marked, samtidig med at der sikres en ensartet anvendelse af konkurrencereglerne;</w:t>
      </w:r>
    </w:p>
    <w:p w14:paraId="3E0D85D4" w14:textId="6EE23817" w:rsidR="006729C2" w:rsidRPr="00AA7F7D" w:rsidRDefault="00CA30C3" w:rsidP="006729C2">
      <w:pPr>
        <w:pStyle w:val="NormalHanging12a"/>
      </w:pPr>
      <w:r w:rsidRPr="00AA7F7D">
        <w:t>15</w:t>
      </w:r>
      <w:r w:rsidR="006729C2" w:rsidRPr="00AA7F7D">
        <w:t>.</w:t>
      </w:r>
      <w:r w:rsidR="006729C2" w:rsidRPr="00AA7F7D">
        <w:tab/>
        <w:t>glæder sig over undertegnelsen af konkurrencesamarbejdsaftalen</w:t>
      </w:r>
      <w:r w:rsidR="00B57FAA" w:rsidRPr="00AA7F7D">
        <w:rPr>
          <w:rStyle w:val="FootnoteReference"/>
        </w:rPr>
        <w:footnoteReference w:id="15"/>
      </w:r>
      <w:r w:rsidR="006729C2" w:rsidRPr="00AA7F7D">
        <w:t xml:space="preserve"> mellem EU og Det Forenede Kongerige, som er et vigtigt skridt i retning af at styrke koordineringen mellem de respektive konkurrencemyndigheder;</w:t>
      </w:r>
    </w:p>
    <w:p w14:paraId="27D3E8D0" w14:textId="77777777" w:rsidR="006729C2" w:rsidRPr="00AA7F7D" w:rsidRDefault="006729C2" w:rsidP="006729C2">
      <w:pPr>
        <w:pStyle w:val="Normal12a"/>
      </w:pPr>
      <w:r w:rsidRPr="00AA7F7D">
        <w:rPr>
          <w:b/>
          <w:i/>
        </w:rPr>
        <w:lastRenderedPageBreak/>
        <w:t>Mere uafhængig og mere effektiv håndhævelse af EU's konkurrenceregler</w:t>
      </w:r>
    </w:p>
    <w:p w14:paraId="07974264" w14:textId="74EA25CE" w:rsidR="006729C2" w:rsidRPr="00AA7F7D" w:rsidRDefault="00CA30C3" w:rsidP="006729C2">
      <w:pPr>
        <w:pStyle w:val="NormalHanging12a"/>
      </w:pPr>
      <w:r w:rsidRPr="00AA7F7D">
        <w:t>16</w:t>
      </w:r>
      <w:r w:rsidR="006729C2" w:rsidRPr="00AA7F7D">
        <w:t>.</w:t>
      </w:r>
      <w:r w:rsidR="006729C2" w:rsidRPr="00AA7F7D">
        <w:tab/>
        <w:t>opfordrer Kommissionen til at undersøge mulighederne for at gøre håndhævelsen af EU's konkurrenceregler mere uafhængig;</w:t>
      </w:r>
    </w:p>
    <w:p w14:paraId="50DAAD1A" w14:textId="33FFC1E9" w:rsidR="006729C2" w:rsidRPr="00AA7F7D" w:rsidRDefault="00CA30C3" w:rsidP="006729C2">
      <w:pPr>
        <w:pStyle w:val="NormalHanging12a"/>
      </w:pPr>
      <w:r w:rsidRPr="00AA7F7D">
        <w:t>17</w:t>
      </w:r>
      <w:r w:rsidR="006729C2" w:rsidRPr="00AA7F7D">
        <w:t>.</w:t>
      </w:r>
      <w:r w:rsidR="006729C2" w:rsidRPr="00AA7F7D">
        <w:tab/>
        <w:t>understreger, at det er afgørende på kort sigt at styrke den eksisterende håndhævelseskapacitet; opfordrer Kommissionen til hurtigst muligt at sikre, at dets Generaldirektorat for Konkurrence råder over tilstrækkeligt personale med de nødvendige ressourcer og den nødvendige tekniske ekspertise til effektivt at håndhæve kartellovgivningen, forordningen om digitale markeder og fusionsreglerne;</w:t>
      </w:r>
    </w:p>
    <w:p w14:paraId="702F8FD1" w14:textId="53624DFD" w:rsidR="006729C2" w:rsidRPr="00AA7F7D" w:rsidRDefault="00CA30C3" w:rsidP="006729C2">
      <w:pPr>
        <w:pStyle w:val="NormalHanging12a"/>
      </w:pPr>
      <w:r w:rsidRPr="00AA7F7D">
        <w:t>18</w:t>
      </w:r>
      <w:r w:rsidR="006729C2" w:rsidRPr="00AA7F7D">
        <w:t>.</w:t>
      </w:r>
      <w:r w:rsidR="006729C2" w:rsidRPr="00AA7F7D">
        <w:tab/>
        <w:t>understreger vigtigheden af, at håndhævelsen af konkurrencereglerne sker på en upartisk og politisk uafhængig måde; opfordrer Kommissionen til at fremlægge en konsekvensanalyse af fordelene ved at oprette en særlig europæisk konkurrencemyndighed og undersøge nærhedsprincippet, den korrekte afgrænsning mellem konkurrence- og reguleringsfunktioner, demokratisk ansvarlighed over for Parlamentet og de potentielle konsekvenser for Det Europæiske Konkurrencenetværk; understreger behovet for tilstrækkelige personaleressourcer, faglige kompetencer og beføjelser;</w:t>
      </w:r>
    </w:p>
    <w:p w14:paraId="6BAD28CE" w14:textId="77777777" w:rsidR="006729C2" w:rsidRPr="00AA7F7D" w:rsidRDefault="006729C2" w:rsidP="006729C2">
      <w:pPr>
        <w:pStyle w:val="Normal12a"/>
      </w:pPr>
      <w:r w:rsidRPr="00AA7F7D">
        <w:rPr>
          <w:b/>
          <w:i/>
        </w:rPr>
        <w:t>Konkurrence i den digitale tidsalder og håndhævelse af forordningen om digitale markeder på baggrund af globale udfordringer</w:t>
      </w:r>
    </w:p>
    <w:p w14:paraId="6D03459E" w14:textId="6D84254A" w:rsidR="006729C2" w:rsidRPr="00AA7F7D" w:rsidRDefault="00CA30C3" w:rsidP="006729C2">
      <w:pPr>
        <w:pStyle w:val="NormalHanging12a"/>
      </w:pPr>
      <w:r w:rsidRPr="00AA7F7D">
        <w:t>19</w:t>
      </w:r>
      <w:r w:rsidR="006729C2" w:rsidRPr="00AA7F7D">
        <w:t>.</w:t>
      </w:r>
      <w:r w:rsidR="006729C2" w:rsidRPr="00AA7F7D">
        <w:tab/>
        <w:t>opfordrer indtrængende Kommissionen til fuldt ud at håndhæve EU's konkurrenceregler, herunder forordningen om digitale markeder, på en konsekvent, upartisk og juridisk robust måde for at beskytte Europas reguleringsmæssige autonomi mod politisk pres; bemærker med bekymring det eksterne pres omkring forordningen om digitale markeder og advarer mod udenlandsk indblanding;</w:t>
      </w:r>
    </w:p>
    <w:p w14:paraId="3192B60F" w14:textId="58E20EFE" w:rsidR="006729C2" w:rsidRPr="00AA7F7D" w:rsidRDefault="00CA30C3" w:rsidP="006729C2">
      <w:pPr>
        <w:pStyle w:val="NormalHanging12a"/>
      </w:pPr>
      <w:r w:rsidRPr="00AA7F7D">
        <w:t>20</w:t>
      </w:r>
      <w:r w:rsidR="006729C2" w:rsidRPr="00AA7F7D">
        <w:t>.</w:t>
      </w:r>
      <w:r w:rsidR="006729C2" w:rsidRPr="00AA7F7D">
        <w:tab/>
        <w:t xml:space="preserve">understreger, at effektiv håndhævelse kun kan opnås, hvis reglerne for bekæmpelse af misbrug af dominerende stilling (artikel </w:t>
      </w:r>
      <w:r w:rsidRPr="00AA7F7D">
        <w:t>102</w:t>
      </w:r>
      <w:r w:rsidR="006729C2" w:rsidRPr="00AA7F7D">
        <w:t xml:space="preserve"> i TEUF) og forordningen om digitale markeder fungerer i sammenhæng med hinanden og kombinerer forudgående og efterfølgende tilgange; opfordrer Kommissionen til at strømline og tydeliggøre konkurrencereglerne og det digitale regelsæt;</w:t>
      </w:r>
    </w:p>
    <w:p w14:paraId="645F3A6F" w14:textId="43A262C1" w:rsidR="006729C2" w:rsidRPr="00AA7F7D" w:rsidRDefault="00CA30C3" w:rsidP="006729C2">
      <w:pPr>
        <w:pStyle w:val="NormalHanging12a"/>
      </w:pPr>
      <w:r w:rsidRPr="00AA7F7D">
        <w:t>21</w:t>
      </w:r>
      <w:r w:rsidR="006729C2" w:rsidRPr="00AA7F7D">
        <w:t>.</w:t>
      </w:r>
      <w:r w:rsidR="006729C2" w:rsidRPr="00AA7F7D">
        <w:tab/>
        <w:t xml:space="preserve">glæder sig over offentliggørelsen af Kommissionens rapport den </w:t>
      </w:r>
      <w:r w:rsidRPr="00AA7F7D">
        <w:t>28</w:t>
      </w:r>
      <w:r w:rsidR="006729C2" w:rsidRPr="00AA7F7D">
        <w:t xml:space="preserve">. april </w:t>
      </w:r>
      <w:r w:rsidRPr="00AA7F7D">
        <w:t>2026</w:t>
      </w:r>
      <w:r w:rsidR="006729C2" w:rsidRPr="00AA7F7D">
        <w:t xml:space="preserve"> om evalueringen af forordningen om digitale markeder; noterer sig Kommissionens konklusion i denne første evaluering af forordningen om digitale markeder om, at forordningen om digitale markeder er egnet til formålet og ikke behøver at blive ændret på nuværende tidspunkt, selv om den udpeger særlige fokusområder fremadrettet, nemlig kunstig intelligens og </w:t>
      </w:r>
      <w:proofErr w:type="spellStart"/>
      <w:r w:rsidR="006729C2" w:rsidRPr="00AA7F7D">
        <w:t>cloudcomputingtjenester</w:t>
      </w:r>
      <w:proofErr w:type="spellEnd"/>
      <w:r w:rsidR="006729C2" w:rsidRPr="00AA7F7D">
        <w:t>, mens det fremhæves, at forordningen om digitale markeder ikke bør betragtes isoleret, når det gælder reguleringsmæssige værktøjer med henblik på AI-værdikæden eller cloudværdikæden;</w:t>
      </w:r>
    </w:p>
    <w:p w14:paraId="34519E20" w14:textId="6372786C" w:rsidR="006729C2" w:rsidRPr="00AA7F7D" w:rsidRDefault="00CA30C3" w:rsidP="006729C2">
      <w:pPr>
        <w:pStyle w:val="NormalHanging12a"/>
      </w:pPr>
      <w:r w:rsidRPr="00AA7F7D">
        <w:t>22</w:t>
      </w:r>
      <w:r w:rsidR="006729C2" w:rsidRPr="00AA7F7D">
        <w:t>.</w:t>
      </w:r>
      <w:r w:rsidR="006729C2" w:rsidRPr="00AA7F7D">
        <w:tab/>
        <w:t xml:space="preserve">opfordrer til, at evalueringen af forordningen om digitale markeder, som forventes at finde sted hvert tredje år, skal være gennemsigtig, evidensbaseret, forholdsmæssig, målrettet og ambitiøs, samtidig med at der sikres reguleringsmæssig stabilitet, og det undgås unødigt at udvide forpligtelserne for markedsdeltagerne; insisterer på, at man i den periodiske evaluering af forordningen om digitale markeder hvert tredje år systematisk bør vurdere effektiviteten og den praktiske virkning af de eksisterende forpligtelser, retssikkerheden for markedsdeltagerne, forordningen om digitale </w:t>
      </w:r>
      <w:r w:rsidR="006729C2" w:rsidRPr="00AA7F7D">
        <w:lastRenderedPageBreak/>
        <w:t>markeders samspil med sektorspecifik regulering og behovet for eventuelle justeringer af tærsklerne for udpegning af gatekeepere i lyset af markedsudviklingen; opfordrer Kommissionen til systematisk at inddrage SMV'er i høringerne i forbindelse med evalueringen af forordningen om digitale markeder;</w:t>
      </w:r>
    </w:p>
    <w:p w14:paraId="3A2BF762" w14:textId="5791143E" w:rsidR="006729C2" w:rsidRPr="00AA7F7D" w:rsidRDefault="00CA30C3" w:rsidP="006729C2">
      <w:pPr>
        <w:pStyle w:val="NormalHanging12a"/>
      </w:pPr>
      <w:r w:rsidRPr="00AA7F7D">
        <w:t>23</w:t>
      </w:r>
      <w:r w:rsidR="006729C2" w:rsidRPr="00AA7F7D">
        <w:t>.</w:t>
      </w:r>
      <w:r w:rsidR="006729C2" w:rsidRPr="00AA7F7D">
        <w:tab/>
        <w:t xml:space="preserve">understreger, at stigende koncentration inden for cloudtjenester kan underminere konkurrencen, innovationen og EU's strategiske autonomi; fremhæver, at praksisser som </w:t>
      </w:r>
      <w:proofErr w:type="spellStart"/>
      <w:r w:rsidR="006729C2" w:rsidRPr="00AA7F7D">
        <w:t>bundling</w:t>
      </w:r>
      <w:proofErr w:type="spellEnd"/>
      <w:r w:rsidR="006729C2" w:rsidRPr="00AA7F7D">
        <w:t xml:space="preserve">, cloudmarkedspladser og kontraktlige mekanismer, herunder kreditter og udgiftsforpligtelser, kan forstærke leverandørbinding og begrænse skift eller multicloudstrategier; understreger, at cloudforpligtelserne skal opdateres; bemærker, at Kommissionen </w:t>
      </w:r>
      <w:r w:rsidR="00664E87" w:rsidRPr="00664E87">
        <w:t xml:space="preserve">efter de </w:t>
      </w:r>
      <w:r w:rsidR="006729C2" w:rsidRPr="00AA7F7D">
        <w:t xml:space="preserve">markedsundersøgelser af </w:t>
      </w:r>
      <w:proofErr w:type="spellStart"/>
      <w:r w:rsidR="006729C2" w:rsidRPr="00AA7F7D">
        <w:t>cloudcomputingtjenester</w:t>
      </w:r>
      <w:proofErr w:type="spellEnd"/>
      <w:r w:rsidR="00664E87" w:rsidRPr="00664E87">
        <w:t>, der blev indledt</w:t>
      </w:r>
      <w:r w:rsidR="006729C2" w:rsidRPr="00AA7F7D">
        <w:t xml:space="preserve"> i november </w:t>
      </w:r>
      <w:r w:rsidRPr="00AA7F7D">
        <w:t>2025</w:t>
      </w:r>
      <w:r w:rsidR="006729C2" w:rsidRPr="00AA7F7D">
        <w:t xml:space="preserve">, </w:t>
      </w:r>
      <w:r w:rsidR="00664E87" w:rsidRPr="00664E87">
        <w:t xml:space="preserve">offentliggjorde sin foreløbige holdning den 25. juni 2026, hvori den anførte, at </w:t>
      </w:r>
      <w:r w:rsidR="006729C2" w:rsidRPr="00AA7F7D">
        <w:t xml:space="preserve">Microsoft </w:t>
      </w:r>
      <w:proofErr w:type="spellStart"/>
      <w:r w:rsidR="006729C2" w:rsidRPr="00AA7F7D">
        <w:t>Azure</w:t>
      </w:r>
      <w:proofErr w:type="spellEnd"/>
      <w:r w:rsidR="006729C2" w:rsidRPr="00AA7F7D">
        <w:t xml:space="preserve"> og Amazon Web Services skulle udpeges som gatekeepere for </w:t>
      </w:r>
      <w:proofErr w:type="spellStart"/>
      <w:r w:rsidR="006729C2" w:rsidRPr="00AA7F7D">
        <w:t>cloudcomputingtjenester</w:t>
      </w:r>
      <w:proofErr w:type="spellEnd"/>
      <w:r w:rsidR="00664E87">
        <w:rPr>
          <w:rStyle w:val="FootnoteReference"/>
        </w:rPr>
        <w:footnoteReference w:id="16"/>
      </w:r>
      <w:r w:rsidR="006729C2" w:rsidRPr="00AA7F7D">
        <w:t xml:space="preserve">, </w:t>
      </w:r>
      <w:r w:rsidR="00664E87" w:rsidRPr="00664E87">
        <w:t>mens dens undersøgelse af</w:t>
      </w:r>
      <w:r w:rsidR="006729C2" w:rsidRPr="00AA7F7D">
        <w:t xml:space="preserve">, om forordningen om digitale markeder effektivt kan imødegå praksis, der kan begrænse konkurrenceevnen og retfærdigheden inden for </w:t>
      </w:r>
      <w:proofErr w:type="spellStart"/>
      <w:r w:rsidR="006729C2" w:rsidRPr="00AA7F7D">
        <w:t>cloudcomputingtjenester</w:t>
      </w:r>
      <w:proofErr w:type="spellEnd"/>
      <w:r w:rsidR="00664E87" w:rsidRPr="00664E87">
        <w:t>, fortsat pågår</w:t>
      </w:r>
      <w:r w:rsidR="00B57FAA" w:rsidRPr="00AA7F7D">
        <w:rPr>
          <w:rStyle w:val="FootnoteReference"/>
        </w:rPr>
        <w:footnoteReference w:id="17"/>
      </w:r>
      <w:r w:rsidR="006729C2" w:rsidRPr="00AA7F7D">
        <w:t>; opfordrer Kommissionen til at anvende markedsundersøgelsen af cloudtjenester til at tilpasse forpligtelserne i forordningen om digitale markeder og sikre, at de effektivt afhjælper de hindringer, der forhindrer brugerne i at skifte udbyder;</w:t>
      </w:r>
    </w:p>
    <w:p w14:paraId="43BE4890" w14:textId="5311BA01" w:rsidR="006729C2" w:rsidRPr="00AA7F7D" w:rsidRDefault="00CA30C3" w:rsidP="006729C2">
      <w:pPr>
        <w:pStyle w:val="NormalHanging12a"/>
      </w:pPr>
      <w:r w:rsidRPr="00AA7F7D">
        <w:t>24</w:t>
      </w:r>
      <w:r w:rsidR="006729C2" w:rsidRPr="00AA7F7D">
        <w:t>.</w:t>
      </w:r>
      <w:r w:rsidR="006729C2" w:rsidRPr="00AA7F7D">
        <w:tab/>
        <w:t>minder om, at håndhævelsen af forordningen om digitale markeder stadig ikke er optimal; støtter en stærkere håndhævelse af forordningen om digitale markeder i forhold til alle markedsdeltagere, der er omfattet af forordningens anvendelsesområde, uanset nationalitet, og opfordrer Kommissionen til at afslutte åbne undersøgelser inden for de tidsrammer, der er fastsat i forordningen om digitale markeder; bemærker, at en effektiv håndhævelse af forordningen om digitale markeder kræver tilstrækkelige og bæredygtige ressourcer; opfordrer Kommissionen og budgetmyndighederne til at sikre, at der afsættes tilstrækkelige og stabile ressourcer via EU-budgettet til håndhævelsen af forordningen om digitale markeder; opfordrer derfor til, at der undersøges bæredygtige finansieringsløsninger, samtidig med at den institutionelle balance respekteres, navnlig med henblik på at indføre et gebyr i forordningen om digitale markeder svarende til gebyret i henhold til forordningen om digitale tjenester;</w:t>
      </w:r>
    </w:p>
    <w:p w14:paraId="75F28D9B" w14:textId="31112558" w:rsidR="006729C2" w:rsidRPr="00AA7F7D" w:rsidRDefault="00CA30C3" w:rsidP="006729C2">
      <w:pPr>
        <w:pStyle w:val="NormalHanging12a"/>
      </w:pPr>
      <w:r w:rsidRPr="00AA7F7D">
        <w:t>25</w:t>
      </w:r>
      <w:r w:rsidR="006729C2" w:rsidRPr="00AA7F7D">
        <w:t>.</w:t>
      </w:r>
      <w:r w:rsidR="006729C2" w:rsidRPr="00AA7F7D">
        <w:tab/>
        <w:t>opfordrer Kommissionen til at gøre fuld og proaktiv brug af alle de håndhævelsesinstrumenter, der er fastsat i forordningen om digitale markeder, herunder yderligere markedsundersøgelser, procedurer for manglende overholdelse, kontrolbesøg, foreløbige foranstaltninger, bøder og tvangsbøder, for at forhindre omgåelse og sikre effektiv overholdelse;</w:t>
      </w:r>
    </w:p>
    <w:p w14:paraId="752F7694" w14:textId="5F8568A4" w:rsidR="006729C2" w:rsidRPr="00AA7F7D" w:rsidRDefault="00CA30C3" w:rsidP="006729C2">
      <w:pPr>
        <w:pStyle w:val="NormalHanging12a"/>
      </w:pPr>
      <w:r w:rsidRPr="00AA7F7D">
        <w:t>26</w:t>
      </w:r>
      <w:r w:rsidR="006729C2" w:rsidRPr="00AA7F7D">
        <w:t>.</w:t>
      </w:r>
      <w:r w:rsidR="006729C2" w:rsidRPr="00AA7F7D">
        <w:tab/>
        <w:t xml:space="preserve">anerkender, at der findes et retsgrundlag for strukturelle foranstaltninger mod misbrug af markedsdominans; er bekendt med, at EU's konkurrenceregler foreskriver, at strukturelle foranstaltninger kun bør anvendes som en sidste udvej, hvis adfærdsmæssige foranstaltninger har vist sig at være ineffektive, men beklager ikke </w:t>
      </w:r>
      <w:r w:rsidR="006729C2" w:rsidRPr="00AA7F7D">
        <w:lastRenderedPageBreak/>
        <w:t>desto mindre Kommissionens modvilje mod at tackle markedsdominans gennem strukturelle foranstaltninger;</w:t>
      </w:r>
    </w:p>
    <w:p w14:paraId="38E514F6" w14:textId="33442A03" w:rsidR="006729C2" w:rsidRPr="00AA7F7D" w:rsidRDefault="00CA30C3" w:rsidP="006729C2">
      <w:pPr>
        <w:pStyle w:val="NormalHanging12a"/>
      </w:pPr>
      <w:r w:rsidRPr="00AA7F7D">
        <w:t>27</w:t>
      </w:r>
      <w:r w:rsidR="006729C2" w:rsidRPr="00AA7F7D">
        <w:t>.</w:t>
      </w:r>
      <w:r w:rsidR="006729C2" w:rsidRPr="00AA7F7D">
        <w:tab/>
        <w:t>glæder sig over, at Kommissionen i sin første evaluering af forordningen om digitale markeder anerkender, at de fremtidssikringsværktøjer, som fælleslovgiverne har indarbejdet, er afgørende for at sætte rammen i stand til at reagere på udviklingen på markeder og inden for teknologier; opfordrer derfor Kommissionen til at håndhæve forordningen om digitale markeder på en konsekvent og fremtidssikret måde i forhold til den teknologiske udvikling ved rettidigt at tage fat på AI-drevne tjenester og cloudbaseret infrastruktur med henblik på at forhindre nye former for fastlåsning, markedsafskærmning eller gatekeeperpraksis, herunder hvor gatekeepere udnytter kontrollen over data, computerressourcer eller integrerede tjenester til skade for nye AI-udviklere og innovative nye markedsaktører;</w:t>
      </w:r>
    </w:p>
    <w:p w14:paraId="4761EB52" w14:textId="7DB0D77B" w:rsidR="006729C2" w:rsidRPr="00AA7F7D" w:rsidRDefault="00CA30C3" w:rsidP="006729C2">
      <w:pPr>
        <w:pStyle w:val="NormalHanging12a"/>
      </w:pPr>
      <w:r w:rsidRPr="00AA7F7D">
        <w:t>28</w:t>
      </w:r>
      <w:r w:rsidR="006729C2" w:rsidRPr="00AA7F7D">
        <w:t>.</w:t>
      </w:r>
      <w:r w:rsidR="006729C2" w:rsidRPr="00AA7F7D">
        <w:tab/>
        <w:t xml:space="preserve">glæder sig over, at Kommissionen allerede overvåger udbredelsen af AI-værktøjer inden for udpegede centrale platformstjenester i henhold til forordningen om digitale markeder; bemærker, at Kommissionen i sin første evaluering af forordningen om digitale markeder rapporterer, at den med hensyn til AI-tjenester er begyndt at behandle forskellige spørgsmål om rimelighed og fri markedsadgang, der indtog en fremtrædende plads i den offentlige høring, f.eks. gennem sin reguleringsmæssige dialog med gatekeepere om at sikre, at standardindstillinger let kan ændres, og at AI-tjenester har lige adgang til styresystemer; bemærker, at der blev indledt to specifikationsprocedurer i januar </w:t>
      </w:r>
      <w:r w:rsidRPr="00AA7F7D">
        <w:t>2026</w:t>
      </w:r>
      <w:r w:rsidR="006729C2" w:rsidRPr="00AA7F7D">
        <w:t xml:space="preserve"> i forbindelse med </w:t>
      </w:r>
      <w:proofErr w:type="spellStart"/>
      <w:r w:rsidR="006729C2" w:rsidRPr="00AA7F7D">
        <w:t>Alphabet</w:t>
      </w:r>
      <w:proofErr w:type="spellEnd"/>
      <w:r w:rsidR="006729C2" w:rsidRPr="00AA7F7D">
        <w:t xml:space="preserve">, og at disse også har en AI-dimension vedrørende </w:t>
      </w:r>
      <w:proofErr w:type="spellStart"/>
      <w:r w:rsidR="006729C2" w:rsidRPr="00AA7F7D">
        <w:t>interoperabilitet</w:t>
      </w:r>
      <w:proofErr w:type="spellEnd"/>
      <w:r w:rsidR="006729C2" w:rsidRPr="00AA7F7D">
        <w:t xml:space="preserve"> og adgang til søgedata; opfordrer Kommissionen til at udvikle og anvende nye skadesteorier for at imødegå de etablerede operatørers yderligere forskansning og i forbindelse med den kommende evaluering af forordningen om digitale markeder vurdere, om den nuværende liste over centrale platformstjenester i tilstrækkelig grad afspejler markedsforholdene, herunder på områder som AI-modeller, AI-</w:t>
      </w:r>
      <w:proofErr w:type="spellStart"/>
      <w:r w:rsidR="006729C2" w:rsidRPr="00AA7F7D">
        <w:t>chatbots</w:t>
      </w:r>
      <w:proofErr w:type="spellEnd"/>
      <w:r w:rsidR="006729C2" w:rsidRPr="00AA7F7D">
        <w:t xml:space="preserve"> og cloudtjenester, de primære virtuelle assistenttjenester og forbundne TV-styresystemer; opfordrer Kommissionen til at inddrage SMV'er, nystartede virksomheder, industrisammenslutninger, akademiske eksperter og forbrugerorganisationer i alle medlemsstaterne i høringerne om evalueringen af forordningen om digitale markeder;</w:t>
      </w:r>
    </w:p>
    <w:p w14:paraId="128D8D59" w14:textId="5F973B68" w:rsidR="006729C2" w:rsidRPr="00AA7F7D" w:rsidRDefault="00CA30C3" w:rsidP="006729C2">
      <w:pPr>
        <w:pStyle w:val="NormalHanging12a"/>
      </w:pPr>
      <w:r w:rsidRPr="00AA7F7D">
        <w:t>29</w:t>
      </w:r>
      <w:r w:rsidR="006729C2" w:rsidRPr="00AA7F7D">
        <w:t>.</w:t>
      </w:r>
      <w:r w:rsidR="006729C2" w:rsidRPr="00AA7F7D">
        <w:tab/>
        <w:t>understreger, at håndhævelsen af forordningen om digitale markeder gælder for alle udpegede gatekeepere uanset nationalitet eller oprindelse, og opfordrer Kommissionen til at anvende forpligtelserne i henhold til forordningen om digitale markeder konsekvent; glæder sig over koordineringen mellem Kommissionen og de nationale konkurrencemyndigheder med hensyn til adfærd i forbindelse med forordningen om digitale markeder; opfordrer indtrængende Kommissionen til at træffe håndfaste foranstaltninger i overensstemmelse hermed;</w:t>
      </w:r>
    </w:p>
    <w:p w14:paraId="5B7439AA" w14:textId="0B43F734" w:rsidR="006729C2" w:rsidRPr="00AA7F7D" w:rsidRDefault="00CA30C3" w:rsidP="006729C2">
      <w:pPr>
        <w:pStyle w:val="NormalHanging12a"/>
      </w:pPr>
      <w:r w:rsidRPr="00AA7F7D">
        <w:t>30</w:t>
      </w:r>
      <w:r w:rsidR="006729C2" w:rsidRPr="00AA7F7D">
        <w:t>.</w:t>
      </w:r>
      <w:r w:rsidR="006729C2" w:rsidRPr="00AA7F7D">
        <w:tab/>
        <w:t>opfordrer Kommissionen til i forbindelse med gennemførelsen af direktivet om det digitale indre marked</w:t>
      </w:r>
      <w:r w:rsidR="00B57FAA" w:rsidRPr="00AA7F7D">
        <w:rPr>
          <w:rStyle w:val="FootnoteReference"/>
        </w:rPr>
        <w:footnoteReference w:id="18"/>
      </w:r>
      <w:r w:rsidR="006729C2" w:rsidRPr="00AA7F7D">
        <w:t xml:space="preserve"> at undersøge gatekeeperes potentielle misbrug i henhold til forordningen om digitale markeder i deres forhandlinger med presseudgivere, og navnlig til at undersøge, om sådanne forhandlinger er i overensstemmelse med </w:t>
      </w:r>
      <w:r w:rsidR="006729C2" w:rsidRPr="00AA7F7D">
        <w:lastRenderedPageBreak/>
        <w:t>FRAND-forpligtelserne (fair, rimelige og ikkediskriminerende), der sikrer et rimeligt vederlag, gennemsigtige vilkår og ikkediskriminerende adgang til onlinepublikum;</w:t>
      </w:r>
    </w:p>
    <w:p w14:paraId="14D520A7" w14:textId="341EE8B8" w:rsidR="006729C2" w:rsidRPr="00AA7F7D" w:rsidRDefault="00CA30C3" w:rsidP="006729C2">
      <w:pPr>
        <w:pStyle w:val="NormalHanging12a"/>
      </w:pPr>
      <w:r w:rsidRPr="00AA7F7D">
        <w:t>31</w:t>
      </w:r>
      <w:r w:rsidR="006729C2" w:rsidRPr="00AA7F7D">
        <w:t>.</w:t>
      </w:r>
      <w:r w:rsidR="006729C2" w:rsidRPr="00AA7F7D">
        <w:tab/>
        <w:t xml:space="preserve">opfordrer Kommissionen til at gøre fuld brug af artikel </w:t>
      </w:r>
      <w:r w:rsidRPr="00AA7F7D">
        <w:t>13</w:t>
      </w:r>
      <w:r w:rsidR="006729C2" w:rsidRPr="00AA7F7D">
        <w:t xml:space="preserve"> i forordningen om digitale markeder for at imødegå enhver omgåelse fra gatekeeperes side af deres forpligtelser i henhold til artikel </w:t>
      </w:r>
      <w:r w:rsidRPr="00AA7F7D">
        <w:t>5</w:t>
      </w:r>
      <w:r w:rsidR="006729C2" w:rsidRPr="00AA7F7D">
        <w:t xml:space="preserve"> og </w:t>
      </w:r>
      <w:r w:rsidRPr="00AA7F7D">
        <w:t>6</w:t>
      </w:r>
      <w:r w:rsidR="006729C2" w:rsidRPr="00AA7F7D">
        <w:t xml:space="preserve"> i forordningen om digitale markeder;</w:t>
      </w:r>
    </w:p>
    <w:p w14:paraId="4F525DBD" w14:textId="77777777" w:rsidR="006729C2" w:rsidRPr="00AA7F7D" w:rsidRDefault="006729C2" w:rsidP="006729C2">
      <w:pPr>
        <w:pStyle w:val="Normal12a"/>
      </w:pPr>
      <w:r w:rsidRPr="00AA7F7D">
        <w:rPr>
          <w:b/>
          <w:i/>
        </w:rPr>
        <w:t>Kartelregler</w:t>
      </w:r>
    </w:p>
    <w:p w14:paraId="25E308E8" w14:textId="033C0A86" w:rsidR="006729C2" w:rsidRPr="00AA7F7D" w:rsidRDefault="00CA30C3" w:rsidP="006729C2">
      <w:pPr>
        <w:pStyle w:val="NormalHanging12a"/>
      </w:pPr>
      <w:r w:rsidRPr="00AA7F7D">
        <w:t>32</w:t>
      </w:r>
      <w:r w:rsidR="006729C2" w:rsidRPr="00AA7F7D">
        <w:t>.</w:t>
      </w:r>
      <w:r w:rsidR="006729C2" w:rsidRPr="00AA7F7D">
        <w:tab/>
        <w:t>opfordrer indtrængende Kommissionen til på passende vis at anvende foreløbige forholdsregler til at standse enhver praksis, der skader konkurrencen, navnlig på digitale markeder i hastig udvikling; opfordrer Kommissionen til at modernisere forordning (EF) nr. </w:t>
      </w:r>
      <w:r w:rsidRPr="00AA7F7D">
        <w:t>1</w:t>
      </w:r>
      <w:r w:rsidR="006729C2" w:rsidRPr="00AA7F7D">
        <w:t>/</w:t>
      </w:r>
      <w:r w:rsidRPr="00AA7F7D">
        <w:t>2003</w:t>
      </w:r>
      <w:r w:rsidR="00B57FAA" w:rsidRPr="00AA7F7D">
        <w:rPr>
          <w:rStyle w:val="FootnoteReference"/>
        </w:rPr>
        <w:footnoteReference w:id="19"/>
      </w:r>
      <w:r w:rsidR="006729C2" w:rsidRPr="00AA7F7D">
        <w:t xml:space="preserve"> og Kommissionens forordning (EF) nr. </w:t>
      </w:r>
      <w:r w:rsidRPr="00AA7F7D">
        <w:t>773</w:t>
      </w:r>
      <w:r w:rsidR="006729C2" w:rsidRPr="00AA7F7D">
        <w:t>/</w:t>
      </w:r>
      <w:r w:rsidRPr="00AA7F7D">
        <w:t>2004</w:t>
      </w:r>
      <w:r w:rsidR="00B57FAA" w:rsidRPr="00AA7F7D">
        <w:rPr>
          <w:rStyle w:val="FootnoteReference"/>
        </w:rPr>
        <w:footnoteReference w:id="20"/>
      </w:r>
      <w:r w:rsidR="006729C2" w:rsidRPr="00AA7F7D">
        <w:t xml:space="preserve"> for at forbedre effektiviteten, retssikkerheden og proportionaliteten af EU's håndhævelse af kartellovgivningen; støtter en afklaret ramme for foreløbige forholdsregler i tilfælde af alvorlig og uoprettelig skade på konkurrencen, med passende retssikkerhedsgarantier;</w:t>
      </w:r>
    </w:p>
    <w:p w14:paraId="11D97FAE" w14:textId="673C894C" w:rsidR="006729C2" w:rsidRPr="00AA7F7D" w:rsidRDefault="00CA30C3" w:rsidP="006729C2">
      <w:pPr>
        <w:pStyle w:val="NormalHanging12a"/>
      </w:pPr>
      <w:r w:rsidRPr="00AA7F7D">
        <w:t>33</w:t>
      </w:r>
      <w:r w:rsidR="006729C2" w:rsidRPr="00AA7F7D">
        <w:t>.</w:t>
      </w:r>
      <w:r w:rsidR="006729C2" w:rsidRPr="00AA7F7D">
        <w:tab/>
        <w:t>opfordrer Kommissionen til at gøre op med alt for langvarige kartelundersøgelser; opfordrer til bindende proceduremæssige tidsfrister for kartelundersøgelser for at forhindre unødvendige forsinkelser, der skader retssikkerheden og retten til forsvar;</w:t>
      </w:r>
    </w:p>
    <w:p w14:paraId="6003F00E" w14:textId="4ED24682" w:rsidR="006729C2" w:rsidRPr="00AA7F7D" w:rsidRDefault="00CA30C3" w:rsidP="006729C2">
      <w:pPr>
        <w:pStyle w:val="NormalHanging12a"/>
      </w:pPr>
      <w:r w:rsidRPr="00AA7F7D">
        <w:t>34</w:t>
      </w:r>
      <w:r w:rsidR="006729C2" w:rsidRPr="00AA7F7D">
        <w:t>.</w:t>
      </w:r>
      <w:r w:rsidR="006729C2" w:rsidRPr="00AA7F7D">
        <w:tab/>
        <w:t>opfordrer Kommissionen til at gennemføre en omfattende undersøgelse af den afskrækkende virkning af sine bøder; insisterer på, at sanktionerne skal være tilstrækkeligt høje til at overstige den ulovlige økonomiske fordel, der er opnået ved overtrædelsen;</w:t>
      </w:r>
    </w:p>
    <w:p w14:paraId="121D2B9F" w14:textId="3A4B1F06" w:rsidR="006729C2" w:rsidRPr="00AA7F7D" w:rsidRDefault="00CA30C3" w:rsidP="006729C2">
      <w:pPr>
        <w:pStyle w:val="NormalHanging12a"/>
      </w:pPr>
      <w:r w:rsidRPr="00AA7F7D">
        <w:t>35</w:t>
      </w:r>
      <w:r w:rsidR="006729C2" w:rsidRPr="00AA7F7D">
        <w:t>.</w:t>
      </w:r>
      <w:r w:rsidR="006729C2" w:rsidRPr="00AA7F7D">
        <w:tab/>
        <w:t xml:space="preserve">understreger betydningen af effektive erstatningssøgsmål som et supplement til den offentlige håndhævelse af kartelreglerne, således at ofre for overtrædelser af artikel </w:t>
      </w:r>
      <w:r w:rsidRPr="00AA7F7D">
        <w:t>101</w:t>
      </w:r>
      <w:r w:rsidR="006729C2" w:rsidRPr="00AA7F7D">
        <w:t xml:space="preserve"> og </w:t>
      </w:r>
      <w:r w:rsidRPr="00AA7F7D">
        <w:t>102</w:t>
      </w:r>
      <w:r w:rsidR="006729C2" w:rsidRPr="00AA7F7D">
        <w:t xml:space="preserve"> i TEUF kan opnå fuld erstatning; opfordrer Kommissionen og medlemsstaterne til at sikre en effektiv gennemførelse af direktivet om erstatning i konkurrencesager</w:t>
      </w:r>
      <w:r w:rsidR="00B57FAA" w:rsidRPr="00AA7F7D">
        <w:rPr>
          <w:rStyle w:val="FootnoteReference"/>
        </w:rPr>
        <w:footnoteReference w:id="21"/>
      </w:r>
      <w:r w:rsidR="006729C2" w:rsidRPr="00AA7F7D">
        <w:t xml:space="preserve"> og til at fjerne de resterende hindringer for privat håndhævelse;</w:t>
      </w:r>
    </w:p>
    <w:p w14:paraId="041F20C6" w14:textId="17617E35" w:rsidR="006729C2" w:rsidRPr="00AA7F7D" w:rsidRDefault="00CA30C3" w:rsidP="006729C2">
      <w:pPr>
        <w:pStyle w:val="NormalHanging12a"/>
      </w:pPr>
      <w:r w:rsidRPr="00AA7F7D">
        <w:t>36</w:t>
      </w:r>
      <w:r w:rsidR="006729C2" w:rsidRPr="00AA7F7D">
        <w:t>.</w:t>
      </w:r>
      <w:r w:rsidR="006729C2" w:rsidRPr="00AA7F7D">
        <w:tab/>
        <w:t>bekræfter på ny behovet for et stærkt og effektivt samarbejde mellem Kommissionen og de nationale konkurrencemyndigheder inden for Det Europæiske Konkurrencenetværk samt med relevante private og offentlige interessenter og forbrugerorganisationer; understreger, at de nationale konkurrencemyndigheder bør forblive politisk uafhængige og have tilstrækkelige ressourcer, og at ECN+-direktivet</w:t>
      </w:r>
      <w:r w:rsidR="00B57FAA" w:rsidRPr="00AA7F7D">
        <w:rPr>
          <w:rStyle w:val="FootnoteReference"/>
        </w:rPr>
        <w:footnoteReference w:id="22"/>
      </w:r>
      <w:r w:rsidR="006729C2" w:rsidRPr="00AA7F7D">
        <w:t xml:space="preserve"> bør gennemføres fuldt ud og </w:t>
      </w:r>
      <w:r w:rsidR="006729C2" w:rsidRPr="00AA7F7D">
        <w:lastRenderedPageBreak/>
        <w:t>konsekvent i alle medlemsstaterne; opfordrer til øget konvergens af håndhævelsesstandarder, rettidig informationsudveksling og en klar kompetencefordeling for at undgå dobbeltarbejde; understreger, at Det Europæiske Konkurrencenetværk bør bevæge sig i retning af en fuldt integreret form for samarbejde med henblik på at øge omkostningseffektiviteten og forbedre håndteringen af grænseoverskridende aspekter, herunder ved at muliggøre fælles undersøgelser og fælles beslutningstagning; opfordrer Det Europæiske Konkurrencenetværk til yderligere at vejlede virksomheder, især SMV'er, i at anvende konkurrencereglerne;</w:t>
      </w:r>
    </w:p>
    <w:p w14:paraId="3938ED46" w14:textId="1FE5EB22" w:rsidR="006729C2" w:rsidRPr="00AA7F7D" w:rsidRDefault="00CA30C3" w:rsidP="006729C2">
      <w:pPr>
        <w:pStyle w:val="NormalHanging12a"/>
      </w:pPr>
      <w:r w:rsidRPr="00AA7F7D">
        <w:t>37</w:t>
      </w:r>
      <w:r w:rsidR="006729C2" w:rsidRPr="00AA7F7D">
        <w:t>.</w:t>
      </w:r>
      <w:r w:rsidR="006729C2" w:rsidRPr="00AA7F7D">
        <w:tab/>
        <w:t>opfordrer Kommissionen og de nationale konkurrencemyndigheder til at etablere lettilgængelige og SMV-venlige klagemekanismer for konkurrencebegrænsende praksis og sikre en hurtig og effektiv sagsbehandling;</w:t>
      </w:r>
    </w:p>
    <w:p w14:paraId="57F369C0" w14:textId="532D5067" w:rsidR="006729C2" w:rsidRPr="00AA7F7D" w:rsidRDefault="00CA30C3" w:rsidP="006729C2">
      <w:pPr>
        <w:pStyle w:val="NormalHanging12a"/>
      </w:pPr>
      <w:r w:rsidRPr="00AA7F7D">
        <w:t>38</w:t>
      </w:r>
      <w:r w:rsidR="006729C2" w:rsidRPr="00AA7F7D">
        <w:t>.</w:t>
      </w:r>
      <w:r w:rsidR="006729C2" w:rsidRPr="00AA7F7D">
        <w:tab/>
        <w:t xml:space="preserve">noterer sig de igangværende undersøgelser af virksomheder uden for EU, herunder Kommissionens foreløbige undersøgelse af Visa- og </w:t>
      </w:r>
      <w:proofErr w:type="spellStart"/>
      <w:r w:rsidR="006729C2" w:rsidRPr="00AA7F7D">
        <w:t>Mastercard</w:t>
      </w:r>
      <w:proofErr w:type="spellEnd"/>
      <w:r w:rsidR="006729C2" w:rsidRPr="00AA7F7D">
        <w:t xml:space="preserve">-gebyrer; opfordrer Kommissionen til at sikre, at betalingsmarkedet forbliver konkurrencedygtigt, gennemsigtigt og tilgængeligt for forbrugere og virksomheder; understreger behovet for at evaluere forordningen om </w:t>
      </w:r>
      <w:proofErr w:type="spellStart"/>
      <w:r w:rsidR="006729C2" w:rsidRPr="00AA7F7D">
        <w:t>interbankgebyrer</w:t>
      </w:r>
      <w:proofErr w:type="spellEnd"/>
      <w:r w:rsidR="00B57FAA" w:rsidRPr="00AA7F7D">
        <w:rPr>
          <w:rStyle w:val="FootnoteReference"/>
        </w:rPr>
        <w:footnoteReference w:id="23"/>
      </w:r>
      <w:r w:rsidR="006729C2" w:rsidRPr="00AA7F7D">
        <w:t xml:space="preserve"> for at vurdere, hvor effektiv den er til at håndtere de stigende gebyrer; opfordrer Kommissionen til at afslutte de igangværende undersøgelser i betalingssektoren uden unødigt ophold; understreger, at den digitale euro er en afgørende mulighed for at mindske den overdrevne afhængighed af kortordninger uden for EU og styrke konkurrencen og EU's strategiske autonomi i betalingssektoren, herunder ved at bidrage til at sikre mere konkurrencedygtige prisvilkår for virksomhederne, navnlig SMV'erne;</w:t>
      </w:r>
    </w:p>
    <w:p w14:paraId="302CC3FE" w14:textId="6E3845F0" w:rsidR="006729C2" w:rsidRPr="00AA7F7D" w:rsidRDefault="00CA30C3" w:rsidP="006729C2">
      <w:pPr>
        <w:pStyle w:val="NormalHanging12a"/>
      </w:pPr>
      <w:r w:rsidRPr="00AA7F7D">
        <w:t>39</w:t>
      </w:r>
      <w:r w:rsidR="006729C2" w:rsidRPr="00AA7F7D">
        <w:t>.</w:t>
      </w:r>
      <w:r w:rsidR="006729C2" w:rsidRPr="00AA7F7D">
        <w:tab/>
        <w:t xml:space="preserve">understreger betydningen af konkurrence i banksektoren og fuldførelsen af bankunionen; opfordrer Kommissionen til at anvende alle tilgængelige instrumenter til at sikre fair konkurrence og overvåge tendenserne i banksektoren i perioder med høj inflation; understreger betydningen og den presserende karakter af Kommissionens kommende rapport om konkurrenceevnen i EU's banksektor og forventer, at Kommissionen vedtager rapporten senest i juli </w:t>
      </w:r>
      <w:r w:rsidRPr="00AA7F7D">
        <w:t>2026</w:t>
      </w:r>
      <w:r w:rsidR="006729C2" w:rsidRPr="00AA7F7D">
        <w:t xml:space="preserve">; glæder sig endvidere over den kommende vurdering af anvendelsen af direktiv </w:t>
      </w:r>
      <w:r w:rsidRPr="00AA7F7D">
        <w:t>2002</w:t>
      </w:r>
      <w:r w:rsidR="006729C2" w:rsidRPr="00AA7F7D">
        <w:t>/</w:t>
      </w:r>
      <w:r w:rsidRPr="00AA7F7D">
        <w:t>87</w:t>
      </w:r>
      <w:r w:rsidR="006729C2" w:rsidRPr="00AA7F7D">
        <w:t>/EF</w:t>
      </w:r>
      <w:r w:rsidR="00B57FAA" w:rsidRPr="00AA7F7D">
        <w:rPr>
          <w:rStyle w:val="FootnoteReference"/>
        </w:rPr>
        <w:footnoteReference w:id="24"/>
      </w:r>
      <w:r w:rsidR="006729C2" w:rsidRPr="00AA7F7D">
        <w:t xml:space="preserve"> og Solvens II-direktivet</w:t>
      </w:r>
      <w:r w:rsidR="00B57FAA" w:rsidRPr="00AA7F7D">
        <w:rPr>
          <w:rStyle w:val="FootnoteReference"/>
        </w:rPr>
        <w:footnoteReference w:id="25"/>
      </w:r>
      <w:r w:rsidR="006729C2" w:rsidRPr="00AA7F7D">
        <w:t xml:space="preserve"> med hensyn til aspekter vedrørende lige vilkår for deltagere på forsikrings- og bankmarkedet;</w:t>
      </w:r>
    </w:p>
    <w:p w14:paraId="4067A790" w14:textId="17866E6F" w:rsidR="006729C2" w:rsidRPr="00AA7F7D" w:rsidRDefault="00CA30C3" w:rsidP="006729C2">
      <w:pPr>
        <w:pStyle w:val="NormalHanging12a"/>
      </w:pPr>
      <w:r w:rsidRPr="00AA7F7D">
        <w:t>40</w:t>
      </w:r>
      <w:r w:rsidR="006729C2" w:rsidRPr="00AA7F7D">
        <w:t>.</w:t>
      </w:r>
      <w:r w:rsidR="006729C2" w:rsidRPr="00AA7F7D">
        <w:tab/>
        <w:t xml:space="preserve">bemærker, at der findes oligopoler i leveringen af visse tjenesteydelser, der er afgørende for deltagerne på EU's finansielle marked, såsom </w:t>
      </w:r>
      <w:proofErr w:type="spellStart"/>
      <w:r w:rsidR="006729C2" w:rsidRPr="00AA7F7D">
        <w:t>markedsaggregatorer</w:t>
      </w:r>
      <w:proofErr w:type="spellEnd"/>
      <w:r w:rsidR="006729C2" w:rsidRPr="00AA7F7D">
        <w:t xml:space="preserve"> og </w:t>
      </w:r>
      <w:proofErr w:type="spellStart"/>
      <w:r w:rsidR="006729C2" w:rsidRPr="00AA7F7D">
        <w:t>konnektivitetsudbydere</w:t>
      </w:r>
      <w:proofErr w:type="spellEnd"/>
      <w:r w:rsidR="006729C2" w:rsidRPr="00AA7F7D">
        <w:t xml:space="preserve">, der er kendetegnet ved et begrænset antal udbydere, betydelige </w:t>
      </w:r>
      <w:r w:rsidR="006729C2" w:rsidRPr="00AA7F7D">
        <w:lastRenderedPageBreak/>
        <w:t xml:space="preserve">vanskeligheder med at skifte fra én udbyder til en anden eller asymmetrisk prissætningsstyrke til fordel for udbyderen, hvilket i sidste ende øger omkostningerne for investorerne; bemærker endvidere, at de tre største kreditvurderingsbureauer og de fire største virksomheder på revisionsmarkedet stadig besidder markedsandele på over </w:t>
      </w:r>
      <w:r w:rsidRPr="00AA7F7D">
        <w:t>90</w:t>
      </w:r>
      <w:r w:rsidR="006729C2" w:rsidRPr="00AA7F7D">
        <w:t> %; opfordrer indtrængende Kommissionen til at undersøge eksisterende oligopoler og træffe passende foranstaltninger til gavn for EU's konkurrence;</w:t>
      </w:r>
    </w:p>
    <w:p w14:paraId="6394134E" w14:textId="49E2D8E4" w:rsidR="006729C2" w:rsidRPr="00AA7F7D" w:rsidRDefault="00CA30C3" w:rsidP="006729C2">
      <w:pPr>
        <w:pStyle w:val="NormalHanging12a"/>
      </w:pPr>
      <w:r w:rsidRPr="00AA7F7D">
        <w:t>41</w:t>
      </w:r>
      <w:r w:rsidR="006729C2" w:rsidRPr="00AA7F7D">
        <w:t>.</w:t>
      </w:r>
      <w:r w:rsidR="006729C2" w:rsidRPr="00AA7F7D">
        <w:tab/>
        <w:t xml:space="preserve">minder om, at Den Europæiske Centralbank har bemærket, at fødevarepriserne fortsat er høje, hvilket navnlig påvirker sårbare forbrugere; udtrykker bekymring over den høje markedskoncentration på visse niveauer i landbrugs- og fødevareforsyningskæden; opfordrer indtrængende Kommissionen til at vurdere omfanget og virkningen af indkøbsalliancer og yderligere analysere virkningerne heraf ikke blot på priserne, men også på landbrugernes og landbrugsfødevareproducenternes evne til at levere sunde, sikre og bæredygtige produkter til forbrugerne; opfordrer Kommissionen til at vurdere, om der er behov for yderligere retningslinjer for anvendelsen af artikel </w:t>
      </w:r>
      <w:r w:rsidRPr="00AA7F7D">
        <w:t>102</w:t>
      </w:r>
      <w:r w:rsidR="006729C2" w:rsidRPr="00AA7F7D">
        <w:t xml:space="preserve"> i TEUF om udnyttende misbrug, herunder overdrevne eller urimelige priser, med henblik på at forbedre retssikkerheden og gøre håndhævelsen mere effektiv på stærkt koncentrerede forbrugermarkeder;</w:t>
      </w:r>
    </w:p>
    <w:p w14:paraId="42B588ED" w14:textId="77777777" w:rsidR="006729C2" w:rsidRPr="00AA7F7D" w:rsidRDefault="006729C2" w:rsidP="006729C2">
      <w:pPr>
        <w:pStyle w:val="Normal12a"/>
      </w:pPr>
      <w:r w:rsidRPr="00AA7F7D">
        <w:rPr>
          <w:b/>
          <w:i/>
        </w:rPr>
        <w:t>Fusionskontrol</w:t>
      </w:r>
    </w:p>
    <w:p w14:paraId="4952D406" w14:textId="4F1E6296" w:rsidR="006729C2" w:rsidRPr="00AA7F7D" w:rsidRDefault="00CA30C3" w:rsidP="006729C2">
      <w:pPr>
        <w:pStyle w:val="NormalHanging12a"/>
      </w:pPr>
      <w:r w:rsidRPr="00AA7F7D">
        <w:t>42</w:t>
      </w:r>
      <w:r w:rsidR="006729C2" w:rsidRPr="00AA7F7D">
        <w:t>.</w:t>
      </w:r>
      <w:r w:rsidR="006729C2" w:rsidRPr="00AA7F7D">
        <w:tab/>
        <w:t xml:space="preserve">understreger, at Europa mangler store virksomheder, som er i stand til at konkurrere globalt, på mange vigtige strategiske områder; mener, at </w:t>
      </w:r>
      <w:proofErr w:type="spellStart"/>
      <w:r w:rsidR="006729C2" w:rsidRPr="00AA7F7D">
        <w:t>opskalering</w:t>
      </w:r>
      <w:proofErr w:type="spellEnd"/>
      <w:r w:rsidR="006729C2" w:rsidRPr="00AA7F7D">
        <w:t xml:space="preserve"> inden for det indre marked er en strategisk nødvendighed for EU for at mobilisere investeringer, fremme konkurrenceevnen, investere i innovation og sætte EU-virksomheder i stand til at konkurrere effektivt på de globale markeder som fremhævet i </w:t>
      </w:r>
      <w:proofErr w:type="spellStart"/>
      <w:r w:rsidR="006729C2" w:rsidRPr="00AA7F7D">
        <w:t>Lettarapporten</w:t>
      </w:r>
      <w:proofErr w:type="spellEnd"/>
      <w:r w:rsidR="006729C2" w:rsidRPr="00AA7F7D">
        <w:t xml:space="preserve">; understreger, at fuldførelsen af det indre marked og fjernelsen af interne hindringer fortsat er centrale prioriteter i denne henseende; bemærker, at strukturelle hindringer for </w:t>
      </w:r>
      <w:proofErr w:type="spellStart"/>
      <w:r w:rsidR="006729C2" w:rsidRPr="00AA7F7D">
        <w:t>opskalering</w:t>
      </w:r>
      <w:proofErr w:type="spellEnd"/>
      <w:r w:rsidR="006729C2" w:rsidRPr="00AA7F7D">
        <w:t xml:space="preserve"> inden for EU kan resultere i, at innovative EU-virksomheder bliver opkøbt af aktører uden for EU, hvilket kan have en negativ indvirkning på konkurrencen og innovationskapaciteten i EU på langt sigt; mener derfor, at fusionskontrol fuldt ud bør tage hensyn til EU-virksomheders evne til at investere i innovation;</w:t>
      </w:r>
    </w:p>
    <w:p w14:paraId="099CC18D" w14:textId="66DF4427" w:rsidR="006729C2" w:rsidRPr="00AA7F7D" w:rsidRDefault="00CA30C3" w:rsidP="006729C2">
      <w:pPr>
        <w:pStyle w:val="NormalHanging12a"/>
      </w:pPr>
      <w:r w:rsidRPr="00AA7F7D">
        <w:t>43</w:t>
      </w:r>
      <w:r w:rsidR="006729C2" w:rsidRPr="00AA7F7D">
        <w:t>.</w:t>
      </w:r>
      <w:r w:rsidR="006729C2" w:rsidRPr="00AA7F7D">
        <w:tab/>
        <w:t>mener, at konkurrencepolitikken ikke bør skabe unødvendige hindringer for virksomheder, der har behov for at opskalere for at kunne konkurrere globalt, mens det samtidig bemærker, at ikke alle EU-virksomheder har behov for at opskalere; understreger, at EU trives på den afgørende sammenkobling mellem store og små virksomheder; mener, at konkurrencedygtig skala hovedsagelig bør være resultatet af fair konkurrence, robust håndhævelse af kartelreglerne og uddybningen af det indre marked, som er grundlaget for EU's sociale markedsøkonomi og fortsat er den sande drivkraft for innovation;</w:t>
      </w:r>
    </w:p>
    <w:p w14:paraId="5DB9E9C1" w14:textId="2847040C" w:rsidR="006729C2" w:rsidRPr="00AA7F7D" w:rsidRDefault="00CA30C3" w:rsidP="006729C2">
      <w:pPr>
        <w:pStyle w:val="NormalHanging12a"/>
      </w:pPr>
      <w:r w:rsidRPr="00AA7F7D">
        <w:t>44</w:t>
      </w:r>
      <w:r w:rsidR="006729C2" w:rsidRPr="00AA7F7D">
        <w:t>.</w:t>
      </w:r>
      <w:r w:rsidR="006729C2" w:rsidRPr="00AA7F7D">
        <w:tab/>
        <w:t>opfordrer Kommissionen til at anvende fusionspolitikken dynamisk på grundlag af en økonomisk og juridisk vurdering, der fuldt ud analyserer begrebet forbrugervelfærd i vurderingen af konkurrencen, og til at tage hensyn til de bredere økonomiske virkninger af fusioner, tilpasse politikken til nye markedsforhold, herunder digitale økosystemer, kunstig intelligens, energi og forsvar, og analysere virkningerne af fusioner på langt sigt ved hjælp af en fremadskuende tilgang; opfordrer Kommissionen til fortsat at overvåge udviklingen i markedsstyrken i Europa, herunder fusioners indvirkning på bæredygtigheden, innovationen og den langsigtede modstandsdygtighed;</w:t>
      </w:r>
    </w:p>
    <w:p w14:paraId="40497F68" w14:textId="49A2B4E3" w:rsidR="006729C2" w:rsidRPr="00AA7F7D" w:rsidRDefault="00CA30C3" w:rsidP="006729C2">
      <w:pPr>
        <w:pStyle w:val="NormalHanging12a"/>
      </w:pPr>
      <w:r w:rsidRPr="00AA7F7D">
        <w:lastRenderedPageBreak/>
        <w:t>45</w:t>
      </w:r>
      <w:r w:rsidR="006729C2" w:rsidRPr="00AA7F7D">
        <w:t>.</w:t>
      </w:r>
      <w:r w:rsidR="006729C2" w:rsidRPr="00AA7F7D">
        <w:tab/>
        <w:t xml:space="preserve">opfordrer til en ambitiøs og evidensbaseret revision af EU's retningslinjer for fusioner, så de i højere grad er i overensstemmelse med de nye markedsforhold og EU's prioriteter med hensyn til at fremme et mere modstandsdygtigt og konkurrencedygtigt Europa, samtidig med at der fortsat sikres et højt niveau af forbrugervelfærd; insisterer på, at fusionskontrollen, samtidig med at den fortsat skal være baseret på konkurrenceanalyser og beskytte den effektive konkurrence på de nationale markeder og inden for det indre marked, bør vurdere paneuropæiske fusioner på en fremadskuende måde og sikre, at enhver konsolidering, der skaber "EU-frontløbere", øger forbrugervelfærden, den frie markedsadgang og den langsigtede modstandsdygtighed, navnlig i nøglesektorer såsom telekommunikation, bankvæsen, betalinger, forsvar og energi; opfordrer til, at de nye retningslinjer for fusionskontrol sikrer retssikkerhed for virksomheder ved at skabe paneuropæiske aktører, der fremmer konkurrencefremmende </w:t>
      </w:r>
      <w:proofErr w:type="spellStart"/>
      <w:r w:rsidR="006729C2" w:rsidRPr="00AA7F7D">
        <w:t>opskalering</w:t>
      </w:r>
      <w:proofErr w:type="spellEnd"/>
      <w:r w:rsidR="006729C2" w:rsidRPr="00AA7F7D">
        <w:t>, samtidig med at det sikres, at nationale interventionsbeføjelser, herunder vetoret, kun anvendes i behørigt begrundede og forholdsmæssige tilfælde;</w:t>
      </w:r>
    </w:p>
    <w:p w14:paraId="5EA9A101" w14:textId="6C4130FF" w:rsidR="006729C2" w:rsidRPr="00AA7F7D" w:rsidRDefault="00CA30C3" w:rsidP="006729C2">
      <w:pPr>
        <w:pStyle w:val="NormalHanging12a"/>
      </w:pPr>
      <w:r w:rsidRPr="00AA7F7D">
        <w:t>46</w:t>
      </w:r>
      <w:r w:rsidR="006729C2" w:rsidRPr="00AA7F7D">
        <w:t>.</w:t>
      </w:r>
      <w:r w:rsidR="006729C2" w:rsidRPr="00AA7F7D">
        <w:tab/>
        <w:t>opfordrer Kommissionen til at vedtage en fremadskuende og dynamisk tilgang til fusioner, hvor der tages hensyn til effektivitetsgevinster, herunder f.eks. stordriftsfordele og bæredygtighedsgevinster, så tidligt som muligt i proceduren, samtidig med at der sikres gennemsigtighed og forudsigelighed, og virksomhederne får mulighed for at danne alliancer, når de bidrager til innovation, klimaresiliens og sikkerhed, og som afspejler en tilgang til vurdering af markedsstyrke og sektorspecifikke forhold, der rækker ud over priser og markedsandele og også omfatter indvirkninger på lønninger og ansættelsesvilkår;</w:t>
      </w:r>
    </w:p>
    <w:p w14:paraId="2C92969B" w14:textId="6D7D0E73" w:rsidR="006729C2" w:rsidRPr="00AA7F7D" w:rsidRDefault="00CA30C3" w:rsidP="006729C2">
      <w:pPr>
        <w:pStyle w:val="NormalHanging12a"/>
      </w:pPr>
      <w:r w:rsidRPr="00AA7F7D">
        <w:t>47</w:t>
      </w:r>
      <w:r w:rsidR="006729C2" w:rsidRPr="00AA7F7D">
        <w:t>.</w:t>
      </w:r>
      <w:r w:rsidR="006729C2" w:rsidRPr="00AA7F7D">
        <w:tab/>
        <w:t xml:space="preserve">minder om, at konkurrence sikrer valgmuligheder for forbrugerne, markedsdiversitet og overkommelige priser; bemærker beslutningen af </w:t>
      </w:r>
      <w:r w:rsidRPr="00AA7F7D">
        <w:t>23</w:t>
      </w:r>
      <w:r w:rsidR="006729C2" w:rsidRPr="00AA7F7D">
        <w:t xml:space="preserve">. april </w:t>
      </w:r>
      <w:r w:rsidRPr="00AA7F7D">
        <w:t>2026</w:t>
      </w:r>
      <w:r w:rsidR="006729C2" w:rsidRPr="00AA7F7D">
        <w:t xml:space="preserve"> fra Warner Bros. Discoverys aktionærer om at godkende fusionsaftalen med Paramount Skydance; opfordrer Kommissionen til at anvende streng fusionskontrol i den audiovisuelle sektor og mediesektoren, overvåge virkningen af markedskonsolideringen på det indre marked og gøre det muligt for EU-aktører at opskalere;</w:t>
      </w:r>
    </w:p>
    <w:p w14:paraId="0EA879B9" w14:textId="4FE6EAD5" w:rsidR="006729C2" w:rsidRPr="00AA7F7D" w:rsidRDefault="00CA30C3" w:rsidP="006729C2">
      <w:pPr>
        <w:pStyle w:val="NormalHanging12a"/>
      </w:pPr>
      <w:r w:rsidRPr="00AA7F7D">
        <w:t>48</w:t>
      </w:r>
      <w:r w:rsidR="006729C2" w:rsidRPr="00AA7F7D">
        <w:t>.</w:t>
      </w:r>
      <w:r w:rsidR="006729C2" w:rsidRPr="00AA7F7D">
        <w:tab/>
        <w:t xml:space="preserve">bemærker, at onlineplatforme, som er omfattet af anvendelsesområdet for forordningen om digitale markeder, har opkøbt næsten </w:t>
      </w:r>
      <w:r w:rsidRPr="00AA7F7D">
        <w:t>700</w:t>
      </w:r>
      <w:r w:rsidR="006729C2" w:rsidRPr="00AA7F7D">
        <w:t xml:space="preserve"> mindre virksomheder siden </w:t>
      </w:r>
      <w:r w:rsidRPr="00AA7F7D">
        <w:t>2000</w:t>
      </w:r>
      <w:r w:rsidR="006729C2" w:rsidRPr="00AA7F7D">
        <w:t xml:space="preserve">, mens Kommissionen kun blev underrettet om </w:t>
      </w:r>
      <w:r w:rsidRPr="00AA7F7D">
        <w:t>19</w:t>
      </w:r>
      <w:r w:rsidR="006729C2" w:rsidRPr="00AA7F7D">
        <w:t xml:space="preserve"> af disse transaktioner, da de fleste lå under de omsætningsbaserede anmeldelsestærskler; opfordrer Kommissionen til at opdage "dræberopkøb" (dvs. når en virksomhed erhverver kontrol over en innovativ virksomhed for at eliminere dem som en mulig kilde til fremtidig konkurrence) og til at tilpasse lovgivningen med henblik på at forhindre sådanne erhvervelser, navnlig inden for kunstig intelligens, lægemidler og andre strategiske sektorer; fastholder, at der bør tilføjes et retsgrundlag for det indre marked til fusionsforordningen, hvis denne evalueres, således at fælleslovgiverne inddrages fuldt ud på samme måde som i forordningen om digitale markeder; opfordrer indtrængende medlemsstaterne til at give de nationale konkurrencemyndigheder "indkaldelsesbeføjelser", så de kan efterprøve fusioner og overtagelser, hvis dette ikke allerede er tilfældet, samtidig med at retssikkerheden garanteres, og det undgås at pålægge SMV'er og nystartede virksomheder en unødvendig byrde;</w:t>
      </w:r>
    </w:p>
    <w:p w14:paraId="705277A2" w14:textId="5A6F36EC" w:rsidR="006729C2" w:rsidRPr="00AA7F7D" w:rsidRDefault="00CA30C3" w:rsidP="006729C2">
      <w:pPr>
        <w:pStyle w:val="NormalHanging12a"/>
      </w:pPr>
      <w:r w:rsidRPr="00AA7F7D">
        <w:t>49</w:t>
      </w:r>
      <w:r w:rsidR="006729C2" w:rsidRPr="00AA7F7D">
        <w:t>.</w:t>
      </w:r>
      <w:r w:rsidR="006729C2" w:rsidRPr="00AA7F7D">
        <w:tab/>
        <w:t xml:space="preserve">anerkender den stigende tendens til udenlandske investeringer og ejerskab af flere klubber inden for europæisk sport samt  stigningen i dynamiske billetpriser og opfordrer Kommissionen til at tage højde for konsekvenserne af denne udvikling, når den støtter </w:t>
      </w:r>
      <w:r w:rsidR="006729C2" w:rsidRPr="00AA7F7D">
        <w:lastRenderedPageBreak/>
        <w:t>bestræbelserne på at sikre den finansielle integritet og konkurrencemæssige balance i europæisk sport; opfordrer Kommissionen og medlemsstaterne til at overveje alle lovgivningsmæssige muligheder, herunder forbuddet mod dynamisk prisfastsættelse ved live sports- og kulturbegivenheder i retsakten om digital retfærdighed, med henblik på at beskytte forbrugerne og opretholde den sociale og offentlige værdi af sport og kultur;</w:t>
      </w:r>
    </w:p>
    <w:p w14:paraId="26C4825B" w14:textId="77777777" w:rsidR="006729C2" w:rsidRPr="00AA7F7D" w:rsidRDefault="006729C2" w:rsidP="006729C2">
      <w:pPr>
        <w:pStyle w:val="Normal12a"/>
      </w:pPr>
      <w:r w:rsidRPr="00AA7F7D">
        <w:rPr>
          <w:b/>
          <w:i/>
        </w:rPr>
        <w:t>Statsstøtte</w:t>
      </w:r>
    </w:p>
    <w:p w14:paraId="5BC9A450" w14:textId="5958DA61" w:rsidR="006729C2" w:rsidRPr="00AA7F7D" w:rsidRDefault="00CA30C3" w:rsidP="006729C2">
      <w:pPr>
        <w:pStyle w:val="NormalHanging12a"/>
      </w:pPr>
      <w:r w:rsidRPr="00AA7F7D">
        <w:t>50</w:t>
      </w:r>
      <w:r w:rsidR="006729C2" w:rsidRPr="00AA7F7D">
        <w:t>.</w:t>
      </w:r>
      <w:r w:rsidR="006729C2" w:rsidRPr="00AA7F7D">
        <w:tab/>
        <w:t>understreger, at der er behov for en grundig analyse af statsstøttereglerne, specielt hvad angår virksomheder, der opererer inden for strategiske sektorer såsom energi, teknologi og innovation; understreger vigtigheden af at sikre effektiviteten af statsstøtten inden for landbrug, logistik og transport; bemærker medlemsstaternes forskellige finanspolitiske kapacitet, advarer om, at fragmenteret statsstøtte skaber ulige vilkår, og opfordrer Kommissionen til at overvåge disse virkninger; mener, at enhver statsstøtte, der ydes, bør være i overensstemmelse med EU-retten og EU's principper, herunder EU's miljø- og socialpolitiske mål;</w:t>
      </w:r>
    </w:p>
    <w:p w14:paraId="61B1874C" w14:textId="447DB408" w:rsidR="006729C2" w:rsidRPr="00AA7F7D" w:rsidRDefault="00CA30C3" w:rsidP="006729C2">
      <w:pPr>
        <w:pStyle w:val="NormalHanging12a"/>
      </w:pPr>
      <w:r w:rsidRPr="00AA7F7D">
        <w:t>51</w:t>
      </w:r>
      <w:r w:rsidR="006729C2" w:rsidRPr="00AA7F7D">
        <w:t>.</w:t>
      </w:r>
      <w:r w:rsidR="006729C2" w:rsidRPr="00AA7F7D">
        <w:tab/>
        <w:t>glæder sig over rammebestemmelserne for statsstøtte i forbindelse med aftalen om ren industri; opfordrer til, at rammebestemmelserne for statsstøtte i forbindelse med aftalen om ren industri gennemføres på en målrettet og forholdsmæssig måde, sikrer en minimal byrde for medlemsstaterne, forhindrer støttekapløb og bevarer det indre markeds integritet og samtidig indeholder stærke garantier for gennemsigtighed, proportionalitet og miljøeffektivitet;</w:t>
      </w:r>
    </w:p>
    <w:p w14:paraId="72A06093" w14:textId="03F9981D" w:rsidR="006729C2" w:rsidRPr="00AA7F7D" w:rsidRDefault="00CA30C3" w:rsidP="006729C2">
      <w:pPr>
        <w:pStyle w:val="NormalHanging12a"/>
      </w:pPr>
      <w:r w:rsidRPr="00AA7F7D">
        <w:t>52</w:t>
      </w:r>
      <w:r w:rsidR="006729C2" w:rsidRPr="00AA7F7D">
        <w:t>.</w:t>
      </w:r>
      <w:r w:rsidR="006729C2" w:rsidRPr="00AA7F7D">
        <w:tab/>
        <w:t>minder om, at midlertidig, målrettet statsstøtte kan være hensigtsmæssig i krisetider; gentager betydningen af rammebestemmelserne for statsstøtte i forbindelse med aftalen om ren industri med hensyn til at støtte sårbare sektorer i en situation med hastigt stigende brændstofpriser som følge af den nuværende geopolitiske situation; noterer sig ikke desto mindre Den Europæiske Revisionsrets konklusioner (særberetning nr. </w:t>
      </w:r>
      <w:r w:rsidRPr="00AA7F7D">
        <w:t>21</w:t>
      </w:r>
      <w:r w:rsidR="006729C2" w:rsidRPr="00AA7F7D">
        <w:t>/</w:t>
      </w:r>
      <w:r w:rsidRPr="00AA7F7D">
        <w:t>2024</w:t>
      </w:r>
      <w:r w:rsidR="006729C2" w:rsidRPr="00AA7F7D">
        <w:t>), der kortlægger mangler i Kommissionens overvågning af statsstøtte i krisetider, og opfordrer til strengere overvågning af anmeldelsen af statsstøtte fra Kommissionens side og øget statsstøtteindberetning og -gennemsigtighed i overensstemmelse med Den Europæiske Revisionsrets anbefalinger;</w:t>
      </w:r>
    </w:p>
    <w:p w14:paraId="0DA5CBCF" w14:textId="429C8ABB" w:rsidR="006729C2" w:rsidRPr="00AA7F7D" w:rsidRDefault="00CA30C3" w:rsidP="006729C2">
      <w:pPr>
        <w:pStyle w:val="NormalHanging12a"/>
      </w:pPr>
      <w:r w:rsidRPr="00AA7F7D">
        <w:t>53</w:t>
      </w:r>
      <w:r w:rsidR="006729C2" w:rsidRPr="00AA7F7D">
        <w:t>.</w:t>
      </w:r>
      <w:r w:rsidR="006729C2" w:rsidRPr="00AA7F7D">
        <w:tab/>
        <w:t>bemærker, at mere end tre fjerdedele af statsstøtten er koncentreret i kun to medlemsstater, hvilket understreger risikoen for fragmentering og uensartede konkurrencevilkår på det indre marked;</w:t>
      </w:r>
    </w:p>
    <w:p w14:paraId="2C8886F6" w14:textId="53BEB0BD" w:rsidR="006729C2" w:rsidRPr="00AA7F7D" w:rsidRDefault="00CA30C3" w:rsidP="006729C2">
      <w:pPr>
        <w:pStyle w:val="NormalHanging12a"/>
      </w:pPr>
      <w:r w:rsidRPr="00AA7F7D">
        <w:t>54</w:t>
      </w:r>
      <w:r w:rsidR="006729C2" w:rsidRPr="00AA7F7D">
        <w:t>.</w:t>
      </w:r>
      <w:r w:rsidR="006729C2" w:rsidRPr="00AA7F7D">
        <w:tab/>
        <w:t>fremhæver statsstøttens rolle som et redskab til at mindske de økonomiske forskelle mellem EU's mest udviklede regioner og øer, indlandsområder, regioner i den yderste periferi, økonomisk ugunstigt stillede områder og alle dele af EU, der er berørt af naturbetingede begrænsninger; opfordrer til en større fleksibilitet og færre begrænsninger med hensyn til statsstøtte til EU's øer og mere sårbare regioner;</w:t>
      </w:r>
    </w:p>
    <w:p w14:paraId="0CAE5F24" w14:textId="471D2013" w:rsidR="006729C2" w:rsidRPr="00AA7F7D" w:rsidRDefault="00CA30C3" w:rsidP="006729C2">
      <w:pPr>
        <w:pStyle w:val="NormalHanging12a"/>
      </w:pPr>
      <w:r w:rsidRPr="00AA7F7D">
        <w:t>55</w:t>
      </w:r>
      <w:r w:rsidR="006729C2" w:rsidRPr="00AA7F7D">
        <w:t>.</w:t>
      </w:r>
      <w:r w:rsidR="006729C2" w:rsidRPr="00AA7F7D">
        <w:tab/>
        <w:t>forventer, at evalueringen af den generelle gruppefritagelsesforordning</w:t>
      </w:r>
      <w:r w:rsidR="00B57FAA" w:rsidRPr="00AA7F7D">
        <w:rPr>
          <w:rStyle w:val="FootnoteReference"/>
        </w:rPr>
        <w:footnoteReference w:id="26"/>
      </w:r>
      <w:r w:rsidR="006729C2" w:rsidRPr="00AA7F7D">
        <w:t xml:space="preserve"> vil løse de nuværende problemer vedrørende definitionen af "kriseramt virksomhed" og modernisere og forenkle statsstøttereglerne med henblik på at mindske bureaukratiet og </w:t>
      </w:r>
      <w:r w:rsidR="006729C2" w:rsidRPr="00AA7F7D">
        <w:lastRenderedPageBreak/>
        <w:t>styrke EU's konkurrenceevne; glæder sig over åbningen af den offentlige høring for at indsamle input til omfanget og indholdet af evalueringen;</w:t>
      </w:r>
    </w:p>
    <w:p w14:paraId="18849E67" w14:textId="7C8B6EFF" w:rsidR="006729C2" w:rsidRPr="00AA7F7D" w:rsidRDefault="00CA30C3" w:rsidP="006729C2">
      <w:pPr>
        <w:pStyle w:val="NormalHanging12a"/>
      </w:pPr>
      <w:r w:rsidRPr="00AA7F7D">
        <w:t>56</w:t>
      </w:r>
      <w:r w:rsidR="006729C2" w:rsidRPr="00AA7F7D">
        <w:t>.</w:t>
      </w:r>
      <w:r w:rsidR="006729C2" w:rsidRPr="00AA7F7D">
        <w:tab/>
        <w:t>glæder sig over vedtagelsen af en revideret afgørelse om tjenesteydelser af almen økonomisk interesse for at sætte medlemsstaterne i stand til at støtte tilvejebringelsen af anstændige, bæredygtige, energieffektive, socialt inklusive og økonomisk overkommelige boligprojekter, også for husholdninger med mellemindkomst; opfordrer Kommissionen til at overvåge gennemførelsen af den reviderede afgørelse om tjenesteydelser af almen økonomisk interesse og vurdere, om tærsklerne og betingelserne er tilstrækkeligt fleksible til at opfylde medlemsstaternes behov; opfordrer til forenklede anmeldelsesprocedurer for statsstøtteforanstaltninger, der er relateret til tjenesteydelser af almen økonomisk interesse og ikke udgør en væsentlig konkurrencerisiko;</w:t>
      </w:r>
    </w:p>
    <w:p w14:paraId="32BDA358" w14:textId="3DAA3134" w:rsidR="006729C2" w:rsidRPr="00AA7F7D" w:rsidRDefault="00CA30C3" w:rsidP="006729C2">
      <w:pPr>
        <w:pStyle w:val="NormalHanging12a"/>
      </w:pPr>
      <w:r w:rsidRPr="00AA7F7D">
        <w:t>57</w:t>
      </w:r>
      <w:r w:rsidR="006729C2" w:rsidRPr="00AA7F7D">
        <w:t>.</w:t>
      </w:r>
      <w:r w:rsidR="006729C2" w:rsidRPr="00AA7F7D">
        <w:tab/>
        <w:t>opfordrer Kommissionen til at vurdere virkningen af markedskoncentrationer i ejendomssektoren og relaterede markeder såsom byggeri og ejendomsadministration for at sikre, at effektiv konkurrence hjælper med at holde priserne nede og forbedre adgangen til boliger;</w:t>
      </w:r>
    </w:p>
    <w:p w14:paraId="30303D36" w14:textId="70F09446" w:rsidR="006729C2" w:rsidRPr="00AA7F7D" w:rsidRDefault="00CA30C3" w:rsidP="006729C2">
      <w:pPr>
        <w:pStyle w:val="NormalHanging12a"/>
      </w:pPr>
      <w:r w:rsidRPr="00AA7F7D">
        <w:t>58</w:t>
      </w:r>
      <w:r w:rsidR="006729C2" w:rsidRPr="00AA7F7D">
        <w:t>.</w:t>
      </w:r>
      <w:r w:rsidR="006729C2" w:rsidRPr="00AA7F7D">
        <w:tab/>
        <w:t xml:space="preserve">bemærker den forvridende effekt, som aggressiv skatteplanlægning og skattesystemer, herunder skattebegunstigelsesaftaler, har på fair konkurrence, da de kan hæmme innovation og bringe den frie markedsadgang, navnlig for SMV'er, i fare; glæder sig over Kommissionens henstilling af </w:t>
      </w:r>
      <w:r w:rsidRPr="00AA7F7D">
        <w:t>14</w:t>
      </w:r>
      <w:r w:rsidR="006729C2" w:rsidRPr="00AA7F7D">
        <w:t xml:space="preserve">. juli </w:t>
      </w:r>
      <w:r w:rsidRPr="00AA7F7D">
        <w:t>2020</w:t>
      </w:r>
      <w:r w:rsidR="00B57FAA" w:rsidRPr="00AA7F7D">
        <w:rPr>
          <w:rStyle w:val="FootnoteReference"/>
        </w:rPr>
        <w:footnoteReference w:id="27"/>
      </w:r>
      <w:r w:rsidR="006729C2" w:rsidRPr="00AA7F7D">
        <w:t xml:space="preserve"> om ikke at yde finansiel støtte til virksomheder med tilknytning til skattely og at beskytte ærlige skatteydere; opfordrer til, at virksomheder, der er etableret i lande, som er opført på EU's liste over ikkesamarbejdsvillige skattejurisdiktioner, som vedtaget af Rådet, udelukkes fra at modtage statsstøtte, og opfordrer Kommissionen til at vurdere, om den nuværende ramme bidrager til en bredere indsats for at bekæmpe aggressiv skatteplanlægning og skattely;</w:t>
      </w:r>
    </w:p>
    <w:p w14:paraId="45A91D14" w14:textId="77777777" w:rsidR="006729C2" w:rsidRPr="00AA7F7D" w:rsidRDefault="006729C2" w:rsidP="006729C2">
      <w:pPr>
        <w:pStyle w:val="Normal12a"/>
      </w:pPr>
      <w:r w:rsidRPr="00AA7F7D">
        <w:rPr>
          <w:b/>
          <w:i/>
        </w:rPr>
        <w:t xml:space="preserve">Inddragelse af Parlamentet </w:t>
      </w:r>
    </w:p>
    <w:p w14:paraId="03CD67A7" w14:textId="5A374389" w:rsidR="006729C2" w:rsidRPr="00AA7F7D" w:rsidRDefault="00CA30C3" w:rsidP="006729C2">
      <w:pPr>
        <w:pStyle w:val="NormalHanging12a"/>
      </w:pPr>
      <w:r w:rsidRPr="00AA7F7D">
        <w:t>59</w:t>
      </w:r>
      <w:r w:rsidR="006729C2" w:rsidRPr="00AA7F7D">
        <w:t>.</w:t>
      </w:r>
      <w:r w:rsidR="006729C2" w:rsidRPr="00AA7F7D">
        <w:tab/>
        <w:t xml:space="preserve">beklager, at det ikke modtager tilstrækkelig information om revisionen og gennemførelsen af konkurrencereglerne, og understreger, at Parlamentet bør inddrages tilstrækkeligt i udformningen af konkurrencepolitikken; understreger </w:t>
      </w:r>
      <w:proofErr w:type="gramStart"/>
      <w:r w:rsidR="006729C2" w:rsidRPr="00AA7F7D">
        <w:t>endvidere</w:t>
      </w:r>
      <w:proofErr w:type="gramEnd"/>
      <w:r w:rsidR="006729C2" w:rsidRPr="00AA7F7D">
        <w:t xml:space="preserve"> behovet for at være åben over for Parlamentet om alle drøftelser med lande uden for EU, der kan påvirke håndhævelsen af forordningen om digitale markeder;</w:t>
      </w:r>
    </w:p>
    <w:p w14:paraId="7A0E2DE8" w14:textId="3683BA4A" w:rsidR="006729C2" w:rsidRPr="00AA7F7D" w:rsidRDefault="00CA30C3" w:rsidP="006729C2">
      <w:pPr>
        <w:pStyle w:val="NormalHanging12a"/>
      </w:pPr>
      <w:r w:rsidRPr="00AA7F7D">
        <w:t>60</w:t>
      </w:r>
      <w:r w:rsidR="006729C2" w:rsidRPr="00AA7F7D">
        <w:t>.</w:t>
      </w:r>
      <w:r w:rsidR="006729C2" w:rsidRPr="00AA7F7D">
        <w:tab/>
        <w:t xml:space="preserve">opfordrer i den forbindelse til en struktureret og regelmæssig dialog mellem Kommissionen og Parlamentet om konkurrencepolitik, herunder om revision og gennemførelsen af konkurrencereglerne; opfordrer Kommissionen til at give Parlamentets kompetente udvalg rettidig og omfattende information om væsentlige håndhævelsesbeslutninger, lovgivningsforslag og væsentlige større bløde lovgivningsinstrumenter; opfordrer til, at der indgås en </w:t>
      </w:r>
      <w:proofErr w:type="spellStart"/>
      <w:r w:rsidR="006729C2" w:rsidRPr="00AA7F7D">
        <w:t>interinstitutionel</w:t>
      </w:r>
      <w:proofErr w:type="spellEnd"/>
      <w:r w:rsidR="006729C2" w:rsidRPr="00AA7F7D">
        <w:t xml:space="preserve"> aftale for at </w:t>
      </w:r>
      <w:r w:rsidR="006729C2" w:rsidRPr="00AA7F7D">
        <w:lastRenderedPageBreak/>
        <w:t>formalisere Parlamentets rolle i tilsynet med konkurrencereglerne, herunder høring om prioritering af retningslinjer og rammer;</w:t>
      </w:r>
    </w:p>
    <w:p w14:paraId="0D041EFC" w14:textId="36094E56" w:rsidR="006729C2" w:rsidRPr="00AA7F7D" w:rsidRDefault="00CA30C3" w:rsidP="006729C2">
      <w:pPr>
        <w:pStyle w:val="NormalHanging12a"/>
      </w:pPr>
      <w:r w:rsidRPr="00AA7F7D">
        <w:t>61</w:t>
      </w:r>
      <w:r w:rsidR="006729C2" w:rsidRPr="00AA7F7D">
        <w:t>.</w:t>
      </w:r>
      <w:r w:rsidR="006729C2" w:rsidRPr="00AA7F7D">
        <w:tab/>
        <w:t xml:space="preserve">advarer om overdreven afhængighed af bløde lovgivningsinstrumenter som f.eks. vejledende og midlertidige rammebestemmelser, hvor Parlamentet kun er involveret i begrænset omfang; opfordrer Det Europæiske Råd til at vedtage en afgørelse i henhold til artikel </w:t>
      </w:r>
      <w:r w:rsidRPr="00AA7F7D">
        <w:t>48</w:t>
      </w:r>
      <w:r w:rsidR="006729C2" w:rsidRPr="00AA7F7D">
        <w:t xml:space="preserve">, stk. </w:t>
      </w:r>
      <w:r w:rsidRPr="00AA7F7D">
        <w:t>7</w:t>
      </w:r>
      <w:r w:rsidR="006729C2" w:rsidRPr="00AA7F7D">
        <w:t>, andet afsnit, i traktaten om Den Europæiske Union vedrørende vedtagelse af lovgivningsmæssige retsakter på det konkurrencepolitiske område i overensstemmelse med den almindelige lovgivningsprocedure;</w:t>
      </w:r>
    </w:p>
    <w:p w14:paraId="72256D34" w14:textId="03E3E436" w:rsidR="006729C2" w:rsidRPr="00AA7F7D" w:rsidRDefault="00CA30C3" w:rsidP="006729C2">
      <w:pPr>
        <w:pStyle w:val="NormalHanging12a"/>
      </w:pPr>
      <w:r w:rsidRPr="00AA7F7D">
        <w:t>62</w:t>
      </w:r>
      <w:r w:rsidR="006729C2" w:rsidRPr="00AA7F7D">
        <w:t>.</w:t>
      </w:r>
      <w:r w:rsidR="006729C2" w:rsidRPr="00AA7F7D">
        <w:tab/>
        <w:t>fremmer udveksling af bedste praksis i internationale fora såsom Det Internationale Konkurrencenetværk og Organisationen for Økonomisk Samarbejde og Udviklings Konkurrencekomité; opfordrer Kommissionen til at stræbe efter fortsat dialog og samarbejde på internationalt plan, herunder via andengenerationssamarbejdsaftaler, der giver mulighed for en mere effektiv udveksling af oplysninger mellem konkurrencemyndighederne, men beklager, at dette ikke i tilstrækkelig grad er blevet forfulgt tidligere; opfordrer Kommissionen til at udvikle en strategi for, hvordan EU kan indtage en ledende rolle på internationalt plan med hensyn til at fremme effektiv konkurrence;</w:t>
      </w:r>
    </w:p>
    <w:p w14:paraId="20DB64EB" w14:textId="77777777" w:rsidR="006729C2" w:rsidRPr="00AA7F7D" w:rsidRDefault="006729C2" w:rsidP="006729C2">
      <w:pPr>
        <w:pStyle w:val="NormalCenter12a"/>
      </w:pPr>
      <w:r w:rsidRPr="00AA7F7D">
        <w:t>°</w:t>
      </w:r>
    </w:p>
    <w:p w14:paraId="1BBB5D1F" w14:textId="77777777" w:rsidR="006729C2" w:rsidRPr="00AA7F7D" w:rsidRDefault="006729C2" w:rsidP="006729C2">
      <w:pPr>
        <w:pStyle w:val="NormalCenter12a"/>
      </w:pPr>
      <w:r w:rsidRPr="00AA7F7D">
        <w:t>°</w:t>
      </w:r>
      <w:r w:rsidRPr="00AA7F7D">
        <w:tab/>
        <w:t>°</w:t>
      </w:r>
    </w:p>
    <w:p w14:paraId="7DF02841" w14:textId="382BE9D5" w:rsidR="009616F8" w:rsidRPr="00AA7F7D" w:rsidRDefault="00CA30C3" w:rsidP="009616F8">
      <w:pPr>
        <w:pStyle w:val="NormalHanging12a"/>
      </w:pPr>
      <w:r w:rsidRPr="00AA7F7D">
        <w:t>63</w:t>
      </w:r>
      <w:r w:rsidR="006729C2" w:rsidRPr="00AA7F7D">
        <w:t>.</w:t>
      </w:r>
      <w:r w:rsidR="006729C2" w:rsidRPr="00AA7F7D">
        <w:tab/>
        <w:t>pålægger sin formand at sende denne beslutning til Rådet og Kommissionen.</w:t>
      </w:r>
    </w:p>
    <w:p w14:paraId="387DA8A9" w14:textId="6DD18134" w:rsidR="00E365E1" w:rsidRPr="00AA7F7D" w:rsidRDefault="00E365E1" w:rsidP="00EC36D2"/>
    <w:sectPr w:rsidR="00E365E1" w:rsidRPr="00AA7F7D" w:rsidSect="009616F8">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4C877" w14:textId="77777777" w:rsidR="00EC36D2" w:rsidRPr="009616F8" w:rsidRDefault="00EC36D2">
      <w:r w:rsidRPr="009616F8">
        <w:separator/>
      </w:r>
    </w:p>
  </w:endnote>
  <w:endnote w:type="continuationSeparator" w:id="0">
    <w:p w14:paraId="0852B058" w14:textId="77777777" w:rsidR="00EC36D2" w:rsidRPr="009616F8" w:rsidRDefault="00EC36D2">
      <w:r w:rsidRPr="009616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A6DEA" w14:textId="77777777" w:rsidR="00064002" w:rsidRPr="009616F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9B356" w14:textId="77777777" w:rsidR="00064002" w:rsidRPr="009616F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D3F6C" w14:textId="77777777" w:rsidR="00064002" w:rsidRPr="009616F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85327" w14:textId="77777777" w:rsidR="00EC36D2" w:rsidRPr="009616F8" w:rsidRDefault="00EC36D2">
      <w:r w:rsidRPr="009616F8">
        <w:separator/>
      </w:r>
    </w:p>
  </w:footnote>
  <w:footnote w:type="continuationSeparator" w:id="0">
    <w:p w14:paraId="54809112" w14:textId="77777777" w:rsidR="00EC36D2" w:rsidRPr="009616F8" w:rsidRDefault="00EC36D2">
      <w:r w:rsidRPr="009616F8">
        <w:continuationSeparator/>
      </w:r>
    </w:p>
  </w:footnote>
  <w:footnote w:id="1">
    <w:p w14:paraId="156A56A5" w14:textId="571148F0" w:rsidR="00B57FAA" w:rsidRPr="009616F8" w:rsidRDefault="00B57FAA" w:rsidP="009616F8">
      <w:pPr>
        <w:pStyle w:val="FootnoteText"/>
        <w:ind w:left="567" w:hanging="567"/>
        <w:rPr>
          <w:sz w:val="24"/>
          <w:lang w:val="da-DK"/>
        </w:rPr>
      </w:pPr>
      <w:r>
        <w:rPr>
          <w:rStyle w:val="FootnoteReference"/>
        </w:rPr>
        <w:footnoteRef/>
      </w:r>
      <w:r w:rsidRPr="009616F8">
        <w:rPr>
          <w:sz w:val="24"/>
          <w:lang w:val="da-DK"/>
        </w:rPr>
        <w:t xml:space="preserve"> </w:t>
      </w:r>
      <w:r w:rsidRPr="009616F8">
        <w:rPr>
          <w:sz w:val="24"/>
          <w:lang w:val="da-DK"/>
        </w:rPr>
        <w:tab/>
        <w:t xml:space="preserve">EUT L </w:t>
      </w:r>
      <w:r w:rsidR="00CA30C3" w:rsidRPr="00CA30C3">
        <w:rPr>
          <w:sz w:val="24"/>
          <w:lang w:val="da-DK"/>
        </w:rPr>
        <w:t>265</w:t>
      </w:r>
      <w:r w:rsidRPr="009616F8">
        <w:rPr>
          <w:sz w:val="24"/>
          <w:lang w:val="da-DK"/>
        </w:rPr>
        <w:t xml:space="preserve"> af </w:t>
      </w:r>
      <w:r w:rsidR="00CA30C3" w:rsidRPr="00CA30C3">
        <w:rPr>
          <w:sz w:val="24"/>
          <w:lang w:val="da-DK"/>
        </w:rPr>
        <w:t>12</w:t>
      </w:r>
      <w:r w:rsidRPr="009616F8">
        <w:rPr>
          <w:sz w:val="24"/>
          <w:lang w:val="da-DK"/>
        </w:rPr>
        <w:t>.</w:t>
      </w:r>
      <w:r w:rsidR="00CA30C3" w:rsidRPr="00CA30C3">
        <w:rPr>
          <w:sz w:val="24"/>
          <w:lang w:val="da-DK"/>
        </w:rPr>
        <w:t>10</w:t>
      </w:r>
      <w:r w:rsidRPr="009616F8">
        <w:rPr>
          <w:sz w:val="24"/>
          <w:lang w:val="da-DK"/>
        </w:rPr>
        <w:t>.</w:t>
      </w:r>
      <w:r w:rsidR="00CA30C3" w:rsidRPr="00CA30C3">
        <w:rPr>
          <w:sz w:val="24"/>
          <w:lang w:val="da-DK"/>
        </w:rPr>
        <w:t>2022</w:t>
      </w:r>
      <w:r w:rsidRPr="009616F8">
        <w:rPr>
          <w:sz w:val="24"/>
          <w:lang w:val="da-DK"/>
        </w:rPr>
        <w:t>, s. </w:t>
      </w:r>
      <w:r w:rsidR="00CA30C3" w:rsidRPr="00CA30C3">
        <w:rPr>
          <w:sz w:val="24"/>
          <w:lang w:val="da-DK"/>
        </w:rPr>
        <w:t>1</w:t>
      </w:r>
      <w:r w:rsidRPr="009616F8">
        <w:rPr>
          <w:sz w:val="24"/>
          <w:lang w:val="da-DK"/>
        </w:rPr>
        <w:t xml:space="preserve">, ELI: </w:t>
      </w:r>
      <w:hyperlink r:id="rId1" w:tgtFrame="http://data.europa.eu/eli/reg/2022/1925/oj" w:history="1">
        <w:r w:rsidRPr="009616F8">
          <w:rPr>
            <w:rStyle w:val="Hyperlink"/>
            <w:sz w:val="24"/>
            <w:lang w:val="da-DK"/>
          </w:rPr>
          <w:t>http://data.europa.eu/eli/reg/</w:t>
        </w:r>
        <w:r w:rsidR="00CA30C3" w:rsidRPr="00CA30C3">
          <w:rPr>
            <w:rStyle w:val="Hyperlink"/>
            <w:sz w:val="24"/>
            <w:lang w:val="da-DK"/>
          </w:rPr>
          <w:t>2022</w:t>
        </w:r>
        <w:r w:rsidRPr="009616F8">
          <w:rPr>
            <w:rStyle w:val="Hyperlink"/>
            <w:sz w:val="24"/>
            <w:lang w:val="da-DK"/>
          </w:rPr>
          <w:t>/</w:t>
        </w:r>
        <w:r w:rsidR="00CA30C3" w:rsidRPr="00CA30C3">
          <w:rPr>
            <w:rStyle w:val="Hyperlink"/>
            <w:sz w:val="24"/>
            <w:lang w:val="da-DK"/>
          </w:rPr>
          <w:t>1925</w:t>
        </w:r>
        <w:r w:rsidRPr="009616F8">
          <w:rPr>
            <w:rStyle w:val="Hyperlink"/>
            <w:sz w:val="24"/>
            <w:lang w:val="da-DK"/>
          </w:rPr>
          <w:t>/oj</w:t>
        </w:r>
      </w:hyperlink>
      <w:r w:rsidRPr="009616F8">
        <w:rPr>
          <w:sz w:val="24"/>
          <w:lang w:val="da-DK"/>
        </w:rPr>
        <w:t>.</w:t>
      </w:r>
    </w:p>
  </w:footnote>
  <w:footnote w:id="2">
    <w:p w14:paraId="753DA069" w14:textId="6B82A3CC" w:rsidR="00B57FAA" w:rsidRPr="009616F8" w:rsidRDefault="00B57FAA" w:rsidP="009616F8">
      <w:pPr>
        <w:pStyle w:val="FootnoteText"/>
        <w:ind w:left="567" w:hanging="567"/>
        <w:rPr>
          <w:sz w:val="24"/>
          <w:lang w:val="da-DK"/>
        </w:rPr>
      </w:pPr>
      <w:r>
        <w:rPr>
          <w:rStyle w:val="FootnoteReference"/>
        </w:rPr>
        <w:footnoteRef/>
      </w:r>
      <w:r w:rsidRPr="009616F8">
        <w:rPr>
          <w:sz w:val="24"/>
          <w:lang w:val="da-DK"/>
        </w:rPr>
        <w:t xml:space="preserve"> </w:t>
      </w:r>
      <w:r w:rsidRPr="009616F8">
        <w:rPr>
          <w:sz w:val="24"/>
          <w:lang w:val="da-DK"/>
        </w:rPr>
        <w:tab/>
        <w:t xml:space="preserve">EUT L </w:t>
      </w:r>
      <w:r w:rsidR="00CA30C3" w:rsidRPr="00CA30C3">
        <w:rPr>
          <w:sz w:val="24"/>
          <w:lang w:val="da-DK"/>
        </w:rPr>
        <w:t>277</w:t>
      </w:r>
      <w:r w:rsidRPr="009616F8">
        <w:rPr>
          <w:sz w:val="24"/>
          <w:lang w:val="da-DK"/>
        </w:rPr>
        <w:t xml:space="preserve"> af </w:t>
      </w:r>
      <w:r w:rsidR="00CA30C3" w:rsidRPr="00CA30C3">
        <w:rPr>
          <w:sz w:val="24"/>
          <w:lang w:val="da-DK"/>
        </w:rPr>
        <w:t>27</w:t>
      </w:r>
      <w:r w:rsidRPr="009616F8">
        <w:rPr>
          <w:sz w:val="24"/>
          <w:lang w:val="da-DK"/>
        </w:rPr>
        <w:t>.</w:t>
      </w:r>
      <w:r w:rsidR="00CA30C3" w:rsidRPr="00CA30C3">
        <w:rPr>
          <w:sz w:val="24"/>
          <w:lang w:val="da-DK"/>
        </w:rPr>
        <w:t>10</w:t>
      </w:r>
      <w:r w:rsidRPr="009616F8">
        <w:rPr>
          <w:sz w:val="24"/>
          <w:lang w:val="da-DK"/>
        </w:rPr>
        <w:t>.</w:t>
      </w:r>
      <w:r w:rsidR="00CA30C3" w:rsidRPr="00CA30C3">
        <w:rPr>
          <w:sz w:val="24"/>
          <w:lang w:val="da-DK"/>
        </w:rPr>
        <w:t>2022</w:t>
      </w:r>
      <w:r w:rsidRPr="009616F8">
        <w:rPr>
          <w:sz w:val="24"/>
          <w:lang w:val="da-DK"/>
        </w:rPr>
        <w:t>, s. </w:t>
      </w:r>
      <w:r w:rsidR="00CA30C3" w:rsidRPr="00CA30C3">
        <w:rPr>
          <w:sz w:val="24"/>
          <w:lang w:val="da-DK"/>
        </w:rPr>
        <w:t>1</w:t>
      </w:r>
      <w:r w:rsidRPr="009616F8">
        <w:rPr>
          <w:sz w:val="24"/>
          <w:lang w:val="da-DK"/>
        </w:rPr>
        <w:t xml:space="preserve">, ELI: </w:t>
      </w:r>
      <w:hyperlink r:id="rId2" w:tgtFrame="http://data.europa.eu/eli/reg/2022/2065/oj" w:history="1">
        <w:r w:rsidRPr="009616F8">
          <w:rPr>
            <w:rStyle w:val="Hyperlink"/>
            <w:sz w:val="24"/>
            <w:lang w:val="da-DK"/>
          </w:rPr>
          <w:t>http://data.europa.eu/eli/reg/</w:t>
        </w:r>
        <w:r w:rsidR="00CA30C3" w:rsidRPr="00CA30C3">
          <w:rPr>
            <w:rStyle w:val="Hyperlink"/>
            <w:sz w:val="24"/>
            <w:lang w:val="da-DK"/>
          </w:rPr>
          <w:t>2022</w:t>
        </w:r>
        <w:r w:rsidRPr="009616F8">
          <w:rPr>
            <w:rStyle w:val="Hyperlink"/>
            <w:sz w:val="24"/>
            <w:lang w:val="da-DK"/>
          </w:rPr>
          <w:t>/</w:t>
        </w:r>
        <w:r w:rsidR="00CA30C3" w:rsidRPr="00CA30C3">
          <w:rPr>
            <w:rStyle w:val="Hyperlink"/>
            <w:sz w:val="24"/>
            <w:lang w:val="da-DK"/>
          </w:rPr>
          <w:t>2065</w:t>
        </w:r>
        <w:r w:rsidRPr="009616F8">
          <w:rPr>
            <w:rStyle w:val="Hyperlink"/>
            <w:sz w:val="24"/>
            <w:lang w:val="da-DK"/>
          </w:rPr>
          <w:t>/oj</w:t>
        </w:r>
      </w:hyperlink>
      <w:r w:rsidRPr="009616F8">
        <w:rPr>
          <w:sz w:val="24"/>
          <w:lang w:val="da-DK"/>
        </w:rPr>
        <w:t>.</w:t>
      </w:r>
    </w:p>
  </w:footnote>
  <w:footnote w:id="3">
    <w:p w14:paraId="47320056" w14:textId="2D346227" w:rsidR="00B57FAA" w:rsidRPr="009616F8" w:rsidRDefault="00B57FAA" w:rsidP="009616F8">
      <w:pPr>
        <w:pStyle w:val="FootnoteText"/>
        <w:ind w:left="567" w:hanging="567"/>
        <w:rPr>
          <w:sz w:val="24"/>
          <w:lang w:val="da-DK"/>
        </w:rPr>
      </w:pPr>
      <w:r>
        <w:rPr>
          <w:rStyle w:val="FootnoteReference"/>
        </w:rPr>
        <w:footnoteRef/>
      </w:r>
      <w:r w:rsidRPr="009616F8">
        <w:rPr>
          <w:sz w:val="24"/>
          <w:lang w:val="da-DK"/>
        </w:rPr>
        <w:t xml:space="preserve"> </w:t>
      </w:r>
      <w:r w:rsidRPr="009616F8">
        <w:rPr>
          <w:sz w:val="24"/>
          <w:lang w:val="da-DK"/>
        </w:rPr>
        <w:tab/>
        <w:t xml:space="preserve">EUT L </w:t>
      </w:r>
      <w:r w:rsidR="00CA30C3" w:rsidRPr="00CA30C3">
        <w:rPr>
          <w:sz w:val="24"/>
          <w:lang w:val="da-DK"/>
        </w:rPr>
        <w:t>24</w:t>
      </w:r>
      <w:r w:rsidRPr="009616F8">
        <w:rPr>
          <w:sz w:val="24"/>
          <w:lang w:val="da-DK"/>
        </w:rPr>
        <w:t xml:space="preserve"> af </w:t>
      </w:r>
      <w:r w:rsidR="00CA30C3" w:rsidRPr="00CA30C3">
        <w:rPr>
          <w:sz w:val="24"/>
          <w:lang w:val="da-DK"/>
        </w:rPr>
        <w:t>29</w:t>
      </w:r>
      <w:r w:rsidRPr="009616F8">
        <w:rPr>
          <w:sz w:val="24"/>
          <w:lang w:val="da-DK"/>
        </w:rPr>
        <w:t>.</w:t>
      </w:r>
      <w:r w:rsidR="00CA30C3" w:rsidRPr="00CA30C3">
        <w:rPr>
          <w:sz w:val="24"/>
          <w:lang w:val="da-DK"/>
        </w:rPr>
        <w:t>1</w:t>
      </w:r>
      <w:r w:rsidRPr="009616F8">
        <w:rPr>
          <w:sz w:val="24"/>
          <w:lang w:val="da-DK"/>
        </w:rPr>
        <w:t>.</w:t>
      </w:r>
      <w:r w:rsidR="00CA30C3" w:rsidRPr="00CA30C3">
        <w:rPr>
          <w:sz w:val="24"/>
          <w:lang w:val="da-DK"/>
        </w:rPr>
        <w:t>2004</w:t>
      </w:r>
      <w:r w:rsidRPr="009616F8">
        <w:rPr>
          <w:sz w:val="24"/>
          <w:lang w:val="da-DK"/>
        </w:rPr>
        <w:t xml:space="preserve">, s. </w:t>
      </w:r>
      <w:r w:rsidR="00CA30C3" w:rsidRPr="00CA30C3">
        <w:rPr>
          <w:sz w:val="24"/>
          <w:lang w:val="da-DK"/>
        </w:rPr>
        <w:t>1</w:t>
      </w:r>
      <w:r w:rsidRPr="009616F8">
        <w:rPr>
          <w:sz w:val="24"/>
          <w:lang w:val="da-DK"/>
        </w:rPr>
        <w:t xml:space="preserve">, ELI: </w:t>
      </w:r>
      <w:hyperlink r:id="rId3" w:tgtFrame="https://eur-lex.europa.eu/legal-content/DA/TXT/?uri=uriserv%3AOJ.L_.2004.024.01.0001.01.ENG" w:history="1">
        <w:r w:rsidRPr="009616F8">
          <w:rPr>
            <w:rStyle w:val="Hyperlink"/>
            <w:sz w:val="24"/>
            <w:lang w:val="da-DK"/>
          </w:rPr>
          <w:t>http://data.europa.eu/eli/reg/</w:t>
        </w:r>
        <w:r w:rsidR="00CA30C3" w:rsidRPr="00CA30C3">
          <w:rPr>
            <w:rStyle w:val="Hyperlink"/>
            <w:sz w:val="24"/>
            <w:lang w:val="da-DK"/>
          </w:rPr>
          <w:t>2004</w:t>
        </w:r>
        <w:r w:rsidRPr="009616F8">
          <w:rPr>
            <w:rStyle w:val="Hyperlink"/>
            <w:sz w:val="24"/>
            <w:lang w:val="da-DK"/>
          </w:rPr>
          <w:t>/</w:t>
        </w:r>
        <w:r w:rsidR="00CA30C3" w:rsidRPr="00CA30C3">
          <w:rPr>
            <w:rStyle w:val="Hyperlink"/>
            <w:sz w:val="24"/>
            <w:lang w:val="da-DK"/>
          </w:rPr>
          <w:t>139</w:t>
        </w:r>
        <w:r w:rsidRPr="009616F8">
          <w:rPr>
            <w:rStyle w:val="Hyperlink"/>
            <w:sz w:val="24"/>
            <w:lang w:val="da-DK"/>
          </w:rPr>
          <w:t>/oj.</w:t>
        </w:r>
      </w:hyperlink>
    </w:p>
  </w:footnote>
  <w:footnote w:id="4">
    <w:p w14:paraId="7702EB26" w14:textId="65291259" w:rsidR="00B57FAA" w:rsidRPr="009616F8" w:rsidRDefault="00B57FAA" w:rsidP="009616F8">
      <w:pPr>
        <w:pStyle w:val="FootnoteText"/>
        <w:ind w:left="567" w:hanging="567"/>
        <w:rPr>
          <w:sz w:val="24"/>
          <w:lang w:val="da-DK"/>
        </w:rPr>
      </w:pPr>
      <w:r>
        <w:rPr>
          <w:rStyle w:val="FootnoteReference"/>
        </w:rPr>
        <w:footnoteRef/>
      </w:r>
      <w:r w:rsidRPr="009616F8">
        <w:rPr>
          <w:sz w:val="24"/>
          <w:lang w:val="da-DK"/>
        </w:rPr>
        <w:t xml:space="preserve"> </w:t>
      </w:r>
      <w:r w:rsidRPr="009616F8">
        <w:rPr>
          <w:sz w:val="24"/>
          <w:lang w:val="da-DK"/>
        </w:rPr>
        <w:tab/>
        <w:t xml:space="preserve">EUT C </w:t>
      </w:r>
      <w:r w:rsidR="00CA30C3" w:rsidRPr="00CA30C3">
        <w:rPr>
          <w:sz w:val="24"/>
          <w:lang w:val="da-DK"/>
        </w:rPr>
        <w:t>31</w:t>
      </w:r>
      <w:r w:rsidRPr="009616F8">
        <w:rPr>
          <w:sz w:val="24"/>
          <w:lang w:val="da-DK"/>
        </w:rPr>
        <w:t xml:space="preserve"> af </w:t>
      </w:r>
      <w:r w:rsidR="00CA30C3" w:rsidRPr="00CA30C3">
        <w:rPr>
          <w:sz w:val="24"/>
          <w:lang w:val="da-DK"/>
        </w:rPr>
        <w:t>5</w:t>
      </w:r>
      <w:r w:rsidRPr="009616F8">
        <w:rPr>
          <w:sz w:val="24"/>
          <w:lang w:val="da-DK"/>
        </w:rPr>
        <w:t>.</w:t>
      </w:r>
      <w:r w:rsidR="00CA30C3" w:rsidRPr="00CA30C3">
        <w:rPr>
          <w:sz w:val="24"/>
          <w:lang w:val="da-DK"/>
        </w:rPr>
        <w:t>2</w:t>
      </w:r>
      <w:r w:rsidRPr="009616F8">
        <w:rPr>
          <w:sz w:val="24"/>
          <w:lang w:val="da-DK"/>
        </w:rPr>
        <w:t>.</w:t>
      </w:r>
      <w:r w:rsidR="00CA30C3" w:rsidRPr="00CA30C3">
        <w:rPr>
          <w:sz w:val="24"/>
          <w:lang w:val="da-DK"/>
        </w:rPr>
        <w:t>2004</w:t>
      </w:r>
      <w:r w:rsidRPr="009616F8">
        <w:rPr>
          <w:sz w:val="24"/>
          <w:lang w:val="da-DK"/>
        </w:rPr>
        <w:t xml:space="preserve">, s. </w:t>
      </w:r>
      <w:r w:rsidR="00CA30C3" w:rsidRPr="00CA30C3">
        <w:rPr>
          <w:sz w:val="24"/>
          <w:lang w:val="da-DK"/>
        </w:rPr>
        <w:t>5</w:t>
      </w:r>
      <w:r w:rsidRPr="009616F8">
        <w:rPr>
          <w:sz w:val="24"/>
          <w:lang w:val="da-DK"/>
        </w:rPr>
        <w:t>.</w:t>
      </w:r>
    </w:p>
  </w:footnote>
  <w:footnote w:id="5">
    <w:p w14:paraId="36D22C1B" w14:textId="182DCD7D" w:rsidR="00B57FAA" w:rsidRPr="009616F8" w:rsidRDefault="00B57FAA" w:rsidP="009616F8">
      <w:pPr>
        <w:pStyle w:val="FootnoteText"/>
        <w:ind w:left="567" w:hanging="567"/>
        <w:rPr>
          <w:sz w:val="24"/>
          <w:lang w:val="da-DK"/>
        </w:rPr>
      </w:pPr>
      <w:r>
        <w:rPr>
          <w:rStyle w:val="FootnoteReference"/>
        </w:rPr>
        <w:footnoteRef/>
      </w:r>
      <w:r w:rsidRPr="009616F8">
        <w:rPr>
          <w:sz w:val="24"/>
          <w:lang w:val="da-DK"/>
        </w:rPr>
        <w:t xml:space="preserve"> </w:t>
      </w:r>
      <w:r w:rsidRPr="009616F8">
        <w:rPr>
          <w:sz w:val="24"/>
          <w:lang w:val="da-DK"/>
        </w:rPr>
        <w:tab/>
        <w:t xml:space="preserve">EUT C </w:t>
      </w:r>
      <w:r w:rsidR="00CA30C3" w:rsidRPr="00CA30C3">
        <w:rPr>
          <w:sz w:val="24"/>
          <w:lang w:val="da-DK"/>
        </w:rPr>
        <w:t>265</w:t>
      </w:r>
      <w:r w:rsidRPr="009616F8">
        <w:rPr>
          <w:sz w:val="24"/>
          <w:lang w:val="da-DK"/>
        </w:rPr>
        <w:t xml:space="preserve"> af </w:t>
      </w:r>
      <w:r w:rsidR="00CA30C3" w:rsidRPr="00CA30C3">
        <w:rPr>
          <w:sz w:val="24"/>
          <w:lang w:val="da-DK"/>
        </w:rPr>
        <w:t>18</w:t>
      </w:r>
      <w:r w:rsidRPr="009616F8">
        <w:rPr>
          <w:sz w:val="24"/>
          <w:lang w:val="da-DK"/>
        </w:rPr>
        <w:t>.</w:t>
      </w:r>
      <w:r w:rsidR="00CA30C3" w:rsidRPr="00CA30C3">
        <w:rPr>
          <w:sz w:val="24"/>
          <w:lang w:val="da-DK"/>
        </w:rPr>
        <w:t>10</w:t>
      </w:r>
      <w:r w:rsidRPr="009616F8">
        <w:rPr>
          <w:sz w:val="24"/>
          <w:lang w:val="da-DK"/>
        </w:rPr>
        <w:t>.</w:t>
      </w:r>
      <w:r w:rsidR="00CA30C3" w:rsidRPr="00CA30C3">
        <w:rPr>
          <w:sz w:val="24"/>
          <w:lang w:val="da-DK"/>
        </w:rPr>
        <w:t>2008</w:t>
      </w:r>
      <w:r w:rsidRPr="009616F8">
        <w:rPr>
          <w:sz w:val="24"/>
          <w:lang w:val="da-DK"/>
        </w:rPr>
        <w:t>, s. </w:t>
      </w:r>
      <w:r w:rsidR="00CA30C3" w:rsidRPr="00CA30C3">
        <w:rPr>
          <w:sz w:val="24"/>
          <w:lang w:val="da-DK"/>
        </w:rPr>
        <w:t>6</w:t>
      </w:r>
      <w:r w:rsidRPr="009616F8">
        <w:rPr>
          <w:sz w:val="24"/>
          <w:lang w:val="da-DK"/>
        </w:rPr>
        <w:t>.</w:t>
      </w:r>
    </w:p>
  </w:footnote>
  <w:footnote w:id="6">
    <w:p w14:paraId="006C41AA" w14:textId="7B3CF112" w:rsidR="00B57FAA" w:rsidRPr="009616F8" w:rsidRDefault="00B57FAA" w:rsidP="009616F8">
      <w:pPr>
        <w:pStyle w:val="FootnoteText"/>
        <w:ind w:left="567" w:hanging="567"/>
        <w:rPr>
          <w:sz w:val="24"/>
          <w:lang w:val="da-DK"/>
        </w:rPr>
      </w:pPr>
      <w:r>
        <w:rPr>
          <w:rStyle w:val="FootnoteReference"/>
        </w:rPr>
        <w:footnoteRef/>
      </w:r>
      <w:r w:rsidRPr="009616F8">
        <w:rPr>
          <w:sz w:val="24"/>
          <w:lang w:val="da-DK"/>
        </w:rPr>
        <w:t xml:space="preserve"> </w:t>
      </w:r>
      <w:r w:rsidRPr="009616F8">
        <w:rPr>
          <w:sz w:val="24"/>
          <w:lang w:val="da-DK"/>
        </w:rPr>
        <w:tab/>
        <w:t>EUT C, C/</w:t>
      </w:r>
      <w:r w:rsidR="00CA30C3" w:rsidRPr="00CA30C3">
        <w:rPr>
          <w:sz w:val="24"/>
          <w:lang w:val="da-DK"/>
        </w:rPr>
        <w:t>2026</w:t>
      </w:r>
      <w:r w:rsidRPr="009616F8">
        <w:rPr>
          <w:sz w:val="24"/>
          <w:lang w:val="da-DK"/>
        </w:rPr>
        <w:t>/</w:t>
      </w:r>
      <w:r w:rsidR="00CA30C3" w:rsidRPr="00CA30C3">
        <w:rPr>
          <w:sz w:val="24"/>
          <w:lang w:val="da-DK"/>
        </w:rPr>
        <w:t>1472</w:t>
      </w:r>
      <w:r w:rsidRPr="009616F8">
        <w:rPr>
          <w:sz w:val="24"/>
          <w:lang w:val="da-DK"/>
        </w:rPr>
        <w:t xml:space="preserve">, </w:t>
      </w:r>
      <w:r w:rsidR="00CA30C3" w:rsidRPr="00CA30C3">
        <w:rPr>
          <w:sz w:val="24"/>
          <w:lang w:val="da-DK"/>
        </w:rPr>
        <w:t>9</w:t>
      </w:r>
      <w:r w:rsidRPr="009616F8">
        <w:rPr>
          <w:sz w:val="24"/>
          <w:lang w:val="da-DK"/>
        </w:rPr>
        <w:t>.</w:t>
      </w:r>
      <w:r w:rsidR="00CA30C3" w:rsidRPr="00CA30C3">
        <w:rPr>
          <w:sz w:val="24"/>
          <w:lang w:val="da-DK"/>
        </w:rPr>
        <w:t>4</w:t>
      </w:r>
      <w:r w:rsidRPr="009616F8">
        <w:rPr>
          <w:sz w:val="24"/>
          <w:lang w:val="da-DK"/>
        </w:rPr>
        <w:t>.</w:t>
      </w:r>
      <w:r w:rsidR="00CA30C3" w:rsidRPr="00CA30C3">
        <w:rPr>
          <w:sz w:val="24"/>
          <w:lang w:val="da-DK"/>
        </w:rPr>
        <w:t>2026</w:t>
      </w:r>
      <w:r w:rsidRPr="009616F8">
        <w:rPr>
          <w:sz w:val="24"/>
          <w:lang w:val="da-DK"/>
        </w:rPr>
        <w:t xml:space="preserve">, ELI: </w:t>
      </w:r>
      <w:hyperlink r:id="rId4" w:tgtFrame="http://data.europa.eu/eli/C/2026/1472/oj" w:history="1">
        <w:r w:rsidRPr="009616F8">
          <w:rPr>
            <w:rStyle w:val="Hyperlink"/>
            <w:sz w:val="24"/>
            <w:lang w:val="da-DK"/>
          </w:rPr>
          <w:t>http://data.europa.eu/eli/C/</w:t>
        </w:r>
        <w:r w:rsidR="00CA30C3" w:rsidRPr="00CA30C3">
          <w:rPr>
            <w:rStyle w:val="Hyperlink"/>
            <w:sz w:val="24"/>
            <w:lang w:val="da-DK"/>
          </w:rPr>
          <w:t>2026</w:t>
        </w:r>
        <w:r w:rsidRPr="009616F8">
          <w:rPr>
            <w:rStyle w:val="Hyperlink"/>
            <w:sz w:val="24"/>
            <w:lang w:val="da-DK"/>
          </w:rPr>
          <w:t>/</w:t>
        </w:r>
        <w:r w:rsidR="00CA30C3" w:rsidRPr="00CA30C3">
          <w:rPr>
            <w:rStyle w:val="Hyperlink"/>
            <w:sz w:val="24"/>
            <w:lang w:val="da-DK"/>
          </w:rPr>
          <w:t>1472</w:t>
        </w:r>
        <w:r w:rsidRPr="009616F8">
          <w:rPr>
            <w:rStyle w:val="Hyperlink"/>
            <w:sz w:val="24"/>
            <w:lang w:val="da-DK"/>
          </w:rPr>
          <w:t>/oj</w:t>
        </w:r>
      </w:hyperlink>
      <w:r w:rsidRPr="009616F8">
        <w:rPr>
          <w:sz w:val="24"/>
          <w:lang w:val="da-DK"/>
        </w:rPr>
        <w:t>.</w:t>
      </w:r>
    </w:p>
  </w:footnote>
  <w:footnote w:id="7">
    <w:p w14:paraId="376A9789" w14:textId="762CDECD" w:rsidR="00B57FAA" w:rsidRPr="009616F8" w:rsidRDefault="00B57FAA" w:rsidP="009616F8">
      <w:pPr>
        <w:pStyle w:val="FootnoteText"/>
        <w:ind w:left="567" w:hanging="567"/>
        <w:rPr>
          <w:sz w:val="24"/>
          <w:lang w:val="da-DK"/>
        </w:rPr>
      </w:pPr>
      <w:r>
        <w:rPr>
          <w:rStyle w:val="FootnoteReference"/>
        </w:rPr>
        <w:footnoteRef/>
      </w:r>
      <w:r w:rsidRPr="009616F8">
        <w:rPr>
          <w:sz w:val="24"/>
          <w:lang w:val="da-DK"/>
        </w:rPr>
        <w:t xml:space="preserve"> </w:t>
      </w:r>
      <w:r w:rsidRPr="009616F8">
        <w:rPr>
          <w:sz w:val="24"/>
          <w:lang w:val="da-DK"/>
        </w:rPr>
        <w:tab/>
        <w:t xml:space="preserve">Europa-Kommissionen, Generaldirektoratet for Konkurrence, </w:t>
      </w:r>
      <w:hyperlink r:id="rId5" w:tgtFrame="https://competition-policy.ec.europa.eu/document/download/53e9348d-4f11-46ef-9098-526e24313ee8_en?filename=kd0125000enn_ex-post_evaluation_antitrust_remedies_study_e-version.pdf" w:history="1">
        <w:r w:rsidRPr="009616F8">
          <w:rPr>
            <w:rStyle w:val="Hyperlink"/>
            <w:i/>
            <w:sz w:val="24"/>
            <w:lang w:val="da-DK"/>
          </w:rPr>
          <w:t xml:space="preserve">Ex post </w:t>
        </w:r>
        <w:proofErr w:type="spellStart"/>
        <w:r w:rsidRPr="009616F8">
          <w:rPr>
            <w:rStyle w:val="Hyperlink"/>
            <w:i/>
            <w:sz w:val="24"/>
            <w:lang w:val="da-DK"/>
          </w:rPr>
          <w:t>evaluation</w:t>
        </w:r>
        <w:proofErr w:type="spellEnd"/>
        <w:r w:rsidRPr="009616F8">
          <w:rPr>
            <w:rStyle w:val="Hyperlink"/>
            <w:i/>
            <w:sz w:val="24"/>
            <w:lang w:val="da-DK"/>
          </w:rPr>
          <w:t xml:space="preserve"> of the </w:t>
        </w:r>
        <w:proofErr w:type="spellStart"/>
        <w:r w:rsidRPr="009616F8">
          <w:rPr>
            <w:rStyle w:val="Hyperlink"/>
            <w:i/>
            <w:sz w:val="24"/>
            <w:lang w:val="da-DK"/>
          </w:rPr>
          <w:t>implementation</w:t>
        </w:r>
        <w:proofErr w:type="spellEnd"/>
        <w:r w:rsidRPr="009616F8">
          <w:rPr>
            <w:rStyle w:val="Hyperlink"/>
            <w:i/>
            <w:sz w:val="24"/>
            <w:lang w:val="da-DK"/>
          </w:rPr>
          <w:t xml:space="preserve"> and </w:t>
        </w:r>
        <w:proofErr w:type="spellStart"/>
        <w:r w:rsidRPr="009616F8">
          <w:rPr>
            <w:rStyle w:val="Hyperlink"/>
            <w:i/>
            <w:sz w:val="24"/>
            <w:lang w:val="da-DK"/>
          </w:rPr>
          <w:t>effectiveness</w:t>
        </w:r>
        <w:proofErr w:type="spellEnd"/>
        <w:r w:rsidRPr="009616F8">
          <w:rPr>
            <w:rStyle w:val="Hyperlink"/>
            <w:i/>
            <w:sz w:val="24"/>
            <w:lang w:val="da-DK"/>
          </w:rPr>
          <w:t xml:space="preserve"> of EU antitrust remedies</w:t>
        </w:r>
      </w:hyperlink>
      <w:r w:rsidRPr="009616F8">
        <w:rPr>
          <w:sz w:val="24"/>
          <w:lang w:val="da-DK"/>
        </w:rPr>
        <w:t xml:space="preserve">, </w:t>
      </w:r>
      <w:r w:rsidR="00CA30C3" w:rsidRPr="00CA30C3">
        <w:rPr>
          <w:sz w:val="24"/>
          <w:lang w:val="da-DK"/>
        </w:rPr>
        <w:t>2025</w:t>
      </w:r>
      <w:r w:rsidRPr="009616F8">
        <w:rPr>
          <w:sz w:val="24"/>
          <w:lang w:val="da-DK"/>
        </w:rPr>
        <w:t>.</w:t>
      </w:r>
    </w:p>
  </w:footnote>
  <w:footnote w:id="8">
    <w:p w14:paraId="052FAE8B" w14:textId="3F5A3015" w:rsidR="00B57FAA" w:rsidRPr="009616F8" w:rsidRDefault="00B57FAA" w:rsidP="009616F8">
      <w:pPr>
        <w:pStyle w:val="FootnoteText"/>
        <w:ind w:left="567" w:hanging="567"/>
        <w:rPr>
          <w:sz w:val="24"/>
          <w:lang w:val="da-DK"/>
        </w:rPr>
      </w:pPr>
      <w:r>
        <w:rPr>
          <w:rStyle w:val="FootnoteReference"/>
        </w:rPr>
        <w:footnoteRef/>
      </w:r>
      <w:r w:rsidRPr="009616F8">
        <w:rPr>
          <w:sz w:val="24"/>
          <w:lang w:val="da-DK"/>
        </w:rPr>
        <w:t xml:space="preserve"> </w:t>
      </w:r>
      <w:r w:rsidRPr="009616F8">
        <w:rPr>
          <w:sz w:val="24"/>
          <w:lang w:val="da-DK"/>
        </w:rPr>
        <w:tab/>
        <w:t xml:space="preserve">EUT L </w:t>
      </w:r>
      <w:r w:rsidR="00CA30C3" w:rsidRPr="00CA30C3">
        <w:rPr>
          <w:sz w:val="24"/>
          <w:lang w:val="da-DK"/>
        </w:rPr>
        <w:t>330</w:t>
      </w:r>
      <w:r w:rsidRPr="009616F8">
        <w:rPr>
          <w:sz w:val="24"/>
          <w:lang w:val="da-DK"/>
        </w:rPr>
        <w:t xml:space="preserve"> af </w:t>
      </w:r>
      <w:r w:rsidR="00CA30C3" w:rsidRPr="00CA30C3">
        <w:rPr>
          <w:sz w:val="24"/>
          <w:lang w:val="da-DK"/>
        </w:rPr>
        <w:t>23</w:t>
      </w:r>
      <w:r w:rsidRPr="009616F8">
        <w:rPr>
          <w:sz w:val="24"/>
          <w:lang w:val="da-DK"/>
        </w:rPr>
        <w:t>.</w:t>
      </w:r>
      <w:r w:rsidR="00CA30C3" w:rsidRPr="00CA30C3">
        <w:rPr>
          <w:sz w:val="24"/>
          <w:lang w:val="da-DK"/>
        </w:rPr>
        <w:t>12</w:t>
      </w:r>
      <w:r w:rsidRPr="009616F8">
        <w:rPr>
          <w:sz w:val="24"/>
          <w:lang w:val="da-DK"/>
        </w:rPr>
        <w:t>.</w:t>
      </w:r>
      <w:r w:rsidR="00CA30C3" w:rsidRPr="00CA30C3">
        <w:rPr>
          <w:sz w:val="24"/>
          <w:lang w:val="da-DK"/>
        </w:rPr>
        <w:t>2022</w:t>
      </w:r>
      <w:r w:rsidRPr="009616F8">
        <w:rPr>
          <w:sz w:val="24"/>
          <w:lang w:val="da-DK"/>
        </w:rPr>
        <w:t>, s. </w:t>
      </w:r>
      <w:r w:rsidR="00CA30C3" w:rsidRPr="00CA30C3">
        <w:rPr>
          <w:sz w:val="24"/>
          <w:lang w:val="da-DK"/>
        </w:rPr>
        <w:t>1</w:t>
      </w:r>
      <w:r w:rsidRPr="009616F8">
        <w:rPr>
          <w:sz w:val="24"/>
          <w:lang w:val="da-DK"/>
        </w:rPr>
        <w:t xml:space="preserve">, ELI: </w:t>
      </w:r>
      <w:hyperlink r:id="rId6" w:tgtFrame="http://data.europa.eu/eli/reg/2022/2560/oj" w:history="1">
        <w:r w:rsidRPr="009616F8">
          <w:rPr>
            <w:rStyle w:val="Hyperlink"/>
            <w:sz w:val="24"/>
            <w:lang w:val="da-DK"/>
          </w:rPr>
          <w:t>http://data.europa.eu/eli/reg/</w:t>
        </w:r>
        <w:r w:rsidR="00CA30C3" w:rsidRPr="00CA30C3">
          <w:rPr>
            <w:rStyle w:val="Hyperlink"/>
            <w:sz w:val="24"/>
            <w:lang w:val="da-DK"/>
          </w:rPr>
          <w:t>2022</w:t>
        </w:r>
        <w:r w:rsidRPr="009616F8">
          <w:rPr>
            <w:rStyle w:val="Hyperlink"/>
            <w:sz w:val="24"/>
            <w:lang w:val="da-DK"/>
          </w:rPr>
          <w:t>/</w:t>
        </w:r>
        <w:r w:rsidR="00CA30C3" w:rsidRPr="00CA30C3">
          <w:rPr>
            <w:rStyle w:val="Hyperlink"/>
            <w:sz w:val="24"/>
            <w:lang w:val="da-DK"/>
          </w:rPr>
          <w:t>2560</w:t>
        </w:r>
        <w:r w:rsidRPr="009616F8">
          <w:rPr>
            <w:rStyle w:val="Hyperlink"/>
            <w:sz w:val="24"/>
            <w:lang w:val="da-DK"/>
          </w:rPr>
          <w:t>/oj</w:t>
        </w:r>
      </w:hyperlink>
      <w:r w:rsidRPr="009616F8">
        <w:rPr>
          <w:sz w:val="24"/>
          <w:lang w:val="da-DK"/>
        </w:rPr>
        <w:t>.</w:t>
      </w:r>
    </w:p>
  </w:footnote>
  <w:footnote w:id="9">
    <w:p w14:paraId="231BCBA5" w14:textId="48C0255D" w:rsidR="00B57FAA" w:rsidRPr="009616F8" w:rsidRDefault="00B57FAA" w:rsidP="009616F8">
      <w:pPr>
        <w:pStyle w:val="FootnoteText"/>
        <w:ind w:left="567" w:hanging="567"/>
        <w:rPr>
          <w:sz w:val="24"/>
          <w:lang w:val="da-DK"/>
        </w:rPr>
      </w:pPr>
      <w:r>
        <w:rPr>
          <w:rStyle w:val="FootnoteReference"/>
        </w:rPr>
        <w:footnoteRef/>
      </w:r>
      <w:r w:rsidRPr="009616F8">
        <w:rPr>
          <w:sz w:val="24"/>
          <w:lang w:val="da-DK"/>
        </w:rPr>
        <w:t xml:space="preserve"> </w:t>
      </w:r>
      <w:r w:rsidRPr="009616F8">
        <w:rPr>
          <w:sz w:val="24"/>
          <w:lang w:val="da-DK"/>
        </w:rPr>
        <w:tab/>
        <w:t>EUT C, C/</w:t>
      </w:r>
      <w:r w:rsidR="00CA30C3" w:rsidRPr="00CA30C3">
        <w:rPr>
          <w:sz w:val="24"/>
          <w:lang w:val="da-DK"/>
        </w:rPr>
        <w:t>2026</w:t>
      </w:r>
      <w:r w:rsidRPr="009616F8">
        <w:rPr>
          <w:sz w:val="24"/>
          <w:lang w:val="da-DK"/>
        </w:rPr>
        <w:t>/</w:t>
      </w:r>
      <w:r w:rsidR="00CA30C3" w:rsidRPr="00CA30C3">
        <w:rPr>
          <w:sz w:val="24"/>
          <w:lang w:val="da-DK"/>
        </w:rPr>
        <w:t>224</w:t>
      </w:r>
      <w:r w:rsidRPr="009616F8">
        <w:rPr>
          <w:sz w:val="24"/>
          <w:lang w:val="da-DK"/>
        </w:rPr>
        <w:t xml:space="preserve">, </w:t>
      </w:r>
      <w:r w:rsidR="00CA30C3" w:rsidRPr="00CA30C3">
        <w:rPr>
          <w:sz w:val="24"/>
          <w:lang w:val="da-DK"/>
        </w:rPr>
        <w:t>13</w:t>
      </w:r>
      <w:r w:rsidRPr="009616F8">
        <w:rPr>
          <w:sz w:val="24"/>
          <w:lang w:val="da-DK"/>
        </w:rPr>
        <w:t>.</w:t>
      </w:r>
      <w:r w:rsidR="00CA30C3" w:rsidRPr="00CA30C3">
        <w:rPr>
          <w:sz w:val="24"/>
          <w:lang w:val="da-DK"/>
        </w:rPr>
        <w:t>1</w:t>
      </w:r>
      <w:r w:rsidRPr="009616F8">
        <w:rPr>
          <w:sz w:val="24"/>
          <w:lang w:val="da-DK"/>
        </w:rPr>
        <w:t>.</w:t>
      </w:r>
      <w:r w:rsidR="00CA30C3" w:rsidRPr="00CA30C3">
        <w:rPr>
          <w:sz w:val="24"/>
          <w:lang w:val="da-DK"/>
        </w:rPr>
        <w:t>2026</w:t>
      </w:r>
      <w:r w:rsidRPr="009616F8">
        <w:rPr>
          <w:sz w:val="24"/>
          <w:lang w:val="da-DK"/>
        </w:rPr>
        <w:t xml:space="preserve">, ELI: </w:t>
      </w:r>
      <w:hyperlink r:id="rId7" w:tgtFrame="http://data.europa.eu/eli/C/2026/224/oj" w:history="1">
        <w:r w:rsidRPr="009616F8">
          <w:rPr>
            <w:rStyle w:val="Hyperlink"/>
            <w:sz w:val="24"/>
            <w:lang w:val="da-DK"/>
          </w:rPr>
          <w:t>http://data.europa.eu/eli/C/</w:t>
        </w:r>
        <w:r w:rsidR="00CA30C3" w:rsidRPr="00CA30C3">
          <w:rPr>
            <w:rStyle w:val="Hyperlink"/>
            <w:sz w:val="24"/>
            <w:lang w:val="da-DK"/>
          </w:rPr>
          <w:t>2026</w:t>
        </w:r>
        <w:r w:rsidRPr="009616F8">
          <w:rPr>
            <w:rStyle w:val="Hyperlink"/>
            <w:sz w:val="24"/>
            <w:lang w:val="da-DK"/>
          </w:rPr>
          <w:t>/</w:t>
        </w:r>
        <w:r w:rsidR="00CA30C3" w:rsidRPr="00CA30C3">
          <w:rPr>
            <w:rStyle w:val="Hyperlink"/>
            <w:sz w:val="24"/>
            <w:lang w:val="da-DK"/>
          </w:rPr>
          <w:t>224</w:t>
        </w:r>
        <w:r w:rsidRPr="009616F8">
          <w:rPr>
            <w:rStyle w:val="Hyperlink"/>
            <w:sz w:val="24"/>
            <w:lang w:val="da-DK"/>
          </w:rPr>
          <w:t>/oj</w:t>
        </w:r>
      </w:hyperlink>
      <w:r w:rsidRPr="009616F8">
        <w:rPr>
          <w:sz w:val="24"/>
          <w:lang w:val="da-DK"/>
        </w:rPr>
        <w:t>.</w:t>
      </w:r>
    </w:p>
  </w:footnote>
  <w:footnote w:id="10">
    <w:p w14:paraId="16E63BD6" w14:textId="09B5D8F9" w:rsidR="00B57FAA" w:rsidRPr="009616F8" w:rsidRDefault="00B57FAA" w:rsidP="009616F8">
      <w:pPr>
        <w:pStyle w:val="FootnoteText"/>
        <w:ind w:left="567" w:hanging="567"/>
        <w:rPr>
          <w:sz w:val="24"/>
          <w:lang w:val="da-DK"/>
        </w:rPr>
      </w:pPr>
      <w:r>
        <w:rPr>
          <w:rStyle w:val="FootnoteReference"/>
        </w:rPr>
        <w:footnoteRef/>
      </w:r>
      <w:r w:rsidRPr="009616F8">
        <w:rPr>
          <w:sz w:val="24"/>
          <w:lang w:val="da-DK"/>
        </w:rPr>
        <w:t xml:space="preserve"> </w:t>
      </w:r>
      <w:r w:rsidRPr="009616F8">
        <w:rPr>
          <w:sz w:val="24"/>
          <w:lang w:val="da-DK"/>
        </w:rPr>
        <w:tab/>
        <w:t>EUT C, C/</w:t>
      </w:r>
      <w:r w:rsidR="00CA30C3" w:rsidRPr="00CA30C3">
        <w:rPr>
          <w:sz w:val="24"/>
          <w:lang w:val="da-DK"/>
        </w:rPr>
        <w:t>2025</w:t>
      </w:r>
      <w:r w:rsidRPr="009616F8">
        <w:rPr>
          <w:sz w:val="24"/>
          <w:lang w:val="da-DK"/>
        </w:rPr>
        <w:t>/</w:t>
      </w:r>
      <w:r w:rsidR="00CA30C3" w:rsidRPr="00CA30C3">
        <w:rPr>
          <w:sz w:val="24"/>
          <w:lang w:val="da-DK"/>
        </w:rPr>
        <w:t>3602</w:t>
      </w:r>
      <w:r w:rsidRPr="009616F8">
        <w:rPr>
          <w:sz w:val="24"/>
          <w:lang w:val="da-DK"/>
        </w:rPr>
        <w:t xml:space="preserve">, </w:t>
      </w:r>
      <w:r w:rsidR="00CA30C3" w:rsidRPr="00CA30C3">
        <w:rPr>
          <w:sz w:val="24"/>
          <w:lang w:val="da-DK"/>
        </w:rPr>
        <w:t>4</w:t>
      </w:r>
      <w:r w:rsidRPr="009616F8">
        <w:rPr>
          <w:sz w:val="24"/>
          <w:lang w:val="da-DK"/>
        </w:rPr>
        <w:t>.</w:t>
      </w:r>
      <w:r w:rsidR="00CA30C3" w:rsidRPr="00CA30C3">
        <w:rPr>
          <w:sz w:val="24"/>
          <w:lang w:val="da-DK"/>
        </w:rPr>
        <w:t>7</w:t>
      </w:r>
      <w:r w:rsidRPr="009616F8">
        <w:rPr>
          <w:sz w:val="24"/>
          <w:lang w:val="da-DK"/>
        </w:rPr>
        <w:t>.</w:t>
      </w:r>
      <w:r w:rsidR="00CA30C3" w:rsidRPr="00CA30C3">
        <w:rPr>
          <w:sz w:val="24"/>
          <w:lang w:val="da-DK"/>
        </w:rPr>
        <w:t>2025</w:t>
      </w:r>
      <w:r w:rsidRPr="009616F8">
        <w:rPr>
          <w:sz w:val="24"/>
          <w:lang w:val="da-DK"/>
        </w:rPr>
        <w:t xml:space="preserve">, ELI: </w:t>
      </w:r>
      <w:hyperlink r:id="rId8" w:tgtFrame="http://data.europa.eu/eli/C/2025/3602/oj" w:history="1">
        <w:r w:rsidRPr="009616F8">
          <w:rPr>
            <w:rStyle w:val="Hyperlink"/>
            <w:sz w:val="24"/>
            <w:lang w:val="da-DK"/>
          </w:rPr>
          <w:t>http://data.europa.eu/eli/C/</w:t>
        </w:r>
        <w:r w:rsidR="00CA30C3" w:rsidRPr="00CA30C3">
          <w:rPr>
            <w:rStyle w:val="Hyperlink"/>
            <w:sz w:val="24"/>
            <w:lang w:val="da-DK"/>
          </w:rPr>
          <w:t>2025</w:t>
        </w:r>
        <w:r w:rsidRPr="009616F8">
          <w:rPr>
            <w:rStyle w:val="Hyperlink"/>
            <w:sz w:val="24"/>
            <w:lang w:val="da-DK"/>
          </w:rPr>
          <w:t>/</w:t>
        </w:r>
        <w:r w:rsidR="00CA30C3" w:rsidRPr="00CA30C3">
          <w:rPr>
            <w:rStyle w:val="Hyperlink"/>
            <w:sz w:val="24"/>
            <w:lang w:val="da-DK"/>
          </w:rPr>
          <w:t>3602</w:t>
        </w:r>
        <w:r w:rsidRPr="009616F8">
          <w:rPr>
            <w:rStyle w:val="Hyperlink"/>
            <w:sz w:val="24"/>
            <w:lang w:val="da-DK"/>
          </w:rPr>
          <w:t>/oj</w:t>
        </w:r>
      </w:hyperlink>
      <w:r w:rsidRPr="009616F8">
        <w:rPr>
          <w:sz w:val="24"/>
          <w:lang w:val="da-DK"/>
        </w:rPr>
        <w:t>.</w:t>
      </w:r>
    </w:p>
  </w:footnote>
  <w:footnote w:id="11">
    <w:p w14:paraId="3274FE0E" w14:textId="37A0E787" w:rsidR="00B57FAA" w:rsidRPr="009616F8" w:rsidRDefault="00B57FAA" w:rsidP="009616F8">
      <w:pPr>
        <w:pStyle w:val="FootnoteText"/>
        <w:ind w:left="567" w:hanging="567"/>
        <w:rPr>
          <w:sz w:val="24"/>
          <w:lang w:val="da-DK"/>
        </w:rPr>
      </w:pPr>
      <w:r>
        <w:rPr>
          <w:rStyle w:val="FootnoteReference"/>
        </w:rPr>
        <w:footnoteRef/>
      </w:r>
      <w:r w:rsidRPr="009616F8">
        <w:rPr>
          <w:sz w:val="24"/>
          <w:lang w:val="da-DK"/>
        </w:rPr>
        <w:t xml:space="preserve"> </w:t>
      </w:r>
      <w:r w:rsidRPr="009616F8">
        <w:rPr>
          <w:sz w:val="24"/>
          <w:lang w:val="da-DK"/>
        </w:rPr>
        <w:tab/>
        <w:t xml:space="preserve">EUT L, </w:t>
      </w:r>
      <w:r w:rsidR="00CA30C3" w:rsidRPr="00CA30C3">
        <w:rPr>
          <w:sz w:val="24"/>
          <w:lang w:val="da-DK"/>
        </w:rPr>
        <w:t>2025</w:t>
      </w:r>
      <w:r w:rsidRPr="009616F8">
        <w:rPr>
          <w:sz w:val="24"/>
          <w:lang w:val="da-DK"/>
        </w:rPr>
        <w:t>/</w:t>
      </w:r>
      <w:r w:rsidR="00CA30C3" w:rsidRPr="00CA30C3">
        <w:rPr>
          <w:sz w:val="24"/>
          <w:lang w:val="da-DK"/>
        </w:rPr>
        <w:t>2630</w:t>
      </w:r>
      <w:r w:rsidRPr="009616F8">
        <w:rPr>
          <w:sz w:val="24"/>
          <w:lang w:val="da-DK"/>
        </w:rPr>
        <w:t xml:space="preserve">, </w:t>
      </w:r>
      <w:r w:rsidR="00CA30C3" w:rsidRPr="00CA30C3">
        <w:rPr>
          <w:sz w:val="24"/>
          <w:lang w:val="da-DK"/>
        </w:rPr>
        <w:t>19</w:t>
      </w:r>
      <w:r w:rsidRPr="009616F8">
        <w:rPr>
          <w:sz w:val="24"/>
          <w:lang w:val="da-DK"/>
        </w:rPr>
        <w:t>.</w:t>
      </w:r>
      <w:r w:rsidR="00CA30C3" w:rsidRPr="00CA30C3">
        <w:rPr>
          <w:sz w:val="24"/>
          <w:lang w:val="da-DK"/>
        </w:rPr>
        <w:t>12</w:t>
      </w:r>
      <w:r w:rsidRPr="009616F8">
        <w:rPr>
          <w:sz w:val="24"/>
          <w:lang w:val="da-DK"/>
        </w:rPr>
        <w:t>.</w:t>
      </w:r>
      <w:r w:rsidR="00CA30C3" w:rsidRPr="00CA30C3">
        <w:rPr>
          <w:sz w:val="24"/>
          <w:lang w:val="da-DK"/>
        </w:rPr>
        <w:t>2025</w:t>
      </w:r>
      <w:r w:rsidRPr="009616F8">
        <w:rPr>
          <w:sz w:val="24"/>
          <w:lang w:val="da-DK"/>
        </w:rPr>
        <w:t xml:space="preserve">, ELI: </w:t>
      </w:r>
      <w:hyperlink r:id="rId9" w:tgtFrame="http://data.europa.eu/eli/dec/2025/2630/oj" w:history="1">
        <w:r w:rsidRPr="009616F8">
          <w:rPr>
            <w:rStyle w:val="Hyperlink"/>
            <w:sz w:val="24"/>
            <w:lang w:val="da-DK"/>
          </w:rPr>
          <w:t>http://data.europa.eu/eli/dec/</w:t>
        </w:r>
        <w:r w:rsidR="00CA30C3" w:rsidRPr="00CA30C3">
          <w:rPr>
            <w:rStyle w:val="Hyperlink"/>
            <w:sz w:val="24"/>
            <w:lang w:val="da-DK"/>
          </w:rPr>
          <w:t>2025</w:t>
        </w:r>
        <w:r w:rsidRPr="009616F8">
          <w:rPr>
            <w:rStyle w:val="Hyperlink"/>
            <w:sz w:val="24"/>
            <w:lang w:val="da-DK"/>
          </w:rPr>
          <w:t>/</w:t>
        </w:r>
        <w:r w:rsidR="00CA30C3" w:rsidRPr="00CA30C3">
          <w:rPr>
            <w:rStyle w:val="Hyperlink"/>
            <w:sz w:val="24"/>
            <w:lang w:val="da-DK"/>
          </w:rPr>
          <w:t>2630</w:t>
        </w:r>
        <w:r w:rsidRPr="009616F8">
          <w:rPr>
            <w:rStyle w:val="Hyperlink"/>
            <w:sz w:val="24"/>
            <w:lang w:val="da-DK"/>
          </w:rPr>
          <w:t>/oj</w:t>
        </w:r>
      </w:hyperlink>
      <w:r w:rsidRPr="009616F8">
        <w:rPr>
          <w:sz w:val="24"/>
          <w:lang w:val="da-DK"/>
        </w:rPr>
        <w:t>.</w:t>
      </w:r>
    </w:p>
  </w:footnote>
  <w:footnote w:id="12">
    <w:p w14:paraId="38125525" w14:textId="632C3743" w:rsidR="00B57FAA" w:rsidRPr="009616F8" w:rsidRDefault="00B57FAA" w:rsidP="009616F8">
      <w:pPr>
        <w:pStyle w:val="FootnoteText"/>
        <w:ind w:left="567" w:hanging="567"/>
        <w:rPr>
          <w:sz w:val="24"/>
          <w:lang w:val="da-DK"/>
        </w:rPr>
      </w:pPr>
      <w:r>
        <w:rPr>
          <w:rStyle w:val="FootnoteReference"/>
        </w:rPr>
        <w:footnoteRef/>
      </w:r>
      <w:r w:rsidRPr="009616F8">
        <w:rPr>
          <w:sz w:val="24"/>
          <w:lang w:val="da-DK"/>
        </w:rPr>
        <w:t xml:space="preserve"> </w:t>
      </w:r>
      <w:r w:rsidRPr="009616F8">
        <w:rPr>
          <w:sz w:val="24"/>
          <w:lang w:val="da-DK"/>
        </w:rPr>
        <w:tab/>
        <w:t>Kommissionens delegerede forordning (EU) </w:t>
      </w:r>
      <w:r w:rsidR="00CA30C3" w:rsidRPr="00CA30C3">
        <w:rPr>
          <w:sz w:val="24"/>
          <w:lang w:val="da-DK"/>
        </w:rPr>
        <w:t>2021</w:t>
      </w:r>
      <w:r w:rsidRPr="009616F8">
        <w:rPr>
          <w:sz w:val="24"/>
          <w:lang w:val="da-DK"/>
        </w:rPr>
        <w:t>/</w:t>
      </w:r>
      <w:r w:rsidR="00CA30C3" w:rsidRPr="00CA30C3">
        <w:rPr>
          <w:sz w:val="24"/>
          <w:lang w:val="da-DK"/>
        </w:rPr>
        <w:t>2139</w:t>
      </w:r>
      <w:r w:rsidRPr="009616F8">
        <w:rPr>
          <w:sz w:val="24"/>
          <w:lang w:val="da-DK"/>
        </w:rPr>
        <w:t xml:space="preserve"> af </w:t>
      </w:r>
      <w:r w:rsidR="00CA30C3" w:rsidRPr="00CA30C3">
        <w:rPr>
          <w:sz w:val="24"/>
          <w:lang w:val="da-DK"/>
        </w:rPr>
        <w:t>4</w:t>
      </w:r>
      <w:r w:rsidRPr="009616F8">
        <w:rPr>
          <w:sz w:val="24"/>
          <w:lang w:val="da-DK"/>
        </w:rPr>
        <w:t xml:space="preserve">. juni </w:t>
      </w:r>
      <w:r w:rsidR="00CA30C3" w:rsidRPr="00CA30C3">
        <w:rPr>
          <w:sz w:val="24"/>
          <w:lang w:val="da-DK"/>
        </w:rPr>
        <w:t>2021</w:t>
      </w:r>
      <w:r w:rsidRPr="009616F8">
        <w:rPr>
          <w:sz w:val="24"/>
          <w:lang w:val="da-DK"/>
        </w:rPr>
        <w:t xml:space="preserve"> om supplerende regler til Europa-Parlamentets og Rådets forordning (EU) </w:t>
      </w:r>
      <w:r w:rsidR="00CA30C3" w:rsidRPr="00CA30C3">
        <w:rPr>
          <w:sz w:val="24"/>
          <w:lang w:val="da-DK"/>
        </w:rPr>
        <w:t>2020</w:t>
      </w:r>
      <w:r w:rsidRPr="009616F8">
        <w:rPr>
          <w:sz w:val="24"/>
          <w:lang w:val="da-DK"/>
        </w:rPr>
        <w:t>/</w:t>
      </w:r>
      <w:r w:rsidR="00CA30C3" w:rsidRPr="00CA30C3">
        <w:rPr>
          <w:sz w:val="24"/>
          <w:lang w:val="da-DK"/>
        </w:rPr>
        <w:t>852</w:t>
      </w:r>
      <w:r w:rsidRPr="009616F8">
        <w:rPr>
          <w:sz w:val="24"/>
          <w:lang w:val="da-DK"/>
        </w:rPr>
        <w:t xml:space="preserve"> for så vidt angår fastsættelse af de tekniske screeningskriterier til bestemmelse af de betingelser, hvorunder en økonomisk aktivitet kvalificeres som bidragende væsentligt til </w:t>
      </w:r>
      <w:proofErr w:type="spellStart"/>
      <w:r w:rsidRPr="009616F8">
        <w:rPr>
          <w:sz w:val="24"/>
          <w:lang w:val="da-DK"/>
        </w:rPr>
        <w:t>modvirkning</w:t>
      </w:r>
      <w:proofErr w:type="spellEnd"/>
      <w:r w:rsidRPr="009616F8">
        <w:rPr>
          <w:sz w:val="24"/>
          <w:lang w:val="da-DK"/>
        </w:rPr>
        <w:t xml:space="preserve"> af klimaændringer eller tilpasning til klimaændringer, og til fastlæggelse af, hvorvidt den pågældende økonomiske aktivitet i væsentlig grad skader nogle af de andre miljømål (EUT L </w:t>
      </w:r>
      <w:r w:rsidR="00CA30C3" w:rsidRPr="00CA30C3">
        <w:rPr>
          <w:sz w:val="24"/>
          <w:lang w:val="da-DK"/>
        </w:rPr>
        <w:t>442</w:t>
      </w:r>
      <w:r w:rsidRPr="009616F8">
        <w:rPr>
          <w:sz w:val="24"/>
          <w:lang w:val="da-DK"/>
        </w:rPr>
        <w:t xml:space="preserve"> af </w:t>
      </w:r>
      <w:r w:rsidR="00CA30C3" w:rsidRPr="00CA30C3">
        <w:rPr>
          <w:sz w:val="24"/>
          <w:lang w:val="da-DK"/>
        </w:rPr>
        <w:t>9</w:t>
      </w:r>
      <w:r w:rsidRPr="009616F8">
        <w:rPr>
          <w:sz w:val="24"/>
          <w:lang w:val="da-DK"/>
        </w:rPr>
        <w:t>.</w:t>
      </w:r>
      <w:r w:rsidR="00CA30C3" w:rsidRPr="00CA30C3">
        <w:rPr>
          <w:sz w:val="24"/>
          <w:lang w:val="da-DK"/>
        </w:rPr>
        <w:t>12</w:t>
      </w:r>
      <w:r w:rsidRPr="009616F8">
        <w:rPr>
          <w:sz w:val="24"/>
          <w:lang w:val="da-DK"/>
        </w:rPr>
        <w:t>.</w:t>
      </w:r>
      <w:r w:rsidR="00CA30C3" w:rsidRPr="00CA30C3">
        <w:rPr>
          <w:sz w:val="24"/>
          <w:lang w:val="da-DK"/>
        </w:rPr>
        <w:t>2021</w:t>
      </w:r>
      <w:r w:rsidRPr="009616F8">
        <w:rPr>
          <w:sz w:val="24"/>
          <w:lang w:val="da-DK"/>
        </w:rPr>
        <w:t>, s. </w:t>
      </w:r>
      <w:r w:rsidR="00CA30C3" w:rsidRPr="00CA30C3">
        <w:rPr>
          <w:sz w:val="24"/>
          <w:lang w:val="da-DK"/>
        </w:rPr>
        <w:t>1</w:t>
      </w:r>
      <w:r w:rsidRPr="009616F8">
        <w:rPr>
          <w:sz w:val="24"/>
          <w:lang w:val="da-DK"/>
        </w:rPr>
        <w:t xml:space="preserve">, ELI: </w:t>
      </w:r>
      <w:hyperlink r:id="rId10" w:tgtFrame="http://data.europa.eu/eli/reg_del/2021/2139/oj" w:history="1">
        <w:r w:rsidRPr="009616F8">
          <w:rPr>
            <w:rStyle w:val="Hyperlink"/>
            <w:sz w:val="24"/>
            <w:lang w:val="da-DK"/>
          </w:rPr>
          <w:t>http://data.europa.eu/eli/reg_del/</w:t>
        </w:r>
        <w:r w:rsidR="00CA30C3" w:rsidRPr="00CA30C3">
          <w:rPr>
            <w:rStyle w:val="Hyperlink"/>
            <w:sz w:val="24"/>
            <w:lang w:val="da-DK"/>
          </w:rPr>
          <w:t>2021</w:t>
        </w:r>
        <w:r w:rsidRPr="009616F8">
          <w:rPr>
            <w:rStyle w:val="Hyperlink"/>
            <w:sz w:val="24"/>
            <w:lang w:val="da-DK"/>
          </w:rPr>
          <w:t>/</w:t>
        </w:r>
        <w:r w:rsidR="00CA30C3" w:rsidRPr="00CA30C3">
          <w:rPr>
            <w:rStyle w:val="Hyperlink"/>
            <w:sz w:val="24"/>
            <w:lang w:val="da-DK"/>
          </w:rPr>
          <w:t>2139</w:t>
        </w:r>
        <w:r w:rsidRPr="009616F8">
          <w:rPr>
            <w:rStyle w:val="Hyperlink"/>
            <w:sz w:val="24"/>
            <w:lang w:val="da-DK"/>
          </w:rPr>
          <w:t>/oj).</w:t>
        </w:r>
      </w:hyperlink>
    </w:p>
  </w:footnote>
  <w:footnote w:id="13">
    <w:p w14:paraId="7301758C" w14:textId="4F89F614" w:rsidR="00B57FAA" w:rsidRPr="009616F8" w:rsidRDefault="00B57FAA" w:rsidP="009616F8">
      <w:pPr>
        <w:pStyle w:val="FootnoteText"/>
        <w:ind w:left="567" w:hanging="567"/>
        <w:rPr>
          <w:sz w:val="24"/>
          <w:lang w:val="da-DK"/>
        </w:rPr>
      </w:pPr>
      <w:r>
        <w:rPr>
          <w:rStyle w:val="FootnoteReference"/>
        </w:rPr>
        <w:footnoteRef/>
      </w:r>
      <w:r w:rsidRPr="009616F8">
        <w:rPr>
          <w:sz w:val="24"/>
          <w:lang w:val="da-DK"/>
        </w:rPr>
        <w:t xml:space="preserve"> </w:t>
      </w:r>
      <w:r w:rsidRPr="009616F8">
        <w:rPr>
          <w:sz w:val="24"/>
          <w:lang w:val="da-DK"/>
        </w:rPr>
        <w:tab/>
        <w:t>Kommissionens delegerede forordning (EU) </w:t>
      </w:r>
      <w:r w:rsidR="00CA30C3" w:rsidRPr="00CA30C3">
        <w:rPr>
          <w:sz w:val="24"/>
          <w:lang w:val="da-DK"/>
        </w:rPr>
        <w:t>2022</w:t>
      </w:r>
      <w:r w:rsidRPr="009616F8">
        <w:rPr>
          <w:sz w:val="24"/>
          <w:lang w:val="da-DK"/>
        </w:rPr>
        <w:t>/</w:t>
      </w:r>
      <w:r w:rsidR="00CA30C3" w:rsidRPr="00CA30C3">
        <w:rPr>
          <w:sz w:val="24"/>
          <w:lang w:val="da-DK"/>
        </w:rPr>
        <w:t>1214</w:t>
      </w:r>
      <w:r w:rsidRPr="009616F8">
        <w:rPr>
          <w:sz w:val="24"/>
          <w:lang w:val="da-DK"/>
        </w:rPr>
        <w:t xml:space="preserve"> af </w:t>
      </w:r>
      <w:r w:rsidR="00CA30C3" w:rsidRPr="00CA30C3">
        <w:rPr>
          <w:sz w:val="24"/>
          <w:lang w:val="da-DK"/>
        </w:rPr>
        <w:t>9</w:t>
      </w:r>
      <w:r w:rsidRPr="009616F8">
        <w:rPr>
          <w:sz w:val="24"/>
          <w:lang w:val="da-DK"/>
        </w:rPr>
        <w:t xml:space="preserve">. marts </w:t>
      </w:r>
      <w:r w:rsidR="00CA30C3" w:rsidRPr="00CA30C3">
        <w:rPr>
          <w:sz w:val="24"/>
          <w:lang w:val="da-DK"/>
        </w:rPr>
        <w:t>2022</w:t>
      </w:r>
      <w:r w:rsidRPr="009616F8">
        <w:rPr>
          <w:sz w:val="24"/>
          <w:lang w:val="da-DK"/>
        </w:rPr>
        <w:t xml:space="preserve"> om ændring af delegeret forordning (EU) </w:t>
      </w:r>
      <w:r w:rsidR="00CA30C3" w:rsidRPr="00CA30C3">
        <w:rPr>
          <w:sz w:val="24"/>
          <w:lang w:val="da-DK"/>
        </w:rPr>
        <w:t>2021</w:t>
      </w:r>
      <w:r w:rsidRPr="009616F8">
        <w:rPr>
          <w:sz w:val="24"/>
          <w:lang w:val="da-DK"/>
        </w:rPr>
        <w:t>/</w:t>
      </w:r>
      <w:r w:rsidR="00CA30C3" w:rsidRPr="00CA30C3">
        <w:rPr>
          <w:sz w:val="24"/>
          <w:lang w:val="da-DK"/>
        </w:rPr>
        <w:t>2139</w:t>
      </w:r>
      <w:r w:rsidRPr="009616F8">
        <w:rPr>
          <w:sz w:val="24"/>
          <w:lang w:val="da-DK"/>
        </w:rPr>
        <w:t xml:space="preserve"> for så vidt angår økonomiske aktiviteter i visse energisektorer og delegeret forordning (EU) </w:t>
      </w:r>
      <w:r w:rsidR="00CA30C3" w:rsidRPr="00CA30C3">
        <w:rPr>
          <w:sz w:val="24"/>
          <w:lang w:val="da-DK"/>
        </w:rPr>
        <w:t>2021</w:t>
      </w:r>
      <w:r w:rsidRPr="009616F8">
        <w:rPr>
          <w:sz w:val="24"/>
          <w:lang w:val="da-DK"/>
        </w:rPr>
        <w:t>/</w:t>
      </w:r>
      <w:r w:rsidR="00CA30C3" w:rsidRPr="00CA30C3">
        <w:rPr>
          <w:sz w:val="24"/>
          <w:lang w:val="da-DK"/>
        </w:rPr>
        <w:t>2178</w:t>
      </w:r>
      <w:r w:rsidRPr="009616F8">
        <w:rPr>
          <w:sz w:val="24"/>
          <w:lang w:val="da-DK"/>
        </w:rPr>
        <w:t xml:space="preserve"> for så vidt angår offentliggørelse af specifikke oplysninger vedrørende disse økonomiske aktiviteter (EUT L </w:t>
      </w:r>
      <w:r w:rsidR="00CA30C3" w:rsidRPr="00CA30C3">
        <w:rPr>
          <w:sz w:val="24"/>
          <w:lang w:val="da-DK"/>
        </w:rPr>
        <w:t>188</w:t>
      </w:r>
      <w:r w:rsidRPr="009616F8">
        <w:rPr>
          <w:sz w:val="24"/>
          <w:lang w:val="da-DK"/>
        </w:rPr>
        <w:t xml:space="preserve"> af </w:t>
      </w:r>
      <w:r w:rsidR="00CA30C3" w:rsidRPr="00CA30C3">
        <w:rPr>
          <w:sz w:val="24"/>
          <w:lang w:val="da-DK"/>
        </w:rPr>
        <w:t>15</w:t>
      </w:r>
      <w:r w:rsidRPr="009616F8">
        <w:rPr>
          <w:sz w:val="24"/>
          <w:lang w:val="da-DK"/>
        </w:rPr>
        <w:t>.</w:t>
      </w:r>
      <w:r w:rsidR="00CA30C3" w:rsidRPr="00CA30C3">
        <w:rPr>
          <w:sz w:val="24"/>
          <w:lang w:val="da-DK"/>
        </w:rPr>
        <w:t>7</w:t>
      </w:r>
      <w:r w:rsidRPr="009616F8">
        <w:rPr>
          <w:sz w:val="24"/>
          <w:lang w:val="da-DK"/>
        </w:rPr>
        <w:t>.</w:t>
      </w:r>
      <w:r w:rsidR="00CA30C3" w:rsidRPr="00CA30C3">
        <w:rPr>
          <w:sz w:val="24"/>
          <w:lang w:val="da-DK"/>
        </w:rPr>
        <w:t>2022</w:t>
      </w:r>
      <w:r w:rsidRPr="009616F8">
        <w:rPr>
          <w:sz w:val="24"/>
          <w:lang w:val="da-DK"/>
        </w:rPr>
        <w:t>, s. </w:t>
      </w:r>
      <w:r w:rsidR="00CA30C3" w:rsidRPr="00CA30C3">
        <w:rPr>
          <w:sz w:val="24"/>
          <w:lang w:val="da-DK"/>
        </w:rPr>
        <w:t>1</w:t>
      </w:r>
      <w:r w:rsidRPr="009616F8">
        <w:rPr>
          <w:sz w:val="24"/>
          <w:lang w:val="da-DK"/>
        </w:rPr>
        <w:t xml:space="preserve">, ELI: </w:t>
      </w:r>
      <w:hyperlink r:id="rId11" w:tgtFrame="http://data.europa.eu/eli/reg_del/2022/1214/oj" w:history="1">
        <w:r w:rsidRPr="009616F8">
          <w:rPr>
            <w:rStyle w:val="Hyperlink"/>
            <w:sz w:val="24"/>
            <w:lang w:val="da-DK"/>
          </w:rPr>
          <w:t>http://data.europa.eu/eli/reg_del/</w:t>
        </w:r>
        <w:r w:rsidR="00CA30C3" w:rsidRPr="00CA30C3">
          <w:rPr>
            <w:rStyle w:val="Hyperlink"/>
            <w:sz w:val="24"/>
            <w:lang w:val="da-DK"/>
          </w:rPr>
          <w:t>2022</w:t>
        </w:r>
        <w:r w:rsidRPr="009616F8">
          <w:rPr>
            <w:rStyle w:val="Hyperlink"/>
            <w:sz w:val="24"/>
            <w:lang w:val="da-DK"/>
          </w:rPr>
          <w:t>/</w:t>
        </w:r>
        <w:r w:rsidR="00CA30C3" w:rsidRPr="00CA30C3">
          <w:rPr>
            <w:rStyle w:val="Hyperlink"/>
            <w:sz w:val="24"/>
            <w:lang w:val="da-DK"/>
          </w:rPr>
          <w:t>1214</w:t>
        </w:r>
        <w:r w:rsidRPr="009616F8">
          <w:rPr>
            <w:rStyle w:val="Hyperlink"/>
            <w:sz w:val="24"/>
            <w:lang w:val="da-DK"/>
          </w:rPr>
          <w:t>/oj).</w:t>
        </w:r>
      </w:hyperlink>
    </w:p>
  </w:footnote>
  <w:footnote w:id="14">
    <w:p w14:paraId="5B195000" w14:textId="0AD57458" w:rsidR="00B57FAA" w:rsidRPr="009616F8" w:rsidRDefault="00B57FAA" w:rsidP="009616F8">
      <w:pPr>
        <w:pStyle w:val="FootnoteText"/>
        <w:ind w:left="567" w:hanging="567"/>
        <w:rPr>
          <w:sz w:val="24"/>
          <w:lang w:val="da-DK"/>
        </w:rPr>
      </w:pPr>
      <w:r>
        <w:rPr>
          <w:rStyle w:val="FootnoteReference"/>
        </w:rPr>
        <w:footnoteRef/>
      </w:r>
      <w:r w:rsidRPr="009616F8">
        <w:rPr>
          <w:sz w:val="24"/>
          <w:lang w:val="da-DK"/>
        </w:rPr>
        <w:t xml:space="preserve"> </w:t>
      </w:r>
      <w:r w:rsidRPr="009616F8">
        <w:rPr>
          <w:sz w:val="24"/>
          <w:lang w:val="da-DK"/>
        </w:rPr>
        <w:tab/>
        <w:t xml:space="preserve">Europa-Parlamentets og Rådets forordning (EU) </w:t>
      </w:r>
      <w:r w:rsidR="00CA30C3" w:rsidRPr="00CA30C3">
        <w:rPr>
          <w:sz w:val="24"/>
          <w:lang w:val="da-DK"/>
        </w:rPr>
        <w:t>2024</w:t>
      </w:r>
      <w:r w:rsidRPr="009616F8">
        <w:rPr>
          <w:sz w:val="24"/>
          <w:lang w:val="da-DK"/>
        </w:rPr>
        <w:t>/</w:t>
      </w:r>
      <w:r w:rsidR="00CA30C3" w:rsidRPr="00CA30C3">
        <w:rPr>
          <w:sz w:val="24"/>
          <w:lang w:val="da-DK"/>
        </w:rPr>
        <w:t>1252</w:t>
      </w:r>
      <w:r w:rsidRPr="009616F8">
        <w:rPr>
          <w:sz w:val="24"/>
          <w:lang w:val="da-DK"/>
        </w:rPr>
        <w:t xml:space="preserve"> af </w:t>
      </w:r>
      <w:r w:rsidR="00CA30C3" w:rsidRPr="00CA30C3">
        <w:rPr>
          <w:sz w:val="24"/>
          <w:lang w:val="da-DK"/>
        </w:rPr>
        <w:t>11</w:t>
      </w:r>
      <w:r w:rsidRPr="009616F8">
        <w:rPr>
          <w:sz w:val="24"/>
          <w:lang w:val="da-DK"/>
        </w:rPr>
        <w:t xml:space="preserve">. april </w:t>
      </w:r>
      <w:r w:rsidR="00CA30C3" w:rsidRPr="00CA30C3">
        <w:rPr>
          <w:sz w:val="24"/>
          <w:lang w:val="da-DK"/>
        </w:rPr>
        <w:t>2024</w:t>
      </w:r>
      <w:r w:rsidRPr="009616F8">
        <w:rPr>
          <w:sz w:val="24"/>
          <w:lang w:val="da-DK"/>
        </w:rPr>
        <w:t xml:space="preserve"> om fastlæggelse af en ramme for at sikre en sikker og bæredygtig forsyning med kritiske råstoffer og om ændring af forordning (EU) nr. </w:t>
      </w:r>
      <w:r w:rsidR="00CA30C3" w:rsidRPr="00CA30C3">
        <w:rPr>
          <w:sz w:val="24"/>
          <w:lang w:val="da-DK"/>
        </w:rPr>
        <w:t>168</w:t>
      </w:r>
      <w:r w:rsidRPr="009616F8">
        <w:rPr>
          <w:sz w:val="24"/>
          <w:lang w:val="da-DK"/>
        </w:rPr>
        <w:t>/</w:t>
      </w:r>
      <w:r w:rsidR="00CA30C3" w:rsidRPr="00CA30C3">
        <w:rPr>
          <w:sz w:val="24"/>
          <w:lang w:val="da-DK"/>
        </w:rPr>
        <w:t>2013</w:t>
      </w:r>
      <w:r w:rsidRPr="009616F8">
        <w:rPr>
          <w:sz w:val="24"/>
          <w:lang w:val="da-DK"/>
        </w:rPr>
        <w:t xml:space="preserve">, (EU) </w:t>
      </w:r>
      <w:r w:rsidR="00CA30C3" w:rsidRPr="00CA30C3">
        <w:rPr>
          <w:sz w:val="24"/>
          <w:lang w:val="da-DK"/>
        </w:rPr>
        <w:t>2018</w:t>
      </w:r>
      <w:r w:rsidRPr="009616F8">
        <w:rPr>
          <w:sz w:val="24"/>
          <w:lang w:val="da-DK"/>
        </w:rPr>
        <w:t>/</w:t>
      </w:r>
      <w:r w:rsidR="00CA30C3" w:rsidRPr="00CA30C3">
        <w:rPr>
          <w:sz w:val="24"/>
          <w:lang w:val="da-DK"/>
        </w:rPr>
        <w:t>858</w:t>
      </w:r>
      <w:r w:rsidRPr="009616F8">
        <w:rPr>
          <w:sz w:val="24"/>
          <w:lang w:val="da-DK"/>
        </w:rPr>
        <w:t xml:space="preserve">, (EU) </w:t>
      </w:r>
      <w:r w:rsidR="00CA30C3" w:rsidRPr="00CA30C3">
        <w:rPr>
          <w:sz w:val="24"/>
          <w:lang w:val="da-DK"/>
        </w:rPr>
        <w:t>2018</w:t>
      </w:r>
      <w:r w:rsidRPr="009616F8">
        <w:rPr>
          <w:sz w:val="24"/>
          <w:lang w:val="da-DK"/>
        </w:rPr>
        <w:t>/</w:t>
      </w:r>
      <w:r w:rsidR="00CA30C3" w:rsidRPr="00CA30C3">
        <w:rPr>
          <w:sz w:val="24"/>
          <w:lang w:val="da-DK"/>
        </w:rPr>
        <w:t>1724</w:t>
      </w:r>
      <w:r w:rsidRPr="009616F8">
        <w:rPr>
          <w:sz w:val="24"/>
          <w:lang w:val="da-DK"/>
        </w:rPr>
        <w:t xml:space="preserve"> og (EU) </w:t>
      </w:r>
      <w:r w:rsidR="00CA30C3" w:rsidRPr="00CA30C3">
        <w:rPr>
          <w:sz w:val="24"/>
          <w:lang w:val="da-DK"/>
        </w:rPr>
        <w:t>2019</w:t>
      </w:r>
      <w:r w:rsidRPr="009616F8">
        <w:rPr>
          <w:sz w:val="24"/>
          <w:lang w:val="da-DK"/>
        </w:rPr>
        <w:t>/</w:t>
      </w:r>
      <w:r w:rsidR="00CA30C3" w:rsidRPr="00CA30C3">
        <w:rPr>
          <w:sz w:val="24"/>
          <w:lang w:val="da-DK"/>
        </w:rPr>
        <w:t>1020</w:t>
      </w:r>
      <w:r w:rsidRPr="009616F8">
        <w:rPr>
          <w:sz w:val="24"/>
          <w:lang w:val="da-DK"/>
        </w:rPr>
        <w:t xml:space="preserve"> (EUT L, </w:t>
      </w:r>
      <w:r w:rsidR="00CA30C3" w:rsidRPr="00CA30C3">
        <w:rPr>
          <w:sz w:val="24"/>
          <w:lang w:val="da-DK"/>
        </w:rPr>
        <w:t>2024</w:t>
      </w:r>
      <w:r w:rsidRPr="009616F8">
        <w:rPr>
          <w:sz w:val="24"/>
          <w:lang w:val="da-DK"/>
        </w:rPr>
        <w:t>/</w:t>
      </w:r>
      <w:r w:rsidR="00CA30C3" w:rsidRPr="00CA30C3">
        <w:rPr>
          <w:sz w:val="24"/>
          <w:lang w:val="da-DK"/>
        </w:rPr>
        <w:t>1252</w:t>
      </w:r>
      <w:r w:rsidRPr="009616F8">
        <w:rPr>
          <w:sz w:val="24"/>
          <w:lang w:val="da-DK"/>
        </w:rPr>
        <w:t xml:space="preserve">, </w:t>
      </w:r>
      <w:r w:rsidR="00CA30C3" w:rsidRPr="00CA30C3">
        <w:rPr>
          <w:sz w:val="24"/>
          <w:lang w:val="da-DK"/>
        </w:rPr>
        <w:t>3</w:t>
      </w:r>
      <w:r w:rsidRPr="009616F8">
        <w:rPr>
          <w:sz w:val="24"/>
          <w:lang w:val="da-DK"/>
        </w:rPr>
        <w:t>.</w:t>
      </w:r>
      <w:r w:rsidR="00CA30C3" w:rsidRPr="00CA30C3">
        <w:rPr>
          <w:sz w:val="24"/>
          <w:lang w:val="da-DK"/>
        </w:rPr>
        <w:t>5</w:t>
      </w:r>
      <w:r w:rsidRPr="009616F8">
        <w:rPr>
          <w:sz w:val="24"/>
          <w:lang w:val="da-DK"/>
        </w:rPr>
        <w:t>.</w:t>
      </w:r>
      <w:r w:rsidR="00CA30C3" w:rsidRPr="00CA30C3">
        <w:rPr>
          <w:sz w:val="24"/>
          <w:lang w:val="da-DK"/>
        </w:rPr>
        <w:t>2024</w:t>
      </w:r>
      <w:r w:rsidRPr="009616F8">
        <w:rPr>
          <w:sz w:val="24"/>
          <w:lang w:val="da-DK"/>
        </w:rPr>
        <w:t xml:space="preserve">, ELI: </w:t>
      </w:r>
      <w:hyperlink r:id="rId12" w:tgtFrame="http://data.europa.eu/eli/reg/2024/1252/oj" w:history="1">
        <w:r w:rsidRPr="009616F8">
          <w:rPr>
            <w:rStyle w:val="Hyperlink"/>
            <w:sz w:val="24"/>
            <w:lang w:val="da-DK"/>
          </w:rPr>
          <w:t>http://data.europa.eu/eli/reg/</w:t>
        </w:r>
        <w:r w:rsidR="00CA30C3" w:rsidRPr="00CA30C3">
          <w:rPr>
            <w:rStyle w:val="Hyperlink"/>
            <w:sz w:val="24"/>
            <w:lang w:val="da-DK"/>
          </w:rPr>
          <w:t>2024</w:t>
        </w:r>
        <w:r w:rsidRPr="009616F8">
          <w:rPr>
            <w:rStyle w:val="Hyperlink"/>
            <w:sz w:val="24"/>
            <w:lang w:val="da-DK"/>
          </w:rPr>
          <w:t>/</w:t>
        </w:r>
        <w:r w:rsidR="00CA30C3" w:rsidRPr="00CA30C3">
          <w:rPr>
            <w:rStyle w:val="Hyperlink"/>
            <w:sz w:val="24"/>
            <w:lang w:val="da-DK"/>
          </w:rPr>
          <w:t>1252</w:t>
        </w:r>
        <w:r w:rsidRPr="009616F8">
          <w:rPr>
            <w:rStyle w:val="Hyperlink"/>
            <w:sz w:val="24"/>
            <w:lang w:val="da-DK"/>
          </w:rPr>
          <w:t>/oj).</w:t>
        </w:r>
      </w:hyperlink>
    </w:p>
  </w:footnote>
  <w:footnote w:id="15">
    <w:p w14:paraId="7B83FD83" w14:textId="64517269" w:rsidR="00B57FAA" w:rsidRPr="009616F8" w:rsidRDefault="00B57FAA" w:rsidP="009616F8">
      <w:pPr>
        <w:pStyle w:val="FootnoteText"/>
        <w:ind w:left="567" w:hanging="567"/>
        <w:rPr>
          <w:sz w:val="24"/>
          <w:lang w:val="da-DK"/>
        </w:rPr>
      </w:pPr>
      <w:r>
        <w:rPr>
          <w:rStyle w:val="FootnoteReference"/>
        </w:rPr>
        <w:footnoteRef/>
      </w:r>
      <w:r w:rsidRPr="009616F8">
        <w:rPr>
          <w:sz w:val="24"/>
          <w:lang w:val="da-DK"/>
        </w:rPr>
        <w:t xml:space="preserve"> </w:t>
      </w:r>
      <w:r w:rsidRPr="009616F8">
        <w:rPr>
          <w:sz w:val="24"/>
          <w:lang w:val="da-DK"/>
        </w:rPr>
        <w:tab/>
        <w:t xml:space="preserve">Rådets afgørelse (EU) </w:t>
      </w:r>
      <w:r w:rsidR="00CA30C3" w:rsidRPr="00CA30C3">
        <w:rPr>
          <w:sz w:val="24"/>
          <w:lang w:val="da-DK"/>
        </w:rPr>
        <w:t>2025</w:t>
      </w:r>
      <w:r w:rsidRPr="009616F8">
        <w:rPr>
          <w:sz w:val="24"/>
          <w:lang w:val="da-DK"/>
        </w:rPr>
        <w:t>/</w:t>
      </w:r>
      <w:r w:rsidR="00CA30C3" w:rsidRPr="00CA30C3">
        <w:rPr>
          <w:sz w:val="24"/>
          <w:lang w:val="da-DK"/>
        </w:rPr>
        <w:t>2376</w:t>
      </w:r>
      <w:r w:rsidRPr="009616F8">
        <w:rPr>
          <w:sz w:val="24"/>
          <w:lang w:val="da-DK"/>
        </w:rPr>
        <w:t xml:space="preserve"> af </w:t>
      </w:r>
      <w:r w:rsidR="00CA30C3" w:rsidRPr="00CA30C3">
        <w:rPr>
          <w:sz w:val="24"/>
          <w:lang w:val="da-DK"/>
        </w:rPr>
        <w:t>4</w:t>
      </w:r>
      <w:r w:rsidRPr="009616F8">
        <w:rPr>
          <w:sz w:val="24"/>
          <w:lang w:val="da-DK"/>
        </w:rPr>
        <w:t xml:space="preserve">. november </w:t>
      </w:r>
      <w:r w:rsidR="00CA30C3" w:rsidRPr="00CA30C3">
        <w:rPr>
          <w:sz w:val="24"/>
          <w:lang w:val="da-DK"/>
        </w:rPr>
        <w:t>2025</w:t>
      </w:r>
      <w:r w:rsidRPr="009616F8">
        <w:rPr>
          <w:sz w:val="24"/>
          <w:lang w:val="da-DK"/>
        </w:rPr>
        <w:t xml:space="preserve"> om undertegnelse på Den Europæiske Unions vegne af aftalen mellem Den Europæiske Union og Det Forenede Kongerige Storbritannien og Nordirland om samarbejde om anvendelsen af deres respektive konkurrencelovgivning (EUT L, </w:t>
      </w:r>
      <w:r w:rsidR="00CA30C3" w:rsidRPr="00CA30C3">
        <w:rPr>
          <w:sz w:val="24"/>
          <w:lang w:val="da-DK"/>
        </w:rPr>
        <w:t>2025</w:t>
      </w:r>
      <w:r w:rsidRPr="009616F8">
        <w:rPr>
          <w:sz w:val="24"/>
          <w:lang w:val="da-DK"/>
        </w:rPr>
        <w:t>/</w:t>
      </w:r>
      <w:r w:rsidR="00CA30C3" w:rsidRPr="00CA30C3">
        <w:rPr>
          <w:sz w:val="24"/>
          <w:lang w:val="da-DK"/>
        </w:rPr>
        <w:t>2376</w:t>
      </w:r>
      <w:r w:rsidRPr="009616F8">
        <w:rPr>
          <w:sz w:val="24"/>
          <w:lang w:val="da-DK"/>
        </w:rPr>
        <w:t xml:space="preserve">, </w:t>
      </w:r>
      <w:r w:rsidR="00CA30C3" w:rsidRPr="00CA30C3">
        <w:rPr>
          <w:sz w:val="24"/>
          <w:lang w:val="da-DK"/>
        </w:rPr>
        <w:t>24</w:t>
      </w:r>
      <w:r w:rsidRPr="009616F8">
        <w:rPr>
          <w:sz w:val="24"/>
          <w:lang w:val="da-DK"/>
        </w:rPr>
        <w:t>.</w:t>
      </w:r>
      <w:r w:rsidR="00CA30C3" w:rsidRPr="00CA30C3">
        <w:rPr>
          <w:sz w:val="24"/>
          <w:lang w:val="da-DK"/>
        </w:rPr>
        <w:t>11</w:t>
      </w:r>
      <w:r w:rsidRPr="009616F8">
        <w:rPr>
          <w:sz w:val="24"/>
          <w:lang w:val="da-DK"/>
        </w:rPr>
        <w:t>.</w:t>
      </w:r>
      <w:r w:rsidR="00CA30C3" w:rsidRPr="00CA30C3">
        <w:rPr>
          <w:sz w:val="24"/>
          <w:lang w:val="da-DK"/>
        </w:rPr>
        <w:t>2025</w:t>
      </w:r>
      <w:r w:rsidRPr="009616F8">
        <w:rPr>
          <w:sz w:val="24"/>
          <w:lang w:val="da-DK"/>
        </w:rPr>
        <w:t xml:space="preserve">, ELI: </w:t>
      </w:r>
      <w:hyperlink r:id="rId13" w:tgtFrame="http://data.europa.eu/eli/dec/2025/2376/oj" w:history="1">
        <w:r w:rsidRPr="009616F8">
          <w:rPr>
            <w:rStyle w:val="Hyperlink"/>
            <w:sz w:val="24"/>
            <w:lang w:val="da-DK"/>
          </w:rPr>
          <w:t>http://data.europa.eu/eli/dec/</w:t>
        </w:r>
        <w:r w:rsidR="00CA30C3" w:rsidRPr="00CA30C3">
          <w:rPr>
            <w:rStyle w:val="Hyperlink"/>
            <w:sz w:val="24"/>
            <w:lang w:val="da-DK"/>
          </w:rPr>
          <w:t>2025</w:t>
        </w:r>
        <w:r w:rsidRPr="009616F8">
          <w:rPr>
            <w:rStyle w:val="Hyperlink"/>
            <w:sz w:val="24"/>
            <w:lang w:val="da-DK"/>
          </w:rPr>
          <w:t>/</w:t>
        </w:r>
        <w:r w:rsidR="00CA30C3" w:rsidRPr="00CA30C3">
          <w:rPr>
            <w:rStyle w:val="Hyperlink"/>
            <w:sz w:val="24"/>
            <w:lang w:val="da-DK"/>
          </w:rPr>
          <w:t>2376</w:t>
        </w:r>
        <w:r w:rsidRPr="009616F8">
          <w:rPr>
            <w:rStyle w:val="Hyperlink"/>
            <w:sz w:val="24"/>
            <w:lang w:val="da-DK"/>
          </w:rPr>
          <w:t>/oj).</w:t>
        </w:r>
      </w:hyperlink>
    </w:p>
  </w:footnote>
  <w:footnote w:id="16">
    <w:p w14:paraId="09D47058" w14:textId="77777777" w:rsidR="00664E87" w:rsidRPr="005C38A5" w:rsidRDefault="00664E87" w:rsidP="00664E87">
      <w:pPr>
        <w:pStyle w:val="FootnoteText"/>
        <w:ind w:left="567" w:hanging="567"/>
        <w:rPr>
          <w:lang w:val="fr-BE"/>
        </w:rPr>
      </w:pPr>
      <w:r>
        <w:rPr>
          <w:rStyle w:val="FootnoteReference"/>
        </w:rPr>
        <w:footnoteRef/>
      </w:r>
      <w:r>
        <w:t xml:space="preserve"> </w:t>
      </w:r>
      <w:r>
        <w:rPr>
          <w:lang w:val="fr-BE"/>
        </w:rPr>
        <w:tab/>
      </w:r>
      <w:hyperlink r:id="rId14" w:history="1">
        <w:r w:rsidRPr="00664E87">
          <w:rPr>
            <w:rStyle w:val="Hyperlink"/>
            <w:lang w:val="fr-BE"/>
          </w:rPr>
          <w:t>https://digital-strategy.ec.europa.eu/en/news/commission-reaches-preliminary-position-amazons-and-microsofts-market-leading-cloud-services-should</w:t>
        </w:r>
      </w:hyperlink>
      <w:r w:rsidRPr="00664E87">
        <w:rPr>
          <w:lang w:val="fr-BE"/>
        </w:rPr>
        <w:t>.</w:t>
      </w:r>
    </w:p>
  </w:footnote>
  <w:footnote w:id="17">
    <w:p w14:paraId="41FDB495" w14:textId="1213BFE6" w:rsidR="00B57FAA" w:rsidRPr="009616F8" w:rsidRDefault="00B57FAA" w:rsidP="009616F8">
      <w:pPr>
        <w:pStyle w:val="FootnoteText"/>
        <w:ind w:left="567" w:hanging="567"/>
        <w:rPr>
          <w:sz w:val="24"/>
          <w:lang w:val="da-DK"/>
        </w:rPr>
      </w:pPr>
      <w:r>
        <w:rPr>
          <w:rStyle w:val="FootnoteReference"/>
        </w:rPr>
        <w:footnoteRef/>
      </w:r>
      <w:r w:rsidRPr="009616F8">
        <w:rPr>
          <w:sz w:val="24"/>
          <w:lang w:val="da-DK"/>
        </w:rPr>
        <w:t xml:space="preserve"> </w:t>
      </w:r>
      <w:r w:rsidRPr="009616F8">
        <w:rPr>
          <w:sz w:val="24"/>
          <w:lang w:val="da-DK"/>
        </w:rPr>
        <w:tab/>
        <w:t>Europa-Kommissionen, "</w:t>
      </w:r>
      <w:proofErr w:type="spellStart"/>
      <w:r w:rsidRPr="009616F8">
        <w:rPr>
          <w:sz w:val="24"/>
          <w:lang w:val="da-DK"/>
        </w:rPr>
        <w:t>Commission</w:t>
      </w:r>
      <w:proofErr w:type="spellEnd"/>
      <w:r w:rsidRPr="009616F8">
        <w:rPr>
          <w:sz w:val="24"/>
          <w:lang w:val="da-DK"/>
        </w:rPr>
        <w:t xml:space="preserve"> </w:t>
      </w:r>
      <w:proofErr w:type="spellStart"/>
      <w:r w:rsidRPr="009616F8">
        <w:rPr>
          <w:sz w:val="24"/>
          <w:lang w:val="da-DK"/>
        </w:rPr>
        <w:t>launches</w:t>
      </w:r>
      <w:proofErr w:type="spellEnd"/>
      <w:r w:rsidRPr="009616F8">
        <w:rPr>
          <w:sz w:val="24"/>
          <w:lang w:val="da-DK"/>
        </w:rPr>
        <w:t xml:space="preserve"> </w:t>
      </w:r>
      <w:proofErr w:type="spellStart"/>
      <w:r w:rsidRPr="009616F8">
        <w:rPr>
          <w:sz w:val="24"/>
          <w:lang w:val="da-DK"/>
        </w:rPr>
        <w:t>market</w:t>
      </w:r>
      <w:proofErr w:type="spellEnd"/>
      <w:r w:rsidRPr="009616F8">
        <w:rPr>
          <w:sz w:val="24"/>
          <w:lang w:val="da-DK"/>
        </w:rPr>
        <w:t xml:space="preserve"> </w:t>
      </w:r>
      <w:proofErr w:type="spellStart"/>
      <w:r w:rsidRPr="009616F8">
        <w:rPr>
          <w:sz w:val="24"/>
          <w:lang w:val="da-DK"/>
        </w:rPr>
        <w:t>investigations</w:t>
      </w:r>
      <w:proofErr w:type="spellEnd"/>
      <w:r w:rsidRPr="009616F8">
        <w:rPr>
          <w:sz w:val="24"/>
          <w:lang w:val="da-DK"/>
        </w:rPr>
        <w:t xml:space="preserve"> on cloud </w:t>
      </w:r>
      <w:proofErr w:type="spellStart"/>
      <w:r w:rsidRPr="009616F8">
        <w:rPr>
          <w:sz w:val="24"/>
          <w:lang w:val="da-DK"/>
        </w:rPr>
        <w:t>computing</w:t>
      </w:r>
      <w:proofErr w:type="spellEnd"/>
      <w:r w:rsidRPr="009616F8">
        <w:rPr>
          <w:sz w:val="24"/>
          <w:lang w:val="da-DK"/>
        </w:rPr>
        <w:t xml:space="preserve"> services under the Digital Markets </w:t>
      </w:r>
      <w:proofErr w:type="spellStart"/>
      <w:r w:rsidRPr="009616F8">
        <w:rPr>
          <w:sz w:val="24"/>
          <w:lang w:val="da-DK"/>
        </w:rPr>
        <w:t>Act</w:t>
      </w:r>
      <w:proofErr w:type="spellEnd"/>
      <w:r w:rsidRPr="009616F8">
        <w:rPr>
          <w:sz w:val="24"/>
          <w:lang w:val="da-DK"/>
        </w:rPr>
        <w:t xml:space="preserve">", Europa-Kommissionens websted, </w:t>
      </w:r>
      <w:r w:rsidR="00CA30C3" w:rsidRPr="00CA30C3">
        <w:rPr>
          <w:sz w:val="24"/>
          <w:lang w:val="da-DK"/>
        </w:rPr>
        <w:t>18</w:t>
      </w:r>
      <w:r w:rsidRPr="009616F8">
        <w:rPr>
          <w:sz w:val="24"/>
          <w:lang w:val="da-DK"/>
        </w:rPr>
        <w:t xml:space="preserve">. november </w:t>
      </w:r>
      <w:r w:rsidR="00CA30C3" w:rsidRPr="00CA30C3">
        <w:rPr>
          <w:sz w:val="24"/>
          <w:lang w:val="da-DK"/>
        </w:rPr>
        <w:t>2025</w:t>
      </w:r>
      <w:r w:rsidRPr="009616F8">
        <w:rPr>
          <w:sz w:val="24"/>
          <w:lang w:val="da-DK"/>
        </w:rPr>
        <w:t>.</w:t>
      </w:r>
    </w:p>
  </w:footnote>
  <w:footnote w:id="18">
    <w:p w14:paraId="504A0412" w14:textId="44B45263" w:rsidR="00B57FAA" w:rsidRPr="009616F8" w:rsidRDefault="00B57FAA" w:rsidP="009616F8">
      <w:pPr>
        <w:pStyle w:val="FootnoteText"/>
        <w:ind w:left="567" w:hanging="567"/>
        <w:rPr>
          <w:sz w:val="24"/>
          <w:lang w:val="da-DK"/>
        </w:rPr>
      </w:pPr>
      <w:r>
        <w:rPr>
          <w:rStyle w:val="FootnoteReference"/>
        </w:rPr>
        <w:footnoteRef/>
      </w:r>
      <w:r w:rsidRPr="009616F8">
        <w:rPr>
          <w:sz w:val="24"/>
          <w:lang w:val="da-DK"/>
        </w:rPr>
        <w:t xml:space="preserve"> </w:t>
      </w:r>
      <w:r w:rsidRPr="009616F8">
        <w:rPr>
          <w:sz w:val="24"/>
          <w:lang w:val="da-DK"/>
        </w:rPr>
        <w:tab/>
        <w:t>Europa-Parlamentets og Rådets direktiv (EU) </w:t>
      </w:r>
      <w:r w:rsidR="00CA30C3" w:rsidRPr="00CA30C3">
        <w:rPr>
          <w:sz w:val="24"/>
          <w:lang w:val="da-DK"/>
        </w:rPr>
        <w:t>2019</w:t>
      </w:r>
      <w:r w:rsidRPr="009616F8">
        <w:rPr>
          <w:sz w:val="24"/>
          <w:lang w:val="da-DK"/>
        </w:rPr>
        <w:t>/</w:t>
      </w:r>
      <w:r w:rsidR="00CA30C3" w:rsidRPr="00CA30C3">
        <w:rPr>
          <w:sz w:val="24"/>
          <w:lang w:val="da-DK"/>
        </w:rPr>
        <w:t>790</w:t>
      </w:r>
      <w:r w:rsidRPr="009616F8">
        <w:rPr>
          <w:sz w:val="24"/>
          <w:lang w:val="da-DK"/>
        </w:rPr>
        <w:t xml:space="preserve"> af </w:t>
      </w:r>
      <w:r w:rsidR="00CA30C3" w:rsidRPr="00CA30C3">
        <w:rPr>
          <w:sz w:val="24"/>
          <w:lang w:val="da-DK"/>
        </w:rPr>
        <w:t>17</w:t>
      </w:r>
      <w:r w:rsidRPr="009616F8">
        <w:rPr>
          <w:sz w:val="24"/>
          <w:lang w:val="da-DK"/>
        </w:rPr>
        <w:t xml:space="preserve">. april </w:t>
      </w:r>
      <w:r w:rsidR="00CA30C3" w:rsidRPr="00CA30C3">
        <w:rPr>
          <w:sz w:val="24"/>
          <w:lang w:val="da-DK"/>
        </w:rPr>
        <w:t>2019</w:t>
      </w:r>
      <w:r w:rsidRPr="009616F8">
        <w:rPr>
          <w:sz w:val="24"/>
          <w:lang w:val="da-DK"/>
        </w:rPr>
        <w:t xml:space="preserve"> om ophavsret og beslægtede rettigheder på det digitale indre marked og om ændring af direktiv </w:t>
      </w:r>
      <w:r w:rsidR="00CA30C3" w:rsidRPr="00CA30C3">
        <w:rPr>
          <w:sz w:val="24"/>
          <w:lang w:val="da-DK"/>
        </w:rPr>
        <w:t>96</w:t>
      </w:r>
      <w:r w:rsidRPr="009616F8">
        <w:rPr>
          <w:sz w:val="24"/>
          <w:lang w:val="da-DK"/>
        </w:rPr>
        <w:t>/</w:t>
      </w:r>
      <w:r w:rsidR="00CA30C3" w:rsidRPr="00CA30C3">
        <w:rPr>
          <w:sz w:val="24"/>
          <w:lang w:val="da-DK"/>
        </w:rPr>
        <w:t>9</w:t>
      </w:r>
      <w:r w:rsidRPr="009616F8">
        <w:rPr>
          <w:sz w:val="24"/>
          <w:lang w:val="da-DK"/>
        </w:rPr>
        <w:t>/EF og </w:t>
      </w:r>
      <w:r w:rsidR="00CA30C3" w:rsidRPr="00CA30C3">
        <w:rPr>
          <w:sz w:val="24"/>
          <w:lang w:val="da-DK"/>
        </w:rPr>
        <w:t>2001</w:t>
      </w:r>
      <w:r w:rsidRPr="009616F8">
        <w:rPr>
          <w:sz w:val="24"/>
          <w:lang w:val="da-DK"/>
        </w:rPr>
        <w:t>/</w:t>
      </w:r>
      <w:r w:rsidR="00CA30C3" w:rsidRPr="00CA30C3">
        <w:rPr>
          <w:sz w:val="24"/>
          <w:lang w:val="da-DK"/>
        </w:rPr>
        <w:t>29</w:t>
      </w:r>
      <w:r w:rsidRPr="009616F8">
        <w:rPr>
          <w:sz w:val="24"/>
          <w:lang w:val="da-DK"/>
        </w:rPr>
        <w:t>/EF (EUT L </w:t>
      </w:r>
      <w:r w:rsidR="00CA30C3" w:rsidRPr="00CA30C3">
        <w:rPr>
          <w:sz w:val="24"/>
          <w:lang w:val="da-DK"/>
        </w:rPr>
        <w:t>130</w:t>
      </w:r>
      <w:r w:rsidRPr="009616F8">
        <w:rPr>
          <w:sz w:val="24"/>
          <w:lang w:val="da-DK"/>
        </w:rPr>
        <w:t xml:space="preserve"> af </w:t>
      </w:r>
      <w:r w:rsidR="00CA30C3" w:rsidRPr="00CA30C3">
        <w:rPr>
          <w:sz w:val="24"/>
          <w:lang w:val="da-DK"/>
        </w:rPr>
        <w:t>17</w:t>
      </w:r>
      <w:r w:rsidRPr="009616F8">
        <w:rPr>
          <w:sz w:val="24"/>
          <w:lang w:val="da-DK"/>
        </w:rPr>
        <w:t>.</w:t>
      </w:r>
      <w:r w:rsidR="00CA30C3" w:rsidRPr="00CA30C3">
        <w:rPr>
          <w:sz w:val="24"/>
          <w:lang w:val="da-DK"/>
        </w:rPr>
        <w:t>5</w:t>
      </w:r>
      <w:r w:rsidRPr="009616F8">
        <w:rPr>
          <w:sz w:val="24"/>
          <w:lang w:val="da-DK"/>
        </w:rPr>
        <w:t>.</w:t>
      </w:r>
      <w:r w:rsidR="00CA30C3" w:rsidRPr="00CA30C3">
        <w:rPr>
          <w:sz w:val="24"/>
          <w:lang w:val="da-DK"/>
        </w:rPr>
        <w:t>2019</w:t>
      </w:r>
      <w:r w:rsidRPr="009616F8">
        <w:rPr>
          <w:sz w:val="24"/>
          <w:lang w:val="da-DK"/>
        </w:rPr>
        <w:t>, s. </w:t>
      </w:r>
      <w:r w:rsidR="00CA30C3" w:rsidRPr="00CA30C3">
        <w:rPr>
          <w:sz w:val="24"/>
          <w:lang w:val="da-DK"/>
        </w:rPr>
        <w:t>92</w:t>
      </w:r>
      <w:r w:rsidRPr="009616F8">
        <w:rPr>
          <w:sz w:val="24"/>
          <w:lang w:val="da-DK"/>
        </w:rPr>
        <w:t xml:space="preserve">, ELI: </w:t>
      </w:r>
      <w:hyperlink r:id="rId15" w:tgtFrame="http://data.europa.eu/eli/dir/2019/790/oj" w:history="1">
        <w:r w:rsidRPr="009616F8">
          <w:rPr>
            <w:rStyle w:val="Hyperlink"/>
            <w:sz w:val="24"/>
            <w:lang w:val="da-DK"/>
          </w:rPr>
          <w:t>http://data.europa.eu/eli/dir/</w:t>
        </w:r>
        <w:r w:rsidR="00CA30C3" w:rsidRPr="00CA30C3">
          <w:rPr>
            <w:rStyle w:val="Hyperlink"/>
            <w:sz w:val="24"/>
            <w:lang w:val="da-DK"/>
          </w:rPr>
          <w:t>2019</w:t>
        </w:r>
        <w:r w:rsidRPr="009616F8">
          <w:rPr>
            <w:rStyle w:val="Hyperlink"/>
            <w:sz w:val="24"/>
            <w:lang w:val="da-DK"/>
          </w:rPr>
          <w:t>/</w:t>
        </w:r>
        <w:r w:rsidR="00CA30C3" w:rsidRPr="00CA30C3">
          <w:rPr>
            <w:rStyle w:val="Hyperlink"/>
            <w:sz w:val="24"/>
            <w:lang w:val="da-DK"/>
          </w:rPr>
          <w:t>790</w:t>
        </w:r>
        <w:r w:rsidRPr="009616F8">
          <w:rPr>
            <w:rStyle w:val="Hyperlink"/>
            <w:sz w:val="24"/>
            <w:lang w:val="da-DK"/>
          </w:rPr>
          <w:t>/oj).</w:t>
        </w:r>
      </w:hyperlink>
    </w:p>
  </w:footnote>
  <w:footnote w:id="19">
    <w:p w14:paraId="0FBCADD2" w14:textId="41AB6286" w:rsidR="00B57FAA" w:rsidRPr="009616F8" w:rsidRDefault="00B57FAA" w:rsidP="009616F8">
      <w:pPr>
        <w:pStyle w:val="FootnoteText"/>
        <w:ind w:left="567" w:hanging="567"/>
        <w:rPr>
          <w:sz w:val="24"/>
          <w:lang w:val="da-DK"/>
        </w:rPr>
      </w:pPr>
      <w:r>
        <w:rPr>
          <w:rStyle w:val="FootnoteReference"/>
        </w:rPr>
        <w:footnoteRef/>
      </w:r>
      <w:r w:rsidRPr="009616F8">
        <w:rPr>
          <w:sz w:val="24"/>
          <w:lang w:val="da-DK"/>
        </w:rPr>
        <w:t xml:space="preserve"> </w:t>
      </w:r>
      <w:r w:rsidRPr="009616F8">
        <w:rPr>
          <w:sz w:val="24"/>
          <w:lang w:val="da-DK"/>
        </w:rPr>
        <w:tab/>
        <w:t>Rådets forordning (EF) nr. </w:t>
      </w:r>
      <w:r w:rsidR="00CA30C3" w:rsidRPr="00CA30C3">
        <w:rPr>
          <w:sz w:val="24"/>
          <w:lang w:val="da-DK"/>
        </w:rPr>
        <w:t>1</w:t>
      </w:r>
      <w:r w:rsidRPr="009616F8">
        <w:rPr>
          <w:sz w:val="24"/>
          <w:lang w:val="da-DK"/>
        </w:rPr>
        <w:t>/</w:t>
      </w:r>
      <w:r w:rsidR="00CA30C3" w:rsidRPr="00CA30C3">
        <w:rPr>
          <w:sz w:val="24"/>
          <w:lang w:val="da-DK"/>
        </w:rPr>
        <w:t>2003</w:t>
      </w:r>
      <w:r w:rsidRPr="009616F8">
        <w:rPr>
          <w:sz w:val="24"/>
          <w:lang w:val="da-DK"/>
        </w:rPr>
        <w:t xml:space="preserve"> af </w:t>
      </w:r>
      <w:r w:rsidR="00CA30C3" w:rsidRPr="00CA30C3">
        <w:rPr>
          <w:sz w:val="24"/>
          <w:lang w:val="da-DK"/>
        </w:rPr>
        <w:t>16</w:t>
      </w:r>
      <w:r w:rsidRPr="009616F8">
        <w:rPr>
          <w:sz w:val="24"/>
          <w:lang w:val="da-DK"/>
        </w:rPr>
        <w:t xml:space="preserve">. december </w:t>
      </w:r>
      <w:r w:rsidR="00CA30C3" w:rsidRPr="00CA30C3">
        <w:rPr>
          <w:sz w:val="24"/>
          <w:lang w:val="da-DK"/>
        </w:rPr>
        <w:t>2002</w:t>
      </w:r>
      <w:r w:rsidRPr="009616F8">
        <w:rPr>
          <w:sz w:val="24"/>
          <w:lang w:val="da-DK"/>
        </w:rPr>
        <w:t xml:space="preserve"> om gennemførelse af konkurrencereglerne i traktatens artikel </w:t>
      </w:r>
      <w:r w:rsidR="00CA30C3" w:rsidRPr="00CA30C3">
        <w:rPr>
          <w:sz w:val="24"/>
          <w:lang w:val="da-DK"/>
        </w:rPr>
        <w:t>81</w:t>
      </w:r>
      <w:r w:rsidRPr="009616F8">
        <w:rPr>
          <w:sz w:val="24"/>
          <w:lang w:val="da-DK"/>
        </w:rPr>
        <w:t xml:space="preserve"> og </w:t>
      </w:r>
      <w:r w:rsidR="00CA30C3" w:rsidRPr="00CA30C3">
        <w:rPr>
          <w:sz w:val="24"/>
          <w:lang w:val="da-DK"/>
        </w:rPr>
        <w:t>82</w:t>
      </w:r>
      <w:r w:rsidRPr="009616F8">
        <w:rPr>
          <w:sz w:val="24"/>
          <w:lang w:val="da-DK"/>
        </w:rPr>
        <w:t xml:space="preserve"> (EFT L </w:t>
      </w:r>
      <w:r w:rsidR="00CA30C3" w:rsidRPr="00CA30C3">
        <w:rPr>
          <w:sz w:val="24"/>
          <w:lang w:val="da-DK"/>
        </w:rPr>
        <w:t>1</w:t>
      </w:r>
      <w:r w:rsidRPr="009616F8">
        <w:rPr>
          <w:sz w:val="24"/>
          <w:lang w:val="da-DK"/>
        </w:rPr>
        <w:t xml:space="preserve"> af </w:t>
      </w:r>
      <w:r w:rsidR="00CA30C3" w:rsidRPr="00CA30C3">
        <w:rPr>
          <w:sz w:val="24"/>
          <w:lang w:val="da-DK"/>
        </w:rPr>
        <w:t>4</w:t>
      </w:r>
      <w:r w:rsidRPr="009616F8">
        <w:rPr>
          <w:sz w:val="24"/>
          <w:lang w:val="da-DK"/>
        </w:rPr>
        <w:t>.</w:t>
      </w:r>
      <w:r w:rsidR="00CA30C3" w:rsidRPr="00CA30C3">
        <w:rPr>
          <w:sz w:val="24"/>
          <w:lang w:val="da-DK"/>
        </w:rPr>
        <w:t>1</w:t>
      </w:r>
      <w:r w:rsidRPr="009616F8">
        <w:rPr>
          <w:sz w:val="24"/>
          <w:lang w:val="da-DK"/>
        </w:rPr>
        <w:t>.</w:t>
      </w:r>
      <w:r w:rsidR="00CA30C3" w:rsidRPr="00CA30C3">
        <w:rPr>
          <w:sz w:val="24"/>
          <w:lang w:val="da-DK"/>
        </w:rPr>
        <w:t>2003</w:t>
      </w:r>
      <w:r w:rsidRPr="009616F8">
        <w:rPr>
          <w:sz w:val="24"/>
          <w:lang w:val="da-DK"/>
        </w:rPr>
        <w:t>, s. </w:t>
      </w:r>
      <w:r w:rsidR="00CA30C3" w:rsidRPr="00CA30C3">
        <w:rPr>
          <w:sz w:val="24"/>
          <w:lang w:val="da-DK"/>
        </w:rPr>
        <w:t>1</w:t>
      </w:r>
      <w:r w:rsidRPr="009616F8">
        <w:rPr>
          <w:sz w:val="24"/>
          <w:lang w:val="da-DK"/>
        </w:rPr>
        <w:t xml:space="preserve">, ELI: </w:t>
      </w:r>
      <w:hyperlink r:id="rId16" w:tgtFrame="http://data.europa.eu/eli/reg/2003/1/oj" w:history="1">
        <w:r w:rsidRPr="009616F8">
          <w:rPr>
            <w:rStyle w:val="Hyperlink"/>
            <w:sz w:val="24"/>
            <w:lang w:val="da-DK"/>
          </w:rPr>
          <w:t>http://data.europa.eu/eli/reg/</w:t>
        </w:r>
        <w:r w:rsidR="00CA30C3" w:rsidRPr="00CA30C3">
          <w:rPr>
            <w:rStyle w:val="Hyperlink"/>
            <w:sz w:val="24"/>
            <w:lang w:val="da-DK"/>
          </w:rPr>
          <w:t>2003</w:t>
        </w:r>
        <w:r w:rsidRPr="009616F8">
          <w:rPr>
            <w:rStyle w:val="Hyperlink"/>
            <w:sz w:val="24"/>
            <w:lang w:val="da-DK"/>
          </w:rPr>
          <w:t>/</w:t>
        </w:r>
        <w:r w:rsidR="00CA30C3" w:rsidRPr="00CA30C3">
          <w:rPr>
            <w:rStyle w:val="Hyperlink"/>
            <w:sz w:val="24"/>
            <w:lang w:val="da-DK"/>
          </w:rPr>
          <w:t>1</w:t>
        </w:r>
        <w:r w:rsidRPr="009616F8">
          <w:rPr>
            <w:rStyle w:val="Hyperlink"/>
            <w:sz w:val="24"/>
            <w:lang w:val="da-DK"/>
          </w:rPr>
          <w:t>/oj).</w:t>
        </w:r>
      </w:hyperlink>
    </w:p>
  </w:footnote>
  <w:footnote w:id="20">
    <w:p w14:paraId="324D673D" w14:textId="6367D991" w:rsidR="00B57FAA" w:rsidRPr="009616F8" w:rsidRDefault="00B57FAA" w:rsidP="009616F8">
      <w:pPr>
        <w:pStyle w:val="FootnoteText"/>
        <w:ind w:left="567" w:hanging="567"/>
        <w:rPr>
          <w:sz w:val="24"/>
          <w:lang w:val="da-DK"/>
        </w:rPr>
      </w:pPr>
      <w:r>
        <w:rPr>
          <w:rStyle w:val="FootnoteReference"/>
        </w:rPr>
        <w:footnoteRef/>
      </w:r>
      <w:r w:rsidRPr="009616F8">
        <w:rPr>
          <w:sz w:val="24"/>
          <w:lang w:val="da-DK"/>
        </w:rPr>
        <w:t xml:space="preserve"> </w:t>
      </w:r>
      <w:r w:rsidRPr="009616F8">
        <w:rPr>
          <w:sz w:val="24"/>
          <w:lang w:val="da-DK"/>
        </w:rPr>
        <w:tab/>
        <w:t>Kommissionens forordning (EF) nr. </w:t>
      </w:r>
      <w:r w:rsidR="00CA30C3" w:rsidRPr="00CA30C3">
        <w:rPr>
          <w:sz w:val="24"/>
          <w:lang w:val="da-DK"/>
        </w:rPr>
        <w:t>773</w:t>
      </w:r>
      <w:r w:rsidRPr="009616F8">
        <w:rPr>
          <w:sz w:val="24"/>
          <w:lang w:val="da-DK"/>
        </w:rPr>
        <w:t>/</w:t>
      </w:r>
      <w:r w:rsidR="00CA30C3" w:rsidRPr="00CA30C3">
        <w:rPr>
          <w:sz w:val="24"/>
          <w:lang w:val="da-DK"/>
        </w:rPr>
        <w:t>2004</w:t>
      </w:r>
      <w:r w:rsidRPr="009616F8">
        <w:rPr>
          <w:sz w:val="24"/>
          <w:lang w:val="da-DK"/>
        </w:rPr>
        <w:t xml:space="preserve"> af </w:t>
      </w:r>
      <w:r w:rsidR="00CA30C3" w:rsidRPr="00CA30C3">
        <w:rPr>
          <w:sz w:val="24"/>
          <w:lang w:val="da-DK"/>
        </w:rPr>
        <w:t>7</w:t>
      </w:r>
      <w:r w:rsidRPr="009616F8">
        <w:rPr>
          <w:sz w:val="24"/>
          <w:lang w:val="da-DK"/>
        </w:rPr>
        <w:t xml:space="preserve">. april </w:t>
      </w:r>
      <w:r w:rsidR="00CA30C3" w:rsidRPr="00CA30C3">
        <w:rPr>
          <w:sz w:val="24"/>
          <w:lang w:val="da-DK"/>
        </w:rPr>
        <w:t>2004</w:t>
      </w:r>
      <w:r w:rsidRPr="009616F8">
        <w:rPr>
          <w:sz w:val="24"/>
          <w:lang w:val="da-DK"/>
        </w:rPr>
        <w:t xml:space="preserve"> om Kommissionens gennemførelse af procedurer i henhold til EF-traktatens artikel </w:t>
      </w:r>
      <w:r w:rsidR="00CA30C3" w:rsidRPr="00CA30C3">
        <w:rPr>
          <w:sz w:val="24"/>
          <w:lang w:val="da-DK"/>
        </w:rPr>
        <w:t>81</w:t>
      </w:r>
      <w:r w:rsidRPr="009616F8">
        <w:rPr>
          <w:sz w:val="24"/>
          <w:lang w:val="da-DK"/>
        </w:rPr>
        <w:t xml:space="preserve"> og </w:t>
      </w:r>
      <w:r w:rsidR="00CA30C3" w:rsidRPr="00CA30C3">
        <w:rPr>
          <w:sz w:val="24"/>
          <w:lang w:val="da-DK"/>
        </w:rPr>
        <w:t>82</w:t>
      </w:r>
      <w:r w:rsidRPr="009616F8">
        <w:rPr>
          <w:sz w:val="24"/>
          <w:lang w:val="da-DK"/>
        </w:rPr>
        <w:t xml:space="preserve"> (EUT L </w:t>
      </w:r>
      <w:r w:rsidR="00CA30C3" w:rsidRPr="00CA30C3">
        <w:rPr>
          <w:sz w:val="24"/>
          <w:lang w:val="da-DK"/>
        </w:rPr>
        <w:t>123</w:t>
      </w:r>
      <w:r w:rsidRPr="009616F8">
        <w:rPr>
          <w:sz w:val="24"/>
          <w:lang w:val="da-DK"/>
        </w:rPr>
        <w:t xml:space="preserve"> af </w:t>
      </w:r>
      <w:r w:rsidR="00CA30C3" w:rsidRPr="00CA30C3">
        <w:rPr>
          <w:sz w:val="24"/>
          <w:lang w:val="da-DK"/>
        </w:rPr>
        <w:t>27</w:t>
      </w:r>
      <w:r w:rsidRPr="009616F8">
        <w:rPr>
          <w:sz w:val="24"/>
          <w:lang w:val="da-DK"/>
        </w:rPr>
        <w:t>.</w:t>
      </w:r>
      <w:r w:rsidR="00CA30C3" w:rsidRPr="00CA30C3">
        <w:rPr>
          <w:sz w:val="24"/>
          <w:lang w:val="da-DK"/>
        </w:rPr>
        <w:t>4</w:t>
      </w:r>
      <w:r w:rsidRPr="009616F8">
        <w:rPr>
          <w:sz w:val="24"/>
          <w:lang w:val="da-DK"/>
        </w:rPr>
        <w:t>.</w:t>
      </w:r>
      <w:r w:rsidR="00CA30C3" w:rsidRPr="00CA30C3">
        <w:rPr>
          <w:sz w:val="24"/>
          <w:lang w:val="da-DK"/>
        </w:rPr>
        <w:t>2004</w:t>
      </w:r>
      <w:r w:rsidRPr="009616F8">
        <w:rPr>
          <w:sz w:val="24"/>
          <w:lang w:val="da-DK"/>
        </w:rPr>
        <w:t xml:space="preserve">, s. </w:t>
      </w:r>
      <w:r w:rsidR="00CA30C3" w:rsidRPr="00CA30C3">
        <w:rPr>
          <w:sz w:val="24"/>
          <w:lang w:val="da-DK"/>
        </w:rPr>
        <w:t>18</w:t>
      </w:r>
      <w:r w:rsidRPr="009616F8">
        <w:rPr>
          <w:sz w:val="24"/>
          <w:lang w:val="da-DK"/>
        </w:rPr>
        <w:t xml:space="preserve">, ELI: </w:t>
      </w:r>
      <w:hyperlink r:id="rId17" w:tgtFrame="http://data.europa.eu/eli/reg/2004/773/oj" w:history="1">
        <w:r w:rsidRPr="009616F8">
          <w:rPr>
            <w:rStyle w:val="Hyperlink"/>
            <w:sz w:val="24"/>
            <w:lang w:val="da-DK"/>
          </w:rPr>
          <w:t>http://data.europa.eu/eli/reg/</w:t>
        </w:r>
        <w:r w:rsidR="00CA30C3" w:rsidRPr="00CA30C3">
          <w:rPr>
            <w:rStyle w:val="Hyperlink"/>
            <w:sz w:val="24"/>
            <w:lang w:val="da-DK"/>
          </w:rPr>
          <w:t>2004</w:t>
        </w:r>
        <w:r w:rsidRPr="009616F8">
          <w:rPr>
            <w:rStyle w:val="Hyperlink"/>
            <w:sz w:val="24"/>
            <w:lang w:val="da-DK"/>
          </w:rPr>
          <w:t>/</w:t>
        </w:r>
        <w:r w:rsidR="00CA30C3" w:rsidRPr="00CA30C3">
          <w:rPr>
            <w:rStyle w:val="Hyperlink"/>
            <w:sz w:val="24"/>
            <w:lang w:val="da-DK"/>
          </w:rPr>
          <w:t>773</w:t>
        </w:r>
        <w:r w:rsidRPr="009616F8">
          <w:rPr>
            <w:rStyle w:val="Hyperlink"/>
            <w:sz w:val="24"/>
            <w:lang w:val="da-DK"/>
          </w:rPr>
          <w:t>/oj).</w:t>
        </w:r>
      </w:hyperlink>
    </w:p>
  </w:footnote>
  <w:footnote w:id="21">
    <w:p w14:paraId="10A7C71F" w14:textId="1777821D" w:rsidR="00B57FAA" w:rsidRPr="009616F8" w:rsidRDefault="00B57FAA" w:rsidP="009616F8">
      <w:pPr>
        <w:pStyle w:val="FootnoteText"/>
        <w:ind w:left="567" w:hanging="567"/>
        <w:rPr>
          <w:sz w:val="24"/>
          <w:lang w:val="da-DK"/>
        </w:rPr>
      </w:pPr>
      <w:r>
        <w:rPr>
          <w:rStyle w:val="FootnoteReference"/>
        </w:rPr>
        <w:footnoteRef/>
      </w:r>
      <w:r w:rsidRPr="009616F8">
        <w:rPr>
          <w:sz w:val="24"/>
          <w:lang w:val="da-DK"/>
        </w:rPr>
        <w:t xml:space="preserve"> </w:t>
      </w:r>
      <w:r w:rsidRPr="009616F8">
        <w:rPr>
          <w:sz w:val="24"/>
          <w:lang w:val="da-DK"/>
        </w:rPr>
        <w:tab/>
        <w:t xml:space="preserve">Europa-Parlamentets og Rådets direktiv </w:t>
      </w:r>
      <w:r w:rsidR="00CA30C3" w:rsidRPr="00CA30C3">
        <w:rPr>
          <w:sz w:val="24"/>
          <w:lang w:val="da-DK"/>
        </w:rPr>
        <w:t>2014</w:t>
      </w:r>
      <w:r w:rsidRPr="009616F8">
        <w:rPr>
          <w:sz w:val="24"/>
          <w:lang w:val="da-DK"/>
        </w:rPr>
        <w:t>/</w:t>
      </w:r>
      <w:r w:rsidR="00CA30C3" w:rsidRPr="00CA30C3">
        <w:rPr>
          <w:sz w:val="24"/>
          <w:lang w:val="da-DK"/>
        </w:rPr>
        <w:t>104</w:t>
      </w:r>
      <w:r w:rsidRPr="009616F8">
        <w:rPr>
          <w:sz w:val="24"/>
          <w:lang w:val="da-DK"/>
        </w:rPr>
        <w:t xml:space="preserve">/EU af </w:t>
      </w:r>
      <w:r w:rsidR="00CA30C3" w:rsidRPr="00CA30C3">
        <w:rPr>
          <w:sz w:val="24"/>
          <w:lang w:val="da-DK"/>
        </w:rPr>
        <w:t>26</w:t>
      </w:r>
      <w:r w:rsidRPr="009616F8">
        <w:rPr>
          <w:sz w:val="24"/>
          <w:lang w:val="da-DK"/>
        </w:rPr>
        <w:t xml:space="preserve">. november </w:t>
      </w:r>
      <w:r w:rsidR="00CA30C3" w:rsidRPr="00CA30C3">
        <w:rPr>
          <w:sz w:val="24"/>
          <w:lang w:val="da-DK"/>
        </w:rPr>
        <w:t>2014</w:t>
      </w:r>
      <w:r w:rsidRPr="009616F8">
        <w:rPr>
          <w:sz w:val="24"/>
          <w:lang w:val="da-DK"/>
        </w:rPr>
        <w:t xml:space="preserve"> om visse regler for søgsmål i henhold til national ret angående erstatning for overtrædelser af bestemmelser i medlemsstaternes og Den Europæiske Unions konkurrenceret (EUT L </w:t>
      </w:r>
      <w:r w:rsidR="00CA30C3" w:rsidRPr="00CA30C3">
        <w:rPr>
          <w:sz w:val="24"/>
          <w:lang w:val="da-DK"/>
        </w:rPr>
        <w:t>349</w:t>
      </w:r>
      <w:r w:rsidRPr="009616F8">
        <w:rPr>
          <w:sz w:val="24"/>
          <w:lang w:val="da-DK"/>
        </w:rPr>
        <w:t xml:space="preserve"> af </w:t>
      </w:r>
      <w:r w:rsidR="00CA30C3" w:rsidRPr="00CA30C3">
        <w:rPr>
          <w:sz w:val="24"/>
          <w:lang w:val="da-DK"/>
        </w:rPr>
        <w:t>5</w:t>
      </w:r>
      <w:r w:rsidRPr="009616F8">
        <w:rPr>
          <w:sz w:val="24"/>
          <w:lang w:val="da-DK"/>
        </w:rPr>
        <w:t>.</w:t>
      </w:r>
      <w:r w:rsidR="00CA30C3" w:rsidRPr="00CA30C3">
        <w:rPr>
          <w:sz w:val="24"/>
          <w:lang w:val="da-DK"/>
        </w:rPr>
        <w:t>12</w:t>
      </w:r>
      <w:r w:rsidRPr="009616F8">
        <w:rPr>
          <w:sz w:val="24"/>
          <w:lang w:val="da-DK"/>
        </w:rPr>
        <w:t>.</w:t>
      </w:r>
      <w:r w:rsidR="00CA30C3" w:rsidRPr="00CA30C3">
        <w:rPr>
          <w:sz w:val="24"/>
          <w:lang w:val="da-DK"/>
        </w:rPr>
        <w:t>2014</w:t>
      </w:r>
      <w:r w:rsidRPr="009616F8">
        <w:rPr>
          <w:sz w:val="24"/>
          <w:lang w:val="da-DK"/>
        </w:rPr>
        <w:t>, s. </w:t>
      </w:r>
      <w:r w:rsidR="00CA30C3" w:rsidRPr="00CA30C3">
        <w:rPr>
          <w:sz w:val="24"/>
          <w:lang w:val="da-DK"/>
        </w:rPr>
        <w:t>1</w:t>
      </w:r>
      <w:r w:rsidRPr="009616F8">
        <w:rPr>
          <w:sz w:val="24"/>
          <w:lang w:val="da-DK"/>
        </w:rPr>
        <w:t xml:space="preserve">, ELI </w:t>
      </w:r>
      <w:hyperlink r:id="rId18" w:tgtFrame="http://data.europa.eu/eli/dir/2014/104/oj" w:history="1">
        <w:r w:rsidRPr="009616F8">
          <w:rPr>
            <w:rStyle w:val="Hyperlink"/>
            <w:sz w:val="24"/>
            <w:lang w:val="da-DK"/>
          </w:rPr>
          <w:t>http://data.europa.eu/eli/dir/</w:t>
        </w:r>
        <w:r w:rsidR="00CA30C3" w:rsidRPr="00CA30C3">
          <w:rPr>
            <w:rStyle w:val="Hyperlink"/>
            <w:sz w:val="24"/>
            <w:lang w:val="da-DK"/>
          </w:rPr>
          <w:t>2014</w:t>
        </w:r>
        <w:r w:rsidRPr="009616F8">
          <w:rPr>
            <w:rStyle w:val="Hyperlink"/>
            <w:sz w:val="24"/>
            <w:lang w:val="da-DK"/>
          </w:rPr>
          <w:t>/</w:t>
        </w:r>
        <w:r w:rsidR="00CA30C3" w:rsidRPr="00CA30C3">
          <w:rPr>
            <w:rStyle w:val="Hyperlink"/>
            <w:sz w:val="24"/>
            <w:lang w:val="da-DK"/>
          </w:rPr>
          <w:t>104</w:t>
        </w:r>
        <w:r w:rsidRPr="009616F8">
          <w:rPr>
            <w:rStyle w:val="Hyperlink"/>
            <w:sz w:val="24"/>
            <w:lang w:val="da-DK"/>
          </w:rPr>
          <w:t>/oj).</w:t>
        </w:r>
      </w:hyperlink>
    </w:p>
  </w:footnote>
  <w:footnote w:id="22">
    <w:p w14:paraId="516CB6C6" w14:textId="3E8F6C6F" w:rsidR="00B57FAA" w:rsidRPr="009616F8" w:rsidRDefault="00B57FAA" w:rsidP="009616F8">
      <w:pPr>
        <w:pStyle w:val="FootnoteText"/>
        <w:ind w:left="567" w:hanging="567"/>
        <w:rPr>
          <w:sz w:val="24"/>
          <w:lang w:val="da-DK"/>
        </w:rPr>
      </w:pPr>
      <w:r>
        <w:rPr>
          <w:rStyle w:val="FootnoteReference"/>
        </w:rPr>
        <w:footnoteRef/>
      </w:r>
      <w:r w:rsidRPr="009616F8">
        <w:rPr>
          <w:sz w:val="24"/>
          <w:lang w:val="da-DK"/>
        </w:rPr>
        <w:t xml:space="preserve"> </w:t>
      </w:r>
      <w:r w:rsidRPr="009616F8">
        <w:rPr>
          <w:sz w:val="24"/>
          <w:lang w:val="da-DK"/>
        </w:rPr>
        <w:tab/>
        <w:t xml:space="preserve">Europa-Parlamentets og Rådets direktiv (EU) </w:t>
      </w:r>
      <w:r w:rsidR="00CA30C3" w:rsidRPr="00CA30C3">
        <w:rPr>
          <w:sz w:val="24"/>
          <w:lang w:val="da-DK"/>
        </w:rPr>
        <w:t>2019</w:t>
      </w:r>
      <w:r w:rsidRPr="009616F8">
        <w:rPr>
          <w:sz w:val="24"/>
          <w:lang w:val="da-DK"/>
        </w:rPr>
        <w:t>/</w:t>
      </w:r>
      <w:r w:rsidR="00CA30C3" w:rsidRPr="00CA30C3">
        <w:rPr>
          <w:sz w:val="24"/>
          <w:lang w:val="da-DK"/>
        </w:rPr>
        <w:t>1</w:t>
      </w:r>
      <w:r w:rsidRPr="009616F8">
        <w:rPr>
          <w:sz w:val="24"/>
          <w:lang w:val="da-DK"/>
        </w:rPr>
        <w:t xml:space="preserve"> af </w:t>
      </w:r>
      <w:r w:rsidR="00CA30C3" w:rsidRPr="00CA30C3">
        <w:rPr>
          <w:sz w:val="24"/>
          <w:lang w:val="da-DK"/>
        </w:rPr>
        <w:t>11</w:t>
      </w:r>
      <w:r w:rsidRPr="009616F8">
        <w:rPr>
          <w:sz w:val="24"/>
          <w:lang w:val="da-DK"/>
        </w:rPr>
        <w:t xml:space="preserve">. december </w:t>
      </w:r>
      <w:r w:rsidR="00CA30C3" w:rsidRPr="00CA30C3">
        <w:rPr>
          <w:sz w:val="24"/>
          <w:lang w:val="da-DK"/>
        </w:rPr>
        <w:t>2018</w:t>
      </w:r>
      <w:r w:rsidRPr="009616F8">
        <w:rPr>
          <w:sz w:val="24"/>
          <w:lang w:val="da-DK"/>
        </w:rPr>
        <w:t xml:space="preserve"> om styrkelse af de nationale konkurrencemyndigheders forudsætninger for at håndhæve konkurrencereglerne effektivt og sikring af et velfungerende indre marked (EUT L </w:t>
      </w:r>
      <w:r w:rsidR="00CA30C3" w:rsidRPr="00CA30C3">
        <w:rPr>
          <w:sz w:val="24"/>
          <w:lang w:val="da-DK"/>
        </w:rPr>
        <w:t>11</w:t>
      </w:r>
      <w:r w:rsidRPr="009616F8">
        <w:rPr>
          <w:sz w:val="24"/>
          <w:lang w:val="da-DK"/>
        </w:rPr>
        <w:t xml:space="preserve"> af </w:t>
      </w:r>
      <w:r w:rsidR="00CA30C3" w:rsidRPr="00CA30C3">
        <w:rPr>
          <w:sz w:val="24"/>
          <w:lang w:val="da-DK"/>
        </w:rPr>
        <w:t>14</w:t>
      </w:r>
      <w:r w:rsidRPr="009616F8">
        <w:rPr>
          <w:sz w:val="24"/>
          <w:lang w:val="da-DK"/>
        </w:rPr>
        <w:t>.</w:t>
      </w:r>
      <w:r w:rsidR="00CA30C3" w:rsidRPr="00CA30C3">
        <w:rPr>
          <w:sz w:val="24"/>
          <w:lang w:val="da-DK"/>
        </w:rPr>
        <w:t>1</w:t>
      </w:r>
      <w:r w:rsidRPr="009616F8">
        <w:rPr>
          <w:sz w:val="24"/>
          <w:lang w:val="da-DK"/>
        </w:rPr>
        <w:t>.</w:t>
      </w:r>
      <w:r w:rsidR="00CA30C3" w:rsidRPr="00CA30C3">
        <w:rPr>
          <w:sz w:val="24"/>
          <w:lang w:val="da-DK"/>
        </w:rPr>
        <w:t>2019</w:t>
      </w:r>
      <w:r w:rsidRPr="009616F8">
        <w:rPr>
          <w:sz w:val="24"/>
          <w:lang w:val="da-DK"/>
        </w:rPr>
        <w:t>, s. </w:t>
      </w:r>
      <w:r w:rsidR="00CA30C3" w:rsidRPr="00CA30C3">
        <w:rPr>
          <w:sz w:val="24"/>
          <w:lang w:val="da-DK"/>
        </w:rPr>
        <w:t>3</w:t>
      </w:r>
      <w:r w:rsidRPr="009616F8">
        <w:rPr>
          <w:sz w:val="24"/>
          <w:lang w:val="da-DK"/>
        </w:rPr>
        <w:t xml:space="preserve">, ELI: </w:t>
      </w:r>
      <w:hyperlink r:id="rId19" w:tgtFrame="http://data.europa.eu/eli/dir/2019/1/oj" w:history="1">
        <w:r w:rsidRPr="009616F8">
          <w:rPr>
            <w:rStyle w:val="Hyperlink"/>
            <w:sz w:val="24"/>
            <w:lang w:val="da-DK"/>
          </w:rPr>
          <w:t>http://data.europa.eu/eli/dir/</w:t>
        </w:r>
        <w:r w:rsidR="00CA30C3" w:rsidRPr="00CA30C3">
          <w:rPr>
            <w:rStyle w:val="Hyperlink"/>
            <w:sz w:val="24"/>
            <w:lang w:val="da-DK"/>
          </w:rPr>
          <w:t>2019</w:t>
        </w:r>
        <w:r w:rsidRPr="009616F8">
          <w:rPr>
            <w:rStyle w:val="Hyperlink"/>
            <w:sz w:val="24"/>
            <w:lang w:val="da-DK"/>
          </w:rPr>
          <w:t>/</w:t>
        </w:r>
        <w:r w:rsidR="00CA30C3" w:rsidRPr="00CA30C3">
          <w:rPr>
            <w:rStyle w:val="Hyperlink"/>
            <w:sz w:val="24"/>
            <w:lang w:val="da-DK"/>
          </w:rPr>
          <w:t>1</w:t>
        </w:r>
        <w:r w:rsidRPr="009616F8">
          <w:rPr>
            <w:rStyle w:val="Hyperlink"/>
            <w:sz w:val="24"/>
            <w:lang w:val="da-DK"/>
          </w:rPr>
          <w:t>/oj).</w:t>
        </w:r>
      </w:hyperlink>
    </w:p>
  </w:footnote>
  <w:footnote w:id="23">
    <w:p w14:paraId="2FF92AE7" w14:textId="61FF1EC0" w:rsidR="00B57FAA" w:rsidRPr="009616F8" w:rsidRDefault="00B57FAA" w:rsidP="009616F8">
      <w:pPr>
        <w:pStyle w:val="FootnoteText"/>
        <w:ind w:left="567" w:hanging="567"/>
        <w:rPr>
          <w:sz w:val="24"/>
          <w:lang w:val="da-DK"/>
        </w:rPr>
      </w:pPr>
      <w:r>
        <w:rPr>
          <w:rStyle w:val="FootnoteReference"/>
        </w:rPr>
        <w:footnoteRef/>
      </w:r>
      <w:r w:rsidRPr="009616F8">
        <w:rPr>
          <w:sz w:val="24"/>
          <w:lang w:val="da-DK"/>
        </w:rPr>
        <w:t xml:space="preserve"> </w:t>
      </w:r>
      <w:r w:rsidRPr="009616F8">
        <w:rPr>
          <w:sz w:val="24"/>
          <w:lang w:val="da-DK"/>
        </w:rPr>
        <w:tab/>
        <w:t>Europa-Parlamentets og Rådets forordning (EU) nr. </w:t>
      </w:r>
      <w:r w:rsidR="00CA30C3" w:rsidRPr="00CA30C3">
        <w:rPr>
          <w:sz w:val="24"/>
          <w:lang w:val="da-DK"/>
        </w:rPr>
        <w:t>2015</w:t>
      </w:r>
      <w:r w:rsidRPr="009616F8">
        <w:rPr>
          <w:sz w:val="24"/>
          <w:lang w:val="da-DK"/>
        </w:rPr>
        <w:t>/</w:t>
      </w:r>
      <w:r w:rsidR="00CA30C3" w:rsidRPr="00CA30C3">
        <w:rPr>
          <w:sz w:val="24"/>
          <w:lang w:val="da-DK"/>
        </w:rPr>
        <w:t>751</w:t>
      </w:r>
      <w:r w:rsidRPr="009616F8">
        <w:rPr>
          <w:sz w:val="24"/>
          <w:lang w:val="da-DK"/>
        </w:rPr>
        <w:t xml:space="preserve"> af </w:t>
      </w:r>
      <w:r w:rsidR="00CA30C3" w:rsidRPr="00CA30C3">
        <w:rPr>
          <w:sz w:val="24"/>
          <w:lang w:val="da-DK"/>
        </w:rPr>
        <w:t>29</w:t>
      </w:r>
      <w:r w:rsidRPr="009616F8">
        <w:rPr>
          <w:sz w:val="24"/>
          <w:lang w:val="da-DK"/>
        </w:rPr>
        <w:t xml:space="preserve">. april </w:t>
      </w:r>
      <w:r w:rsidR="00CA30C3" w:rsidRPr="00CA30C3">
        <w:rPr>
          <w:sz w:val="24"/>
          <w:lang w:val="da-DK"/>
        </w:rPr>
        <w:t>2015</w:t>
      </w:r>
      <w:r w:rsidRPr="009616F8">
        <w:rPr>
          <w:sz w:val="24"/>
          <w:lang w:val="da-DK"/>
        </w:rPr>
        <w:t xml:space="preserve"> om </w:t>
      </w:r>
      <w:proofErr w:type="spellStart"/>
      <w:r w:rsidRPr="009616F8">
        <w:rPr>
          <w:sz w:val="24"/>
          <w:lang w:val="da-DK"/>
        </w:rPr>
        <w:t>interbankgebyrer</w:t>
      </w:r>
      <w:proofErr w:type="spellEnd"/>
      <w:r w:rsidRPr="009616F8">
        <w:rPr>
          <w:sz w:val="24"/>
          <w:lang w:val="da-DK"/>
        </w:rPr>
        <w:t xml:space="preserve"> for kortbaserede betalingstransaktioner (EUT L </w:t>
      </w:r>
      <w:r w:rsidR="00CA30C3" w:rsidRPr="00CA30C3">
        <w:rPr>
          <w:sz w:val="24"/>
          <w:lang w:val="da-DK"/>
        </w:rPr>
        <w:t>123</w:t>
      </w:r>
      <w:r w:rsidRPr="009616F8">
        <w:rPr>
          <w:sz w:val="24"/>
          <w:lang w:val="da-DK"/>
        </w:rPr>
        <w:t xml:space="preserve"> af </w:t>
      </w:r>
      <w:r w:rsidR="00CA30C3" w:rsidRPr="00CA30C3">
        <w:rPr>
          <w:sz w:val="24"/>
          <w:lang w:val="da-DK"/>
        </w:rPr>
        <w:t>19</w:t>
      </w:r>
      <w:r w:rsidRPr="009616F8">
        <w:rPr>
          <w:sz w:val="24"/>
          <w:lang w:val="da-DK"/>
        </w:rPr>
        <w:t>.</w:t>
      </w:r>
      <w:r w:rsidR="00CA30C3" w:rsidRPr="00CA30C3">
        <w:rPr>
          <w:sz w:val="24"/>
          <w:lang w:val="da-DK"/>
        </w:rPr>
        <w:t>5</w:t>
      </w:r>
      <w:r w:rsidRPr="009616F8">
        <w:rPr>
          <w:sz w:val="24"/>
          <w:lang w:val="da-DK"/>
        </w:rPr>
        <w:t>.</w:t>
      </w:r>
      <w:r w:rsidR="00CA30C3" w:rsidRPr="00CA30C3">
        <w:rPr>
          <w:sz w:val="24"/>
          <w:lang w:val="da-DK"/>
        </w:rPr>
        <w:t>2015</w:t>
      </w:r>
      <w:r w:rsidRPr="009616F8">
        <w:rPr>
          <w:sz w:val="24"/>
          <w:lang w:val="da-DK"/>
        </w:rPr>
        <w:t>, s. </w:t>
      </w:r>
      <w:r w:rsidR="00CA30C3" w:rsidRPr="00CA30C3">
        <w:rPr>
          <w:sz w:val="24"/>
          <w:lang w:val="da-DK"/>
        </w:rPr>
        <w:t>1</w:t>
      </w:r>
      <w:r w:rsidRPr="009616F8">
        <w:rPr>
          <w:sz w:val="24"/>
          <w:lang w:val="da-DK"/>
        </w:rPr>
        <w:t xml:space="preserve">, ELI: </w:t>
      </w:r>
      <w:hyperlink r:id="rId20" w:tgtFrame="http://data.europa.eu/eli/reg/2015/751/oj" w:history="1">
        <w:r w:rsidRPr="009616F8">
          <w:rPr>
            <w:rStyle w:val="Hyperlink"/>
            <w:sz w:val="24"/>
            <w:lang w:val="da-DK"/>
          </w:rPr>
          <w:t>http://data.europa.eu/eli/reg/</w:t>
        </w:r>
        <w:r w:rsidR="00CA30C3" w:rsidRPr="00CA30C3">
          <w:rPr>
            <w:rStyle w:val="Hyperlink"/>
            <w:sz w:val="24"/>
            <w:lang w:val="da-DK"/>
          </w:rPr>
          <w:t>2015</w:t>
        </w:r>
        <w:r w:rsidRPr="009616F8">
          <w:rPr>
            <w:rStyle w:val="Hyperlink"/>
            <w:sz w:val="24"/>
            <w:lang w:val="da-DK"/>
          </w:rPr>
          <w:t>/</w:t>
        </w:r>
        <w:r w:rsidR="00CA30C3" w:rsidRPr="00CA30C3">
          <w:rPr>
            <w:rStyle w:val="Hyperlink"/>
            <w:sz w:val="24"/>
            <w:lang w:val="da-DK"/>
          </w:rPr>
          <w:t>751</w:t>
        </w:r>
        <w:r w:rsidRPr="009616F8">
          <w:rPr>
            <w:rStyle w:val="Hyperlink"/>
            <w:sz w:val="24"/>
            <w:lang w:val="da-DK"/>
          </w:rPr>
          <w:t>/oj).</w:t>
        </w:r>
      </w:hyperlink>
    </w:p>
  </w:footnote>
  <w:footnote w:id="24">
    <w:p w14:paraId="1F2423CF" w14:textId="3394F79F" w:rsidR="00B57FAA" w:rsidRPr="009616F8" w:rsidRDefault="00B57FAA" w:rsidP="009616F8">
      <w:pPr>
        <w:pStyle w:val="FootnoteText"/>
        <w:ind w:left="567" w:hanging="567"/>
        <w:rPr>
          <w:sz w:val="24"/>
          <w:lang w:val="da-DK"/>
        </w:rPr>
      </w:pPr>
      <w:r>
        <w:rPr>
          <w:rStyle w:val="FootnoteReference"/>
        </w:rPr>
        <w:footnoteRef/>
      </w:r>
      <w:r w:rsidRPr="009616F8">
        <w:rPr>
          <w:sz w:val="24"/>
          <w:lang w:val="da-DK"/>
        </w:rPr>
        <w:t xml:space="preserve"> </w:t>
      </w:r>
      <w:r w:rsidRPr="009616F8">
        <w:rPr>
          <w:sz w:val="24"/>
          <w:lang w:val="da-DK"/>
        </w:rPr>
        <w:tab/>
        <w:t>Europa-Parlamentets og Rådets direktiv </w:t>
      </w:r>
      <w:r w:rsidR="00CA30C3" w:rsidRPr="00CA30C3">
        <w:rPr>
          <w:sz w:val="24"/>
          <w:lang w:val="da-DK"/>
        </w:rPr>
        <w:t>2002</w:t>
      </w:r>
      <w:r w:rsidRPr="009616F8">
        <w:rPr>
          <w:sz w:val="24"/>
          <w:lang w:val="da-DK"/>
        </w:rPr>
        <w:t>/</w:t>
      </w:r>
      <w:r w:rsidR="00CA30C3" w:rsidRPr="00CA30C3">
        <w:rPr>
          <w:sz w:val="24"/>
          <w:lang w:val="da-DK"/>
        </w:rPr>
        <w:t>87</w:t>
      </w:r>
      <w:r w:rsidRPr="009616F8">
        <w:rPr>
          <w:sz w:val="24"/>
          <w:lang w:val="da-DK"/>
        </w:rPr>
        <w:t xml:space="preserve">/EF af </w:t>
      </w:r>
      <w:r w:rsidR="00CA30C3" w:rsidRPr="00CA30C3">
        <w:rPr>
          <w:sz w:val="24"/>
          <w:lang w:val="da-DK"/>
        </w:rPr>
        <w:t>16</w:t>
      </w:r>
      <w:r w:rsidRPr="009616F8">
        <w:rPr>
          <w:sz w:val="24"/>
          <w:lang w:val="da-DK"/>
        </w:rPr>
        <w:t xml:space="preserve">. december </w:t>
      </w:r>
      <w:r w:rsidR="00CA30C3" w:rsidRPr="00CA30C3">
        <w:rPr>
          <w:sz w:val="24"/>
          <w:lang w:val="da-DK"/>
        </w:rPr>
        <w:t>2002</w:t>
      </w:r>
      <w:r w:rsidRPr="009616F8">
        <w:rPr>
          <w:sz w:val="24"/>
          <w:lang w:val="da-DK"/>
        </w:rPr>
        <w:t xml:space="preserve"> om supplerende tilsyn med kreditinstitutter, forsikringsselskaber og investeringsselskaber i et finansielt konglomerat og om ændring af Rådets direktiv </w:t>
      </w:r>
      <w:r w:rsidR="00CA30C3" w:rsidRPr="00CA30C3">
        <w:rPr>
          <w:sz w:val="24"/>
          <w:lang w:val="da-DK"/>
        </w:rPr>
        <w:t>73</w:t>
      </w:r>
      <w:r w:rsidRPr="009616F8">
        <w:rPr>
          <w:sz w:val="24"/>
          <w:lang w:val="da-DK"/>
        </w:rPr>
        <w:t>/</w:t>
      </w:r>
      <w:r w:rsidR="00CA30C3" w:rsidRPr="00CA30C3">
        <w:rPr>
          <w:sz w:val="24"/>
          <w:lang w:val="da-DK"/>
        </w:rPr>
        <w:t>239</w:t>
      </w:r>
      <w:r w:rsidRPr="009616F8">
        <w:rPr>
          <w:sz w:val="24"/>
          <w:lang w:val="da-DK"/>
        </w:rPr>
        <w:t xml:space="preserve">/EØF, </w:t>
      </w:r>
      <w:r w:rsidR="00CA30C3" w:rsidRPr="00CA30C3">
        <w:rPr>
          <w:sz w:val="24"/>
          <w:lang w:val="da-DK"/>
        </w:rPr>
        <w:t>79</w:t>
      </w:r>
      <w:r w:rsidRPr="009616F8">
        <w:rPr>
          <w:sz w:val="24"/>
          <w:lang w:val="da-DK"/>
        </w:rPr>
        <w:t>/</w:t>
      </w:r>
      <w:r w:rsidR="00CA30C3" w:rsidRPr="00CA30C3">
        <w:rPr>
          <w:sz w:val="24"/>
          <w:lang w:val="da-DK"/>
        </w:rPr>
        <w:t>267</w:t>
      </w:r>
      <w:r w:rsidRPr="009616F8">
        <w:rPr>
          <w:sz w:val="24"/>
          <w:lang w:val="da-DK"/>
        </w:rPr>
        <w:t xml:space="preserve">/EØF, </w:t>
      </w:r>
      <w:r w:rsidR="00CA30C3" w:rsidRPr="00CA30C3">
        <w:rPr>
          <w:sz w:val="24"/>
          <w:lang w:val="da-DK"/>
        </w:rPr>
        <w:t>92</w:t>
      </w:r>
      <w:r w:rsidRPr="009616F8">
        <w:rPr>
          <w:sz w:val="24"/>
          <w:lang w:val="da-DK"/>
        </w:rPr>
        <w:t>/</w:t>
      </w:r>
      <w:r w:rsidR="00CA30C3" w:rsidRPr="00CA30C3">
        <w:rPr>
          <w:sz w:val="24"/>
          <w:lang w:val="da-DK"/>
        </w:rPr>
        <w:t>49</w:t>
      </w:r>
      <w:r w:rsidRPr="009616F8">
        <w:rPr>
          <w:sz w:val="24"/>
          <w:lang w:val="da-DK"/>
        </w:rPr>
        <w:t xml:space="preserve">/EØF, </w:t>
      </w:r>
      <w:r w:rsidR="00CA30C3" w:rsidRPr="00CA30C3">
        <w:rPr>
          <w:sz w:val="24"/>
          <w:lang w:val="da-DK"/>
        </w:rPr>
        <w:t>92</w:t>
      </w:r>
      <w:r w:rsidRPr="009616F8">
        <w:rPr>
          <w:sz w:val="24"/>
          <w:lang w:val="da-DK"/>
        </w:rPr>
        <w:t>/</w:t>
      </w:r>
      <w:r w:rsidR="00CA30C3" w:rsidRPr="00CA30C3">
        <w:rPr>
          <w:sz w:val="24"/>
          <w:lang w:val="da-DK"/>
        </w:rPr>
        <w:t>96</w:t>
      </w:r>
      <w:r w:rsidRPr="009616F8">
        <w:rPr>
          <w:sz w:val="24"/>
          <w:lang w:val="da-DK"/>
        </w:rPr>
        <w:t xml:space="preserve">/EØF, </w:t>
      </w:r>
      <w:r w:rsidR="00CA30C3" w:rsidRPr="00CA30C3">
        <w:rPr>
          <w:sz w:val="24"/>
          <w:lang w:val="da-DK"/>
        </w:rPr>
        <w:t>93</w:t>
      </w:r>
      <w:r w:rsidRPr="009616F8">
        <w:rPr>
          <w:sz w:val="24"/>
          <w:lang w:val="da-DK"/>
        </w:rPr>
        <w:t>/</w:t>
      </w:r>
      <w:r w:rsidR="00CA30C3" w:rsidRPr="00CA30C3">
        <w:rPr>
          <w:sz w:val="24"/>
          <w:lang w:val="da-DK"/>
        </w:rPr>
        <w:t>6</w:t>
      </w:r>
      <w:r w:rsidRPr="009616F8">
        <w:rPr>
          <w:sz w:val="24"/>
          <w:lang w:val="da-DK"/>
        </w:rPr>
        <w:t>/EØF og </w:t>
      </w:r>
      <w:r w:rsidR="00CA30C3" w:rsidRPr="00CA30C3">
        <w:rPr>
          <w:sz w:val="24"/>
          <w:lang w:val="da-DK"/>
        </w:rPr>
        <w:t>93</w:t>
      </w:r>
      <w:r w:rsidRPr="009616F8">
        <w:rPr>
          <w:sz w:val="24"/>
          <w:lang w:val="da-DK"/>
        </w:rPr>
        <w:t>/</w:t>
      </w:r>
      <w:r w:rsidR="00CA30C3" w:rsidRPr="00CA30C3">
        <w:rPr>
          <w:sz w:val="24"/>
          <w:lang w:val="da-DK"/>
        </w:rPr>
        <w:t>22</w:t>
      </w:r>
      <w:r w:rsidRPr="009616F8">
        <w:rPr>
          <w:sz w:val="24"/>
          <w:lang w:val="da-DK"/>
        </w:rPr>
        <w:t>/EØF samt Europa-Parlamentets og Rådets direktiv </w:t>
      </w:r>
      <w:r w:rsidR="00CA30C3" w:rsidRPr="00CA30C3">
        <w:rPr>
          <w:sz w:val="24"/>
          <w:lang w:val="da-DK"/>
        </w:rPr>
        <w:t>98</w:t>
      </w:r>
      <w:r w:rsidRPr="009616F8">
        <w:rPr>
          <w:sz w:val="24"/>
          <w:lang w:val="da-DK"/>
        </w:rPr>
        <w:t>/</w:t>
      </w:r>
      <w:r w:rsidR="00CA30C3" w:rsidRPr="00CA30C3">
        <w:rPr>
          <w:sz w:val="24"/>
          <w:lang w:val="da-DK"/>
        </w:rPr>
        <w:t>78</w:t>
      </w:r>
      <w:r w:rsidRPr="009616F8">
        <w:rPr>
          <w:sz w:val="24"/>
          <w:lang w:val="da-DK"/>
        </w:rPr>
        <w:t>/EF og </w:t>
      </w:r>
      <w:r w:rsidR="00CA30C3" w:rsidRPr="00CA30C3">
        <w:rPr>
          <w:sz w:val="24"/>
          <w:lang w:val="da-DK"/>
        </w:rPr>
        <w:t>2000</w:t>
      </w:r>
      <w:r w:rsidRPr="009616F8">
        <w:rPr>
          <w:sz w:val="24"/>
          <w:lang w:val="da-DK"/>
        </w:rPr>
        <w:t>/</w:t>
      </w:r>
      <w:r w:rsidR="00CA30C3" w:rsidRPr="00CA30C3">
        <w:rPr>
          <w:sz w:val="24"/>
          <w:lang w:val="da-DK"/>
        </w:rPr>
        <w:t>12</w:t>
      </w:r>
      <w:r w:rsidRPr="009616F8">
        <w:rPr>
          <w:sz w:val="24"/>
          <w:lang w:val="da-DK"/>
        </w:rPr>
        <w:t>/EF (EUT L </w:t>
      </w:r>
      <w:r w:rsidR="00CA30C3" w:rsidRPr="00CA30C3">
        <w:rPr>
          <w:sz w:val="24"/>
          <w:lang w:val="da-DK"/>
        </w:rPr>
        <w:t>35</w:t>
      </w:r>
      <w:r w:rsidRPr="009616F8">
        <w:rPr>
          <w:sz w:val="24"/>
          <w:lang w:val="da-DK"/>
        </w:rPr>
        <w:t xml:space="preserve"> af </w:t>
      </w:r>
      <w:r w:rsidR="00CA30C3" w:rsidRPr="00CA30C3">
        <w:rPr>
          <w:sz w:val="24"/>
          <w:lang w:val="da-DK"/>
        </w:rPr>
        <w:t>11</w:t>
      </w:r>
      <w:r w:rsidRPr="009616F8">
        <w:rPr>
          <w:sz w:val="24"/>
          <w:lang w:val="da-DK"/>
        </w:rPr>
        <w:t>.</w:t>
      </w:r>
      <w:r w:rsidR="00CA30C3" w:rsidRPr="00CA30C3">
        <w:rPr>
          <w:sz w:val="24"/>
          <w:lang w:val="da-DK"/>
        </w:rPr>
        <w:t>2</w:t>
      </w:r>
      <w:r w:rsidRPr="009616F8">
        <w:rPr>
          <w:sz w:val="24"/>
          <w:lang w:val="da-DK"/>
        </w:rPr>
        <w:t>.</w:t>
      </w:r>
      <w:r w:rsidR="00CA30C3" w:rsidRPr="00CA30C3">
        <w:rPr>
          <w:sz w:val="24"/>
          <w:lang w:val="da-DK"/>
        </w:rPr>
        <w:t>2003</w:t>
      </w:r>
      <w:r w:rsidRPr="009616F8">
        <w:rPr>
          <w:sz w:val="24"/>
          <w:lang w:val="da-DK"/>
        </w:rPr>
        <w:t>, s. </w:t>
      </w:r>
      <w:r w:rsidR="00CA30C3" w:rsidRPr="00CA30C3">
        <w:rPr>
          <w:sz w:val="24"/>
          <w:lang w:val="da-DK"/>
        </w:rPr>
        <w:t>1</w:t>
      </w:r>
      <w:r w:rsidRPr="009616F8">
        <w:rPr>
          <w:sz w:val="24"/>
          <w:lang w:val="da-DK"/>
        </w:rPr>
        <w:t xml:space="preserve">, ELI: </w:t>
      </w:r>
      <w:hyperlink r:id="rId21" w:tgtFrame="http://data.europa.eu/eli/dir/2002/87/oj" w:history="1">
        <w:r w:rsidRPr="009616F8">
          <w:rPr>
            <w:rStyle w:val="Hyperlink"/>
            <w:sz w:val="24"/>
            <w:lang w:val="da-DK"/>
          </w:rPr>
          <w:t>http://data.europa.eu/eli/dir/</w:t>
        </w:r>
        <w:r w:rsidR="00CA30C3" w:rsidRPr="00CA30C3">
          <w:rPr>
            <w:rStyle w:val="Hyperlink"/>
            <w:sz w:val="24"/>
            <w:lang w:val="da-DK"/>
          </w:rPr>
          <w:t>2002</w:t>
        </w:r>
        <w:r w:rsidRPr="009616F8">
          <w:rPr>
            <w:rStyle w:val="Hyperlink"/>
            <w:sz w:val="24"/>
            <w:lang w:val="da-DK"/>
          </w:rPr>
          <w:t>/</w:t>
        </w:r>
        <w:r w:rsidR="00CA30C3" w:rsidRPr="00CA30C3">
          <w:rPr>
            <w:rStyle w:val="Hyperlink"/>
            <w:sz w:val="24"/>
            <w:lang w:val="da-DK"/>
          </w:rPr>
          <w:t>87</w:t>
        </w:r>
        <w:r w:rsidRPr="009616F8">
          <w:rPr>
            <w:rStyle w:val="Hyperlink"/>
            <w:sz w:val="24"/>
            <w:lang w:val="da-DK"/>
          </w:rPr>
          <w:t>/oj).</w:t>
        </w:r>
      </w:hyperlink>
    </w:p>
  </w:footnote>
  <w:footnote w:id="25">
    <w:p w14:paraId="7E6DED0D" w14:textId="6AAB6815" w:rsidR="00B57FAA" w:rsidRPr="009616F8" w:rsidRDefault="00B57FAA" w:rsidP="009616F8">
      <w:pPr>
        <w:pStyle w:val="FootnoteText"/>
        <w:ind w:left="567" w:hanging="567"/>
        <w:rPr>
          <w:sz w:val="24"/>
          <w:lang w:val="da-DK"/>
        </w:rPr>
      </w:pPr>
      <w:r>
        <w:rPr>
          <w:rStyle w:val="FootnoteReference"/>
        </w:rPr>
        <w:footnoteRef/>
      </w:r>
      <w:r w:rsidRPr="009616F8">
        <w:rPr>
          <w:sz w:val="24"/>
          <w:lang w:val="da-DK"/>
        </w:rPr>
        <w:t xml:space="preserve"> </w:t>
      </w:r>
      <w:r w:rsidRPr="009616F8">
        <w:rPr>
          <w:sz w:val="24"/>
          <w:lang w:val="da-DK"/>
        </w:rPr>
        <w:tab/>
        <w:t xml:space="preserve">Europa-Parlamentets og Rådets direktiv </w:t>
      </w:r>
      <w:r w:rsidR="00CA30C3" w:rsidRPr="00CA30C3">
        <w:rPr>
          <w:sz w:val="24"/>
          <w:lang w:val="da-DK"/>
        </w:rPr>
        <w:t>2009</w:t>
      </w:r>
      <w:r w:rsidRPr="009616F8">
        <w:rPr>
          <w:sz w:val="24"/>
          <w:lang w:val="da-DK"/>
        </w:rPr>
        <w:t>/</w:t>
      </w:r>
      <w:r w:rsidR="00CA30C3" w:rsidRPr="00CA30C3">
        <w:rPr>
          <w:sz w:val="24"/>
          <w:lang w:val="da-DK"/>
        </w:rPr>
        <w:t>138</w:t>
      </w:r>
      <w:r w:rsidRPr="009616F8">
        <w:rPr>
          <w:sz w:val="24"/>
          <w:lang w:val="da-DK"/>
        </w:rPr>
        <w:t xml:space="preserve">/EF af </w:t>
      </w:r>
      <w:r w:rsidR="00CA30C3" w:rsidRPr="00CA30C3">
        <w:rPr>
          <w:sz w:val="24"/>
          <w:lang w:val="da-DK"/>
        </w:rPr>
        <w:t>25</w:t>
      </w:r>
      <w:r w:rsidRPr="009616F8">
        <w:rPr>
          <w:sz w:val="24"/>
          <w:lang w:val="da-DK"/>
        </w:rPr>
        <w:t xml:space="preserve">. november </w:t>
      </w:r>
      <w:r w:rsidR="00CA30C3" w:rsidRPr="00CA30C3">
        <w:rPr>
          <w:sz w:val="24"/>
          <w:lang w:val="da-DK"/>
        </w:rPr>
        <w:t>2009</w:t>
      </w:r>
      <w:r w:rsidRPr="009616F8">
        <w:rPr>
          <w:sz w:val="24"/>
          <w:lang w:val="da-DK"/>
        </w:rPr>
        <w:t xml:space="preserve"> om adgang til og udøvelse af forsikrings- og genforsikringsvirksomhed (Solvens II) (EUT L </w:t>
      </w:r>
      <w:r w:rsidR="00CA30C3" w:rsidRPr="00CA30C3">
        <w:rPr>
          <w:sz w:val="24"/>
          <w:lang w:val="da-DK"/>
        </w:rPr>
        <w:t>335</w:t>
      </w:r>
      <w:r w:rsidRPr="009616F8">
        <w:rPr>
          <w:sz w:val="24"/>
          <w:lang w:val="da-DK"/>
        </w:rPr>
        <w:t xml:space="preserve"> af </w:t>
      </w:r>
      <w:r w:rsidR="00CA30C3" w:rsidRPr="00CA30C3">
        <w:rPr>
          <w:sz w:val="24"/>
          <w:lang w:val="da-DK"/>
        </w:rPr>
        <w:t>17</w:t>
      </w:r>
      <w:r w:rsidRPr="009616F8">
        <w:rPr>
          <w:sz w:val="24"/>
          <w:lang w:val="da-DK"/>
        </w:rPr>
        <w:t>.</w:t>
      </w:r>
      <w:r w:rsidR="00CA30C3" w:rsidRPr="00CA30C3">
        <w:rPr>
          <w:sz w:val="24"/>
          <w:lang w:val="da-DK"/>
        </w:rPr>
        <w:t>12</w:t>
      </w:r>
      <w:r w:rsidRPr="009616F8">
        <w:rPr>
          <w:sz w:val="24"/>
          <w:lang w:val="da-DK"/>
        </w:rPr>
        <w:t>.</w:t>
      </w:r>
      <w:r w:rsidR="00CA30C3" w:rsidRPr="00CA30C3">
        <w:rPr>
          <w:sz w:val="24"/>
          <w:lang w:val="da-DK"/>
        </w:rPr>
        <w:t>2009</w:t>
      </w:r>
      <w:r w:rsidRPr="009616F8">
        <w:rPr>
          <w:sz w:val="24"/>
          <w:lang w:val="da-DK"/>
        </w:rPr>
        <w:t>, s. </w:t>
      </w:r>
      <w:r w:rsidR="00CA30C3" w:rsidRPr="00CA30C3">
        <w:rPr>
          <w:sz w:val="24"/>
          <w:lang w:val="da-DK"/>
        </w:rPr>
        <w:t>1</w:t>
      </w:r>
      <w:r w:rsidRPr="009616F8">
        <w:rPr>
          <w:sz w:val="24"/>
          <w:lang w:val="da-DK"/>
        </w:rPr>
        <w:t xml:space="preserve">, ELI: </w:t>
      </w:r>
      <w:hyperlink r:id="rId22" w:tgtFrame="http://data.europa.eu/eli/dir/2009/138/oj" w:history="1">
        <w:r w:rsidRPr="009616F8">
          <w:rPr>
            <w:rStyle w:val="Hyperlink"/>
            <w:sz w:val="24"/>
            <w:lang w:val="da-DK"/>
          </w:rPr>
          <w:t>http://data.europa.eu/eli/dir/</w:t>
        </w:r>
        <w:r w:rsidR="00CA30C3" w:rsidRPr="00CA30C3">
          <w:rPr>
            <w:rStyle w:val="Hyperlink"/>
            <w:sz w:val="24"/>
            <w:lang w:val="da-DK"/>
          </w:rPr>
          <w:t>2009</w:t>
        </w:r>
        <w:r w:rsidRPr="009616F8">
          <w:rPr>
            <w:rStyle w:val="Hyperlink"/>
            <w:sz w:val="24"/>
            <w:lang w:val="da-DK"/>
          </w:rPr>
          <w:t>/</w:t>
        </w:r>
        <w:r w:rsidR="00CA30C3" w:rsidRPr="00CA30C3">
          <w:rPr>
            <w:rStyle w:val="Hyperlink"/>
            <w:sz w:val="24"/>
            <w:lang w:val="da-DK"/>
          </w:rPr>
          <w:t>138</w:t>
        </w:r>
        <w:r w:rsidRPr="009616F8">
          <w:rPr>
            <w:rStyle w:val="Hyperlink"/>
            <w:sz w:val="24"/>
            <w:lang w:val="da-DK"/>
          </w:rPr>
          <w:t>/oj).</w:t>
        </w:r>
      </w:hyperlink>
    </w:p>
  </w:footnote>
  <w:footnote w:id="26">
    <w:p w14:paraId="3FE17939" w14:textId="0E1ED1DA" w:rsidR="00B57FAA" w:rsidRPr="009616F8" w:rsidRDefault="00B57FAA" w:rsidP="009616F8">
      <w:pPr>
        <w:pStyle w:val="FootnoteText"/>
        <w:ind w:left="567" w:hanging="567"/>
        <w:rPr>
          <w:sz w:val="24"/>
          <w:lang w:val="da-DK"/>
        </w:rPr>
      </w:pPr>
      <w:r>
        <w:rPr>
          <w:rStyle w:val="FootnoteReference"/>
        </w:rPr>
        <w:footnoteRef/>
      </w:r>
      <w:r w:rsidRPr="009616F8">
        <w:rPr>
          <w:sz w:val="24"/>
          <w:lang w:val="da-DK"/>
        </w:rPr>
        <w:t xml:space="preserve"> </w:t>
      </w:r>
      <w:r w:rsidRPr="009616F8">
        <w:rPr>
          <w:sz w:val="24"/>
          <w:lang w:val="da-DK"/>
        </w:rPr>
        <w:tab/>
        <w:t>Kommissionens forordning (EU) nr. </w:t>
      </w:r>
      <w:r w:rsidR="00CA30C3" w:rsidRPr="00CA30C3">
        <w:rPr>
          <w:sz w:val="24"/>
          <w:lang w:val="da-DK"/>
        </w:rPr>
        <w:t>651</w:t>
      </w:r>
      <w:r w:rsidRPr="009616F8">
        <w:rPr>
          <w:sz w:val="24"/>
          <w:lang w:val="da-DK"/>
        </w:rPr>
        <w:t>/</w:t>
      </w:r>
      <w:r w:rsidR="00CA30C3" w:rsidRPr="00CA30C3">
        <w:rPr>
          <w:sz w:val="24"/>
          <w:lang w:val="da-DK"/>
        </w:rPr>
        <w:t>2014</w:t>
      </w:r>
      <w:r w:rsidRPr="009616F8">
        <w:rPr>
          <w:sz w:val="24"/>
          <w:lang w:val="da-DK"/>
        </w:rPr>
        <w:t xml:space="preserve"> af </w:t>
      </w:r>
      <w:r w:rsidR="00CA30C3" w:rsidRPr="00CA30C3">
        <w:rPr>
          <w:sz w:val="24"/>
          <w:lang w:val="da-DK"/>
        </w:rPr>
        <w:t>17</w:t>
      </w:r>
      <w:r w:rsidRPr="009616F8">
        <w:rPr>
          <w:sz w:val="24"/>
          <w:lang w:val="da-DK"/>
        </w:rPr>
        <w:t xml:space="preserve">. juni </w:t>
      </w:r>
      <w:r w:rsidR="00CA30C3" w:rsidRPr="00CA30C3">
        <w:rPr>
          <w:sz w:val="24"/>
          <w:lang w:val="da-DK"/>
        </w:rPr>
        <w:t>2014</w:t>
      </w:r>
      <w:r w:rsidRPr="009616F8">
        <w:rPr>
          <w:sz w:val="24"/>
          <w:lang w:val="da-DK"/>
        </w:rPr>
        <w:t xml:space="preserve"> om visse kategorier af støttes forenelighed med det indre marked i henhold til traktatens artikel </w:t>
      </w:r>
      <w:r w:rsidR="00CA30C3" w:rsidRPr="00CA30C3">
        <w:rPr>
          <w:sz w:val="24"/>
          <w:lang w:val="da-DK"/>
        </w:rPr>
        <w:t>107</w:t>
      </w:r>
      <w:r w:rsidRPr="009616F8">
        <w:rPr>
          <w:sz w:val="24"/>
          <w:lang w:val="da-DK"/>
        </w:rPr>
        <w:t xml:space="preserve"> og </w:t>
      </w:r>
      <w:r w:rsidR="00CA30C3" w:rsidRPr="00CA30C3">
        <w:rPr>
          <w:sz w:val="24"/>
          <w:lang w:val="da-DK"/>
        </w:rPr>
        <w:t>108</w:t>
      </w:r>
      <w:r w:rsidRPr="009616F8">
        <w:rPr>
          <w:sz w:val="24"/>
          <w:lang w:val="da-DK"/>
        </w:rPr>
        <w:t xml:space="preserve"> (EUT L </w:t>
      </w:r>
      <w:r w:rsidR="00CA30C3" w:rsidRPr="00CA30C3">
        <w:rPr>
          <w:sz w:val="24"/>
          <w:lang w:val="da-DK"/>
        </w:rPr>
        <w:t>187</w:t>
      </w:r>
      <w:r w:rsidRPr="009616F8">
        <w:rPr>
          <w:sz w:val="24"/>
          <w:lang w:val="da-DK"/>
        </w:rPr>
        <w:t xml:space="preserve"> af </w:t>
      </w:r>
      <w:r w:rsidR="00CA30C3" w:rsidRPr="00CA30C3">
        <w:rPr>
          <w:sz w:val="24"/>
          <w:lang w:val="da-DK"/>
        </w:rPr>
        <w:t>26</w:t>
      </w:r>
      <w:r w:rsidRPr="009616F8">
        <w:rPr>
          <w:sz w:val="24"/>
          <w:lang w:val="da-DK"/>
        </w:rPr>
        <w:t>.</w:t>
      </w:r>
      <w:r w:rsidR="00CA30C3" w:rsidRPr="00CA30C3">
        <w:rPr>
          <w:sz w:val="24"/>
          <w:lang w:val="da-DK"/>
        </w:rPr>
        <w:t>6</w:t>
      </w:r>
      <w:r w:rsidRPr="009616F8">
        <w:rPr>
          <w:sz w:val="24"/>
          <w:lang w:val="da-DK"/>
        </w:rPr>
        <w:t>.</w:t>
      </w:r>
      <w:r w:rsidR="00CA30C3" w:rsidRPr="00CA30C3">
        <w:rPr>
          <w:sz w:val="24"/>
          <w:lang w:val="da-DK"/>
        </w:rPr>
        <w:t>2014</w:t>
      </w:r>
      <w:r w:rsidRPr="009616F8">
        <w:rPr>
          <w:sz w:val="24"/>
          <w:lang w:val="da-DK"/>
        </w:rPr>
        <w:t>, s. </w:t>
      </w:r>
      <w:r w:rsidR="00CA30C3" w:rsidRPr="00CA30C3">
        <w:rPr>
          <w:sz w:val="24"/>
          <w:lang w:val="da-DK"/>
        </w:rPr>
        <w:t>1</w:t>
      </w:r>
      <w:r w:rsidRPr="009616F8">
        <w:rPr>
          <w:sz w:val="24"/>
          <w:lang w:val="da-DK"/>
        </w:rPr>
        <w:t xml:space="preserve">, ELI: </w:t>
      </w:r>
      <w:hyperlink r:id="rId23" w:tgtFrame="http://data.europa.eu/eli/reg/2014/651/oj" w:history="1">
        <w:r w:rsidRPr="009616F8">
          <w:rPr>
            <w:rStyle w:val="Hyperlink"/>
            <w:sz w:val="24"/>
            <w:lang w:val="da-DK"/>
          </w:rPr>
          <w:t>http://data.europa.eu/eli/reg/</w:t>
        </w:r>
        <w:r w:rsidR="00CA30C3" w:rsidRPr="00CA30C3">
          <w:rPr>
            <w:rStyle w:val="Hyperlink"/>
            <w:sz w:val="24"/>
            <w:lang w:val="da-DK"/>
          </w:rPr>
          <w:t>2014</w:t>
        </w:r>
        <w:r w:rsidRPr="009616F8">
          <w:rPr>
            <w:rStyle w:val="Hyperlink"/>
            <w:sz w:val="24"/>
            <w:lang w:val="da-DK"/>
          </w:rPr>
          <w:t>/</w:t>
        </w:r>
        <w:r w:rsidR="00CA30C3" w:rsidRPr="00CA30C3">
          <w:rPr>
            <w:rStyle w:val="Hyperlink"/>
            <w:sz w:val="24"/>
            <w:lang w:val="da-DK"/>
          </w:rPr>
          <w:t>651</w:t>
        </w:r>
        <w:r w:rsidRPr="009616F8">
          <w:rPr>
            <w:rStyle w:val="Hyperlink"/>
            <w:sz w:val="24"/>
            <w:lang w:val="da-DK"/>
          </w:rPr>
          <w:t>/oj).</w:t>
        </w:r>
      </w:hyperlink>
    </w:p>
  </w:footnote>
  <w:footnote w:id="27">
    <w:p w14:paraId="0CD65C04" w14:textId="1E28B69B" w:rsidR="00B57FAA" w:rsidRPr="009616F8" w:rsidRDefault="00B57FAA" w:rsidP="009616F8">
      <w:pPr>
        <w:pStyle w:val="FootnoteText"/>
        <w:ind w:left="567" w:hanging="567"/>
        <w:rPr>
          <w:sz w:val="24"/>
          <w:lang w:val="da-DK"/>
        </w:rPr>
      </w:pPr>
      <w:r>
        <w:rPr>
          <w:rStyle w:val="FootnoteReference"/>
        </w:rPr>
        <w:footnoteRef/>
      </w:r>
      <w:r w:rsidRPr="009616F8">
        <w:rPr>
          <w:sz w:val="24"/>
          <w:lang w:val="da-DK"/>
        </w:rPr>
        <w:t xml:space="preserve"> </w:t>
      </w:r>
      <w:r w:rsidRPr="009616F8">
        <w:rPr>
          <w:sz w:val="24"/>
          <w:lang w:val="da-DK"/>
        </w:rPr>
        <w:tab/>
        <w:t xml:space="preserve">Kommissionens henstilling (EU) </w:t>
      </w:r>
      <w:r w:rsidR="00CA30C3" w:rsidRPr="00CA30C3">
        <w:rPr>
          <w:sz w:val="24"/>
          <w:lang w:val="da-DK"/>
        </w:rPr>
        <w:t>2020</w:t>
      </w:r>
      <w:r w:rsidRPr="009616F8">
        <w:rPr>
          <w:sz w:val="24"/>
          <w:lang w:val="da-DK"/>
        </w:rPr>
        <w:t>/</w:t>
      </w:r>
      <w:r w:rsidR="00CA30C3" w:rsidRPr="00CA30C3">
        <w:rPr>
          <w:sz w:val="24"/>
          <w:lang w:val="da-DK"/>
        </w:rPr>
        <w:t>1039</w:t>
      </w:r>
      <w:r w:rsidRPr="009616F8">
        <w:rPr>
          <w:sz w:val="24"/>
          <w:lang w:val="da-DK"/>
        </w:rPr>
        <w:t xml:space="preserve"> af </w:t>
      </w:r>
      <w:r w:rsidR="00CA30C3" w:rsidRPr="00CA30C3">
        <w:rPr>
          <w:sz w:val="24"/>
          <w:lang w:val="da-DK"/>
        </w:rPr>
        <w:t>14</w:t>
      </w:r>
      <w:r w:rsidRPr="009616F8">
        <w:rPr>
          <w:sz w:val="24"/>
          <w:lang w:val="da-DK"/>
        </w:rPr>
        <w:t xml:space="preserve">. juli </w:t>
      </w:r>
      <w:r w:rsidR="00CA30C3" w:rsidRPr="00CA30C3">
        <w:rPr>
          <w:sz w:val="24"/>
          <w:lang w:val="da-DK"/>
        </w:rPr>
        <w:t>2020</w:t>
      </w:r>
      <w:r w:rsidRPr="009616F8">
        <w:rPr>
          <w:sz w:val="24"/>
          <w:lang w:val="da-DK"/>
        </w:rPr>
        <w:t xml:space="preserve"> om at gøre finansiel støtte til virksomheder i Unionen betinget af fraværet af forbindelser til ikkesamarbejdsvillige jurisdiktioner (EUT L </w:t>
      </w:r>
      <w:r w:rsidR="00CA30C3" w:rsidRPr="00CA30C3">
        <w:rPr>
          <w:sz w:val="24"/>
          <w:lang w:val="da-DK"/>
        </w:rPr>
        <w:t>227</w:t>
      </w:r>
      <w:r w:rsidRPr="009616F8">
        <w:rPr>
          <w:sz w:val="24"/>
          <w:lang w:val="da-DK"/>
        </w:rPr>
        <w:t xml:space="preserve"> af </w:t>
      </w:r>
      <w:r w:rsidR="00CA30C3" w:rsidRPr="00CA30C3">
        <w:rPr>
          <w:sz w:val="24"/>
          <w:lang w:val="da-DK"/>
        </w:rPr>
        <w:t>16</w:t>
      </w:r>
      <w:r w:rsidRPr="009616F8">
        <w:rPr>
          <w:sz w:val="24"/>
          <w:lang w:val="da-DK"/>
        </w:rPr>
        <w:t>.</w:t>
      </w:r>
      <w:r w:rsidR="00CA30C3" w:rsidRPr="00CA30C3">
        <w:rPr>
          <w:sz w:val="24"/>
          <w:lang w:val="da-DK"/>
        </w:rPr>
        <w:t>7</w:t>
      </w:r>
      <w:r w:rsidRPr="009616F8">
        <w:rPr>
          <w:sz w:val="24"/>
          <w:lang w:val="da-DK"/>
        </w:rPr>
        <w:t>.</w:t>
      </w:r>
      <w:r w:rsidR="00CA30C3" w:rsidRPr="00CA30C3">
        <w:rPr>
          <w:sz w:val="24"/>
          <w:lang w:val="da-DK"/>
        </w:rPr>
        <w:t>2020</w:t>
      </w:r>
      <w:r w:rsidRPr="009616F8">
        <w:rPr>
          <w:sz w:val="24"/>
          <w:lang w:val="da-DK"/>
        </w:rPr>
        <w:t>, s. </w:t>
      </w:r>
      <w:r w:rsidR="00CA30C3" w:rsidRPr="00CA30C3">
        <w:rPr>
          <w:sz w:val="24"/>
          <w:lang w:val="da-DK"/>
        </w:rPr>
        <w:t>76</w:t>
      </w:r>
      <w:r w:rsidRPr="009616F8">
        <w:rPr>
          <w:sz w:val="24"/>
          <w:lang w:val="da-DK"/>
        </w:rPr>
        <w:t xml:space="preserve">, ELI: </w:t>
      </w:r>
      <w:hyperlink r:id="rId24" w:tgtFrame="http://data.europa.eu/eli/reco/2020/1039/oj" w:history="1">
        <w:r w:rsidRPr="009616F8">
          <w:rPr>
            <w:rStyle w:val="Hyperlink"/>
            <w:sz w:val="24"/>
            <w:lang w:val="da-DK"/>
          </w:rPr>
          <w:t>http://data.europa.eu/eli/reco/</w:t>
        </w:r>
        <w:r w:rsidR="00CA30C3" w:rsidRPr="00CA30C3">
          <w:rPr>
            <w:rStyle w:val="Hyperlink"/>
            <w:sz w:val="24"/>
            <w:lang w:val="da-DK"/>
          </w:rPr>
          <w:t>2020</w:t>
        </w:r>
        <w:r w:rsidRPr="009616F8">
          <w:rPr>
            <w:rStyle w:val="Hyperlink"/>
            <w:sz w:val="24"/>
            <w:lang w:val="da-DK"/>
          </w:rPr>
          <w:t>/</w:t>
        </w:r>
        <w:r w:rsidR="00CA30C3" w:rsidRPr="00CA30C3">
          <w:rPr>
            <w:rStyle w:val="Hyperlink"/>
            <w:sz w:val="24"/>
            <w:lang w:val="da-DK"/>
          </w:rPr>
          <w:t>1039</w:t>
        </w:r>
        <w:r w:rsidRPr="009616F8">
          <w:rPr>
            <w:rStyle w:val="Hyperlink"/>
            <w:sz w:val="24"/>
            <w:lang w:val="da-DK"/>
          </w:rPr>
          <w:t>/oj).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A0645" w14:textId="77777777" w:rsidR="00064002" w:rsidRPr="009616F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8D6EA" w14:textId="77777777" w:rsidR="00064002" w:rsidRPr="009616F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62959" w14:textId="77777777" w:rsidR="00064002" w:rsidRPr="009616F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94759332">
    <w:abstractNumId w:val="9"/>
  </w:num>
  <w:num w:numId="2" w16cid:durableId="1101684734">
    <w:abstractNumId w:val="9"/>
  </w:num>
  <w:num w:numId="3" w16cid:durableId="1921517800">
    <w:abstractNumId w:val="7"/>
  </w:num>
  <w:num w:numId="4" w16cid:durableId="935209141">
    <w:abstractNumId w:val="7"/>
  </w:num>
  <w:num w:numId="5" w16cid:durableId="120273255">
    <w:abstractNumId w:val="6"/>
  </w:num>
  <w:num w:numId="6" w16cid:durableId="709037739">
    <w:abstractNumId w:val="6"/>
  </w:num>
  <w:num w:numId="7" w16cid:durableId="914779330">
    <w:abstractNumId w:val="5"/>
  </w:num>
  <w:num w:numId="8" w16cid:durableId="869614171">
    <w:abstractNumId w:val="5"/>
  </w:num>
  <w:num w:numId="9" w16cid:durableId="1274898719">
    <w:abstractNumId w:val="4"/>
  </w:num>
  <w:num w:numId="10" w16cid:durableId="2107655838">
    <w:abstractNumId w:val="4"/>
  </w:num>
  <w:num w:numId="11" w16cid:durableId="1338272552">
    <w:abstractNumId w:val="8"/>
  </w:num>
  <w:num w:numId="12" w16cid:durableId="515776578">
    <w:abstractNumId w:val="8"/>
  </w:num>
  <w:num w:numId="13" w16cid:durableId="233272980">
    <w:abstractNumId w:val="3"/>
  </w:num>
  <w:num w:numId="14" w16cid:durableId="1743143187">
    <w:abstractNumId w:val="3"/>
  </w:num>
  <w:num w:numId="15" w16cid:durableId="1761026211">
    <w:abstractNumId w:val="2"/>
  </w:num>
  <w:num w:numId="16" w16cid:durableId="1557660128">
    <w:abstractNumId w:val="2"/>
  </w:num>
  <w:num w:numId="17" w16cid:durableId="308635730">
    <w:abstractNumId w:val="1"/>
  </w:num>
  <w:num w:numId="18" w16cid:durableId="787823132">
    <w:abstractNumId w:val="1"/>
  </w:num>
  <w:num w:numId="19" w16cid:durableId="476848039">
    <w:abstractNumId w:val="0"/>
  </w:num>
  <w:num w:numId="20" w16cid:durableId="2055498915">
    <w:abstractNumId w:val="0"/>
  </w:num>
  <w:num w:numId="21" w16cid:durableId="1137647829">
    <w:abstractNumId w:val="9"/>
  </w:num>
  <w:num w:numId="22" w16cid:durableId="622689053">
    <w:abstractNumId w:val="7"/>
  </w:num>
  <w:num w:numId="23" w16cid:durableId="455410370">
    <w:abstractNumId w:val="6"/>
  </w:num>
  <w:num w:numId="24" w16cid:durableId="2057966333">
    <w:abstractNumId w:val="5"/>
  </w:num>
  <w:num w:numId="25" w16cid:durableId="209463308">
    <w:abstractNumId w:val="4"/>
  </w:num>
  <w:num w:numId="26" w16cid:durableId="1291940629">
    <w:abstractNumId w:val="8"/>
  </w:num>
  <w:num w:numId="27" w16cid:durableId="1900743693">
    <w:abstractNumId w:val="3"/>
  </w:num>
  <w:num w:numId="28" w16cid:durableId="1709336497">
    <w:abstractNumId w:val="2"/>
  </w:num>
  <w:num w:numId="29" w16cid:durableId="1109662719">
    <w:abstractNumId w:val="1"/>
  </w:num>
  <w:num w:numId="30" w16cid:durableId="1022589965">
    <w:abstractNumId w:val="0"/>
  </w:num>
  <w:num w:numId="31" w16cid:durableId="480121872">
    <w:abstractNumId w:val="9"/>
  </w:num>
  <w:num w:numId="32" w16cid:durableId="2006008123">
    <w:abstractNumId w:val="7"/>
  </w:num>
  <w:num w:numId="33" w16cid:durableId="2017538381">
    <w:abstractNumId w:val="6"/>
  </w:num>
  <w:num w:numId="34" w16cid:durableId="1482112041">
    <w:abstractNumId w:val="5"/>
  </w:num>
  <w:num w:numId="35" w16cid:durableId="525870467">
    <w:abstractNumId w:val="4"/>
  </w:num>
  <w:num w:numId="36" w16cid:durableId="1643196855">
    <w:abstractNumId w:val="8"/>
  </w:num>
  <w:num w:numId="37" w16cid:durableId="1882981795">
    <w:abstractNumId w:val="3"/>
  </w:num>
  <w:num w:numId="38" w16cid:durableId="866795454">
    <w:abstractNumId w:val="2"/>
  </w:num>
  <w:num w:numId="39" w16cid:durableId="820535255">
    <w:abstractNumId w:val="1"/>
  </w:num>
  <w:num w:numId="40" w16cid:durableId="943416641">
    <w:abstractNumId w:val="0"/>
  </w:num>
  <w:num w:numId="41" w16cid:durableId="1745910367">
    <w:abstractNumId w:val="10"/>
  </w:num>
  <w:num w:numId="42" w16cid:durableId="1162433887">
    <w:abstractNumId w:val="10"/>
  </w:num>
  <w:num w:numId="43" w16cid:durableId="1170413765">
    <w:abstractNumId w:val="10"/>
  </w:num>
  <w:num w:numId="44" w16cid:durableId="19518622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6"/>
    <w:docVar w:name="dvlangue" w:val="DA"/>
    <w:docVar w:name="dvnumam" w:val="0"/>
    <w:docVar w:name="dvpe" w:val="779.796"/>
    <w:docVar w:name="dvrapporteur" w:val="Ordfører: "/>
    <w:docVar w:name="dvtitre" w:val="Europa-Parlamentets beslutning af xx. juli 2026 om konkurrencepolitik – årsberetning 2025(2025/2134(INI))"/>
  </w:docVars>
  <w:rsids>
    <w:rsidRoot w:val="00EC36D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2167"/>
    <w:rsid w:val="004100B1"/>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4E87"/>
    <w:rsid w:val="006729C2"/>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47C4"/>
    <w:rsid w:val="008C2AC6"/>
    <w:rsid w:val="00930C23"/>
    <w:rsid w:val="0093193B"/>
    <w:rsid w:val="009509D8"/>
    <w:rsid w:val="00950B64"/>
    <w:rsid w:val="009616F8"/>
    <w:rsid w:val="00981893"/>
    <w:rsid w:val="009921F8"/>
    <w:rsid w:val="00A1687D"/>
    <w:rsid w:val="00A43E52"/>
    <w:rsid w:val="00A4678D"/>
    <w:rsid w:val="00A61FE8"/>
    <w:rsid w:val="00A778C7"/>
    <w:rsid w:val="00AA7F7D"/>
    <w:rsid w:val="00AB441E"/>
    <w:rsid w:val="00AB6293"/>
    <w:rsid w:val="00AE0928"/>
    <w:rsid w:val="00AF3B82"/>
    <w:rsid w:val="00B12E95"/>
    <w:rsid w:val="00B22876"/>
    <w:rsid w:val="00B558F0"/>
    <w:rsid w:val="00B57FAA"/>
    <w:rsid w:val="00B82925"/>
    <w:rsid w:val="00BD48FE"/>
    <w:rsid w:val="00BD7BD8"/>
    <w:rsid w:val="00BE6ADC"/>
    <w:rsid w:val="00C05BFE"/>
    <w:rsid w:val="00C23CD4"/>
    <w:rsid w:val="00C61C0C"/>
    <w:rsid w:val="00C941CB"/>
    <w:rsid w:val="00CA30C3"/>
    <w:rsid w:val="00CC2357"/>
    <w:rsid w:val="00CF071A"/>
    <w:rsid w:val="00D058B8"/>
    <w:rsid w:val="00D56C11"/>
    <w:rsid w:val="00D834A0"/>
    <w:rsid w:val="00D872DF"/>
    <w:rsid w:val="00D91E21"/>
    <w:rsid w:val="00DA7FCD"/>
    <w:rsid w:val="00E365E1"/>
    <w:rsid w:val="00E820A4"/>
    <w:rsid w:val="00EB006A"/>
    <w:rsid w:val="00EB4772"/>
    <w:rsid w:val="00EC36D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B94943"/>
  <w15:chartTrackingRefBased/>
  <w15:docId w15:val="{AD9E3B18-010A-4B9F-8614-FD2998447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729C2"/>
    <w:pPr>
      <w:widowControl/>
      <w:spacing w:after="240"/>
    </w:pPr>
    <w:rPr>
      <w:szCs w:val="24"/>
      <w:lang w:eastAsia="en-US"/>
    </w:rPr>
  </w:style>
  <w:style w:type="paragraph" w:customStyle="1" w:styleId="NormalHanging12a">
    <w:name w:val="NormalHanging12a"/>
    <w:basedOn w:val="Normal"/>
    <w:rsid w:val="006729C2"/>
    <w:pPr>
      <w:widowControl/>
      <w:spacing w:after="240"/>
      <w:ind w:left="566" w:hanging="566"/>
    </w:pPr>
    <w:rPr>
      <w:szCs w:val="24"/>
      <w:lang w:eastAsia="en-US"/>
    </w:rPr>
  </w:style>
  <w:style w:type="paragraph" w:customStyle="1" w:styleId="Normal12">
    <w:name w:val="Normal12"/>
    <w:basedOn w:val="Normal"/>
    <w:rsid w:val="006729C2"/>
    <w:pPr>
      <w:spacing w:after="240"/>
    </w:pPr>
    <w:rPr>
      <w:szCs w:val="24"/>
      <w:lang w:eastAsia="en-US"/>
    </w:rPr>
  </w:style>
  <w:style w:type="paragraph" w:customStyle="1" w:styleId="NormalHanging">
    <w:name w:val="NormalHanging"/>
    <w:basedOn w:val="Normal"/>
    <w:rsid w:val="006729C2"/>
    <w:pPr>
      <w:spacing w:after="240"/>
      <w:ind w:left="566" w:hanging="566"/>
    </w:pPr>
    <w:rPr>
      <w:szCs w:val="24"/>
      <w:lang w:eastAsia="en-US"/>
    </w:rPr>
  </w:style>
  <w:style w:type="paragraph" w:customStyle="1" w:styleId="NormalCenter12a">
    <w:name w:val="NormalCenter12a"/>
    <w:basedOn w:val="Normal"/>
    <w:rsid w:val="006729C2"/>
    <w:pPr>
      <w:widowControl/>
      <w:spacing w:after="240"/>
      <w:jc w:val="center"/>
    </w:pPr>
    <w:rPr>
      <w:szCs w:val="24"/>
      <w:lang w:eastAsia="en-US"/>
    </w:rPr>
  </w:style>
  <w:style w:type="character" w:styleId="Hyperlink">
    <w:name w:val="Hyperlink"/>
    <w:basedOn w:val="DefaultParagraphFont"/>
    <w:rsid w:val="006729C2"/>
    <w:rPr>
      <w:color w:val="0000FF"/>
      <w:u w:val="single"/>
    </w:rPr>
  </w:style>
  <w:style w:type="paragraph" w:styleId="Revision">
    <w:name w:val="Revision"/>
    <w:hidden/>
    <w:uiPriority w:val="99"/>
    <w:semiHidden/>
    <w:rsid w:val="00B82925"/>
    <w:rPr>
      <w:sz w:val="24"/>
      <w:lang w:val="da-DK"/>
    </w:rPr>
  </w:style>
  <w:style w:type="character" w:styleId="UnresolvedMention">
    <w:name w:val="Unresolved Mention"/>
    <w:basedOn w:val="DefaultParagraphFont"/>
    <w:uiPriority w:val="99"/>
    <w:semiHidden/>
    <w:unhideWhenUsed/>
    <w:rsid w:val="00664E87"/>
    <w:rPr>
      <w:color w:val="605E5C"/>
      <w:shd w:val="clear" w:color="auto" w:fill="E1DFDD"/>
    </w:rPr>
  </w:style>
  <w:style w:type="character" w:styleId="FollowedHyperlink">
    <w:name w:val="FollowedHyperlink"/>
    <w:basedOn w:val="DefaultParagraphFont"/>
    <w:rsid w:val="00664E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3602/oj" TargetMode="External"/><Relationship Id="rId13" Type="http://schemas.openxmlformats.org/officeDocument/2006/relationships/hyperlink" Target="http://data.europa.eu/eli/dec/2025/2376/oj" TargetMode="External"/><Relationship Id="rId18" Type="http://schemas.openxmlformats.org/officeDocument/2006/relationships/hyperlink" Target="http://data.europa.eu/eli/dir/2014/104/oj" TargetMode="External"/><Relationship Id="rId3" Type="http://schemas.openxmlformats.org/officeDocument/2006/relationships/hyperlink" Target="https://eur-lex.europa.eu/legal-content/DA/TXT/?uri=uriserv%3AOJ.L_.2004.024.01.0001.01.ENG" TargetMode="External"/><Relationship Id="rId21" Type="http://schemas.openxmlformats.org/officeDocument/2006/relationships/hyperlink" Target="http://data.europa.eu/eli/dir/2002/87/oj" TargetMode="External"/><Relationship Id="rId7" Type="http://schemas.openxmlformats.org/officeDocument/2006/relationships/hyperlink" Target="http://data.europa.eu/eli/C/2026/224/oj" TargetMode="External"/><Relationship Id="rId12" Type="http://schemas.openxmlformats.org/officeDocument/2006/relationships/hyperlink" Target="http://data.europa.eu/eli/reg/2024/1252/oj" TargetMode="External"/><Relationship Id="rId17" Type="http://schemas.openxmlformats.org/officeDocument/2006/relationships/hyperlink" Target="http://data.europa.eu/eli/reg/2004/773/oj" TargetMode="External"/><Relationship Id="rId2" Type="http://schemas.openxmlformats.org/officeDocument/2006/relationships/hyperlink" Target="http://data.europa.eu/eli/reg/2022/2065/oj" TargetMode="External"/><Relationship Id="rId16" Type="http://schemas.openxmlformats.org/officeDocument/2006/relationships/hyperlink" Target="http://data.europa.eu/eli/reg/2003/1/oj" TargetMode="External"/><Relationship Id="rId20" Type="http://schemas.openxmlformats.org/officeDocument/2006/relationships/hyperlink" Target="http://data.europa.eu/eli/reg/2015/751/oj" TargetMode="External"/><Relationship Id="rId1" Type="http://schemas.openxmlformats.org/officeDocument/2006/relationships/hyperlink" Target="http://data.europa.eu/eli/reg/2022/1925/oj" TargetMode="External"/><Relationship Id="rId6" Type="http://schemas.openxmlformats.org/officeDocument/2006/relationships/hyperlink" Target="http://data.europa.eu/eli/reg/2022/2560/oj" TargetMode="External"/><Relationship Id="rId11" Type="http://schemas.openxmlformats.org/officeDocument/2006/relationships/hyperlink" Target="http://data.europa.eu/eli/reg_del/2022/1214/oj" TargetMode="External"/><Relationship Id="rId24" Type="http://schemas.openxmlformats.org/officeDocument/2006/relationships/hyperlink" Target="http://data.europa.eu/eli/reco/2020/1039/oj" TargetMode="External"/><Relationship Id="rId5" Type="http://schemas.openxmlformats.org/officeDocument/2006/relationships/hyperlink" Target="https://competition-policy.ec.europa.eu/document/download/53e9348d-4f11-46ef-9098-526e24313ee8_en?filename=kd0125000enn_ex-post_evaluation_antitrust_remedies_study_e-version.pdf" TargetMode="External"/><Relationship Id="rId15" Type="http://schemas.openxmlformats.org/officeDocument/2006/relationships/hyperlink" Target="http://data.europa.eu/eli/dir/2019/790/oj" TargetMode="External"/><Relationship Id="rId23" Type="http://schemas.openxmlformats.org/officeDocument/2006/relationships/hyperlink" Target="http://data.europa.eu/eli/reg/2014/651/oj" TargetMode="External"/><Relationship Id="rId10" Type="http://schemas.openxmlformats.org/officeDocument/2006/relationships/hyperlink" Target="http://data.europa.eu/eli/reg_del/2021/2139/oj" TargetMode="External"/><Relationship Id="rId19" Type="http://schemas.openxmlformats.org/officeDocument/2006/relationships/hyperlink" Target="http://data.europa.eu/eli/dir/2019/1/oj" TargetMode="External"/><Relationship Id="rId4" Type="http://schemas.openxmlformats.org/officeDocument/2006/relationships/hyperlink" Target="http://data.europa.eu/eli/C/2026/1472/oj" TargetMode="External"/><Relationship Id="rId9" Type="http://schemas.openxmlformats.org/officeDocument/2006/relationships/hyperlink" Target="http://data.europa.eu/eli/dec/2025/2630/oj" TargetMode="External"/><Relationship Id="rId14" Type="http://schemas.openxmlformats.org/officeDocument/2006/relationships/hyperlink" Target="https://digital-strategy.ec.europa.eu/en/news/commission-reaches-preliminary-position-amazons-and-microsofts-market-leading-cloud-services-should" TargetMode="External"/><Relationship Id="rId22" Type="http://schemas.openxmlformats.org/officeDocument/2006/relationships/hyperlink" Target="http://data.europa.eu/eli/dir/2009/13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6149</Words>
  <Characters>41303</Characters>
  <Application>Microsoft Office Word</Application>
  <DocSecurity>0</DocSecurity>
  <Lines>344</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Anja Nielsen</cp:lastModifiedBy>
  <cp:revision>2</cp:revision>
  <cp:lastPrinted>2004-11-19T15:42:00Z</cp:lastPrinted>
  <dcterms:created xsi:type="dcterms:W3CDTF">2026-07-07T14:30:00Z</dcterms:created>
  <dcterms:modified xsi:type="dcterms:W3CDTF">2026-07-07T14:30:00Z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P10_TA-PROV(2026)0247_A10-0171_2026_</vt:lpwstr>
  </property>
  <property fmtid="{D5CDD505-2E9C-101B-9397-08002B2CF9AE}" pid="4" name="&lt;Type&gt;">
    <vt:lpwstr>RR</vt:lpwstr>
  </property>
</Properties>
</file>