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2725" w14:paraId="36AC0C88" w14:textId="77777777" w:rsidTr="0010095E">
        <w:trPr>
          <w:trHeight w:hRule="exact" w:val="1418"/>
        </w:trPr>
        <w:tc>
          <w:tcPr>
            <w:tcW w:w="6804" w:type="dxa"/>
            <w:shd w:val="clear" w:color="auto" w:fill="auto"/>
            <w:vAlign w:val="center"/>
          </w:tcPr>
          <w:p w14:paraId="67EC342C" w14:textId="77777777" w:rsidR="00751A4A" w:rsidRPr="00412725" w:rsidRDefault="003812E7" w:rsidP="0010095E">
            <w:pPr>
              <w:pStyle w:val="EPName"/>
            </w:pPr>
            <w:r w:rsidRPr="00412725">
              <w:t>Ευρωπαϊκό Κοινοβούλιο</w:t>
            </w:r>
          </w:p>
          <w:p w14:paraId="6B9A7AD6" w14:textId="77777777" w:rsidR="00751A4A" w:rsidRPr="00412725" w:rsidRDefault="005F1B17" w:rsidP="005F1B17">
            <w:pPr>
              <w:pStyle w:val="EPTerm"/>
              <w:rPr>
                <w:rStyle w:val="HideTWBExt"/>
                <w:noProof w:val="0"/>
                <w:vanish w:val="0"/>
                <w:color w:val="auto"/>
              </w:rPr>
            </w:pPr>
            <w:r w:rsidRPr="00412725">
              <w:t>2024</w:t>
            </w:r>
            <w:r w:rsidR="00817416" w:rsidRPr="00412725">
              <w:t>-202</w:t>
            </w:r>
            <w:r w:rsidRPr="00412725">
              <w:t>9</w:t>
            </w:r>
          </w:p>
        </w:tc>
        <w:tc>
          <w:tcPr>
            <w:tcW w:w="2268" w:type="dxa"/>
            <w:shd w:val="clear" w:color="auto" w:fill="auto"/>
          </w:tcPr>
          <w:p w14:paraId="20675171" w14:textId="77777777" w:rsidR="00751A4A" w:rsidRPr="00412725" w:rsidRDefault="00187494" w:rsidP="0010095E">
            <w:pPr>
              <w:pStyle w:val="EPLogo"/>
            </w:pPr>
            <w:r w:rsidRPr="00412725">
              <w:rPr>
                <w:noProof/>
                <w:lang w:eastAsia="ja-JP"/>
              </w:rPr>
              <w:drawing>
                <wp:inline distT="0" distB="0" distL="0" distR="0" wp14:anchorId="616B8C0A" wp14:editId="75E849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6984E4" w14:textId="77777777" w:rsidR="00D058B8" w:rsidRPr="00412725" w:rsidRDefault="00D058B8" w:rsidP="004C5D52">
      <w:pPr>
        <w:pStyle w:val="LineTop"/>
      </w:pPr>
    </w:p>
    <w:p w14:paraId="481BDD3E" w14:textId="77777777" w:rsidR="00680577" w:rsidRPr="00412725" w:rsidRDefault="003812E7" w:rsidP="00680577">
      <w:pPr>
        <w:pStyle w:val="EPBodyTA1"/>
      </w:pPr>
      <w:r w:rsidRPr="00412725">
        <w:t>ΚΕΙΜΕΝΑ ΠΟΥ ΕΓΚΡΙΘΗΚΑΝ</w:t>
      </w:r>
    </w:p>
    <w:p w14:paraId="70037920" w14:textId="77777777" w:rsidR="00D058B8" w:rsidRPr="00412725" w:rsidRDefault="00D058B8" w:rsidP="00D058B8">
      <w:pPr>
        <w:pStyle w:val="LineBottom"/>
      </w:pPr>
    </w:p>
    <w:p w14:paraId="504AB19E" w14:textId="308BB9E7" w:rsidR="003812E7" w:rsidRPr="00412725" w:rsidRDefault="003812E7" w:rsidP="003812E7">
      <w:pPr>
        <w:pStyle w:val="ATHeading1"/>
      </w:pPr>
      <w:bookmarkStart w:id="0" w:name="TANumber"/>
      <w:r w:rsidRPr="00412725">
        <w:t>P10_TA(2026)0</w:t>
      </w:r>
      <w:r w:rsidR="005F4BBC">
        <w:t>247</w:t>
      </w:r>
      <w:bookmarkEnd w:id="0"/>
    </w:p>
    <w:p w14:paraId="5C8CD0F0" w14:textId="77777777" w:rsidR="003812E7" w:rsidRPr="00412725" w:rsidRDefault="003812E7" w:rsidP="003812E7">
      <w:pPr>
        <w:pStyle w:val="ATHeading2"/>
      </w:pPr>
      <w:bookmarkStart w:id="1" w:name="title"/>
      <w:r w:rsidRPr="00412725">
        <w:t>Πολιτική ανταγωνισμού – ετήσια έκθεση 2025</w:t>
      </w:r>
      <w:bookmarkEnd w:id="1"/>
    </w:p>
    <w:p w14:paraId="21387F86" w14:textId="77777777" w:rsidR="003812E7" w:rsidRPr="00412725" w:rsidRDefault="003812E7" w:rsidP="003812E7">
      <w:pPr>
        <w:rPr>
          <w:i/>
          <w:vanish/>
        </w:rPr>
      </w:pPr>
      <w:r w:rsidRPr="00412725">
        <w:rPr>
          <w:i/>
        </w:rPr>
        <w:fldChar w:fldCharType="begin"/>
      </w:r>
      <w:r w:rsidRPr="00412725">
        <w:rPr>
          <w:i/>
        </w:rPr>
        <w:instrText xml:space="preserve"> TC"(</w:instrText>
      </w:r>
      <w:bookmarkStart w:id="2" w:name="DocNumber"/>
      <w:r w:rsidRPr="00412725">
        <w:rPr>
          <w:i/>
        </w:rPr>
        <w:instrText>A10-0171/2026</w:instrText>
      </w:r>
      <w:bookmarkEnd w:id="2"/>
      <w:r w:rsidRPr="00412725">
        <w:rPr>
          <w:i/>
        </w:rPr>
        <w:instrText xml:space="preserve"> - Εισηγήτρια: Stéphanie Yon-Courtin)"\l3 \n&gt; \* MERGEFORMAT </w:instrText>
      </w:r>
      <w:r w:rsidRPr="00412725">
        <w:rPr>
          <w:i/>
        </w:rPr>
        <w:fldChar w:fldCharType="end"/>
      </w:r>
    </w:p>
    <w:p w14:paraId="0F810695" w14:textId="77777777" w:rsidR="003812E7" w:rsidRPr="00412725" w:rsidRDefault="003812E7" w:rsidP="003812E7">
      <w:pPr>
        <w:rPr>
          <w:vanish/>
        </w:rPr>
      </w:pPr>
      <w:bookmarkStart w:id="3" w:name="Commission"/>
      <w:r w:rsidRPr="00412725">
        <w:rPr>
          <w:vanish/>
        </w:rPr>
        <w:t>Επιτροπή Οικονομικής και Νομισματικής Πολιτικής</w:t>
      </w:r>
      <w:bookmarkEnd w:id="3"/>
    </w:p>
    <w:p w14:paraId="63E63FDE" w14:textId="77777777" w:rsidR="003812E7" w:rsidRPr="00412725" w:rsidRDefault="003812E7" w:rsidP="003812E7">
      <w:pPr>
        <w:rPr>
          <w:vanish/>
        </w:rPr>
      </w:pPr>
      <w:bookmarkStart w:id="4" w:name="PE"/>
      <w:r w:rsidRPr="00412725">
        <w:rPr>
          <w:vanish/>
        </w:rPr>
        <w:t>PE779.796</w:t>
      </w:r>
      <w:bookmarkEnd w:id="4"/>
    </w:p>
    <w:p w14:paraId="132D1B44" w14:textId="659FF8C9" w:rsidR="003812E7" w:rsidRPr="00412725" w:rsidRDefault="003812E7" w:rsidP="003812E7">
      <w:pPr>
        <w:pStyle w:val="ATHeading3"/>
      </w:pPr>
      <w:bookmarkStart w:id="5" w:name="Sujet"/>
      <w:r w:rsidRPr="00412725">
        <w:t xml:space="preserve">Ψήφισμα του Ευρωπαϊκού Κοινοβουλίου της </w:t>
      </w:r>
      <w:r w:rsidR="006E6C6E">
        <w:t>7ης Ιουλίου</w:t>
      </w:r>
      <w:r w:rsidR="006E6C6E" w:rsidRPr="00412725">
        <w:t xml:space="preserve"> </w:t>
      </w:r>
      <w:r w:rsidRPr="00412725">
        <w:t>2026 σχετικά με την πολιτική ανταγωνισμού – ετήσια έκθεση 2025</w:t>
      </w:r>
      <w:bookmarkEnd w:id="5"/>
      <w:r w:rsidRPr="00412725">
        <w:t xml:space="preserve"> </w:t>
      </w:r>
      <w:bookmarkStart w:id="6" w:name="References"/>
      <w:r w:rsidRPr="00412725">
        <w:t>(2025/2134(INI))</w:t>
      </w:r>
      <w:bookmarkEnd w:id="6"/>
    </w:p>
    <w:p w14:paraId="0C007C05" w14:textId="77777777" w:rsidR="00BC5E8C" w:rsidRDefault="00BC5E8C" w:rsidP="001F48C4">
      <w:pPr>
        <w:pStyle w:val="Normal12"/>
        <w:rPr>
          <w:i/>
        </w:rPr>
      </w:pPr>
    </w:p>
    <w:p w14:paraId="4A354CDB" w14:textId="1902659A" w:rsidR="001F48C4" w:rsidRPr="00412725" w:rsidRDefault="001F48C4" w:rsidP="001F48C4">
      <w:pPr>
        <w:pStyle w:val="Normal12"/>
      </w:pPr>
      <w:r w:rsidRPr="00412725">
        <w:rPr>
          <w:i/>
        </w:rPr>
        <w:t>Το Ευρωπαϊκό Κοινοβούλιο</w:t>
      </w:r>
      <w:r w:rsidRPr="00412725">
        <w:t>,</w:t>
      </w:r>
    </w:p>
    <w:p w14:paraId="79D24273" w14:textId="77777777" w:rsidR="001F48C4" w:rsidRPr="00412725" w:rsidRDefault="001F48C4" w:rsidP="001F48C4">
      <w:pPr>
        <w:pStyle w:val="NormalHanging"/>
      </w:pPr>
      <w:r w:rsidRPr="00412725">
        <w:t>–</w:t>
      </w:r>
      <w:r w:rsidRPr="00412725">
        <w:tab/>
        <w:t>έχοντας υπόψη τη Συνθήκη για τη λειτουργία της Ευρωπαϊκής Ένωσης (ΣΛΕΕ) και ιδίως τα άρθρα 101 έως 109,</w:t>
      </w:r>
    </w:p>
    <w:p w14:paraId="124C2E44" w14:textId="67C667DC" w:rsidR="001F48C4" w:rsidRPr="00412725" w:rsidRDefault="001F48C4" w:rsidP="001F48C4">
      <w:pPr>
        <w:pStyle w:val="NormalHanging"/>
      </w:pPr>
      <w:r w:rsidRPr="00412725">
        <w:t>–</w:t>
      </w:r>
      <w:r w:rsidRPr="00412725">
        <w:tab/>
        <w:t>έχοντας υπόψη τον κανονισμό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w:t>
      </w:r>
      <w:r w:rsidR="006E6C6E">
        <w:rPr>
          <w:rStyle w:val="FootnoteReference"/>
        </w:rPr>
        <w:footnoteReference w:id="1"/>
      </w:r>
      <w:r w:rsidRPr="00412725">
        <w:t>,</w:t>
      </w:r>
    </w:p>
    <w:p w14:paraId="0F979D2E" w14:textId="5EEA52FD" w:rsidR="001F48C4" w:rsidRPr="00412725" w:rsidRDefault="001F48C4" w:rsidP="001F48C4">
      <w:pPr>
        <w:pStyle w:val="NormalHanging"/>
      </w:pPr>
      <w:r w:rsidRPr="00412725">
        <w:t>–</w:t>
      </w:r>
      <w:r w:rsidRPr="00412725">
        <w:tab/>
        <w:t>έχοντας υπόψη την έκθεση της Επιτροπής, της 28ης Απριλίου 2026, για την επανεξέταση του κανονισμού (ΕΕ) 2022/1925 του Ευρωπαϊκού Κοινοβουλίου και του Συμβουλίου σχετικά με διεκδικήσιμες και δίκαιες αγορές στον ψηφιακό τομέα και για την τροποποίηση των οδηγιών (ΕΕ) 2019/1937 και (ΕΕ) 2020/1828 (Πράξη για τις Ψηφιακές Αγορές), σύμφωνα με το άρθρο 53 αυτού (</w:t>
      </w:r>
      <w:r w:rsidR="006E6C6E" w:rsidRPr="000A39EB">
        <w:t>COM(2026)0178</w:t>
      </w:r>
      <w:r w:rsidRPr="00412725">
        <w:t>),</w:t>
      </w:r>
    </w:p>
    <w:p w14:paraId="4675A336" w14:textId="0CA91061" w:rsidR="001F48C4" w:rsidRPr="00412725" w:rsidRDefault="001F48C4" w:rsidP="001F48C4">
      <w:pPr>
        <w:pStyle w:val="NormalHanging"/>
      </w:pPr>
      <w:r w:rsidRPr="00412725">
        <w:t>–</w:t>
      </w:r>
      <w:r w:rsidRPr="00412725">
        <w:tab/>
        <w:t>έχοντας υπόψη τον κανονισμό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r w:rsidR="006E6C6E">
        <w:rPr>
          <w:rStyle w:val="FootnoteReference"/>
        </w:rPr>
        <w:footnoteReference w:id="2"/>
      </w:r>
      <w:r w:rsidRPr="00412725">
        <w:t>,</w:t>
      </w:r>
    </w:p>
    <w:p w14:paraId="2A031C9F" w14:textId="4736240C" w:rsidR="001F48C4" w:rsidRPr="00412725" w:rsidRDefault="001F48C4" w:rsidP="001F48C4">
      <w:pPr>
        <w:pStyle w:val="NormalHanging"/>
      </w:pPr>
      <w:r w:rsidRPr="00412725">
        <w:t>–</w:t>
      </w:r>
      <w:r w:rsidRPr="00412725">
        <w:tab/>
        <w:t>έχοντας υπόψη τον κανονισμό (ΕΚ) αριθ. 139/2004 του Συμβουλίου, της 20ής Ιανουαρίου 2004, για τον έλεγχο των συγκεντρώσεων μεταξύ επιχειρήσεων (Κοινοτικός κανονισμός περί συγκεντρώσεων)</w:t>
      </w:r>
      <w:r w:rsidR="006E6C6E">
        <w:rPr>
          <w:rStyle w:val="FootnoteReference"/>
        </w:rPr>
        <w:footnoteReference w:id="3"/>
      </w:r>
      <w:r w:rsidRPr="00412725">
        <w:t>,</w:t>
      </w:r>
    </w:p>
    <w:p w14:paraId="546DB69C" w14:textId="02B2B2E2" w:rsidR="001F48C4" w:rsidRPr="00412725" w:rsidRDefault="001F48C4" w:rsidP="001F48C4">
      <w:pPr>
        <w:pStyle w:val="NormalHanging"/>
      </w:pPr>
      <w:r w:rsidRPr="00412725">
        <w:t>–</w:t>
      </w:r>
      <w:r w:rsidRPr="00412725">
        <w:tab/>
        <w:t xml:space="preserve">έχοντας υπόψη τις κατευθυντήριες γραμμές για την αξιολόγηση των οριζόντιων συγκεντρώσεων σύμφωνα με τον κανονισμό του Συμβουλίου για τον έλεγχο των </w:t>
      </w:r>
      <w:r w:rsidRPr="00412725">
        <w:lastRenderedPageBreak/>
        <w:t>συγκεντρώσεων μεταξύ επιχειρήσεων</w:t>
      </w:r>
      <w:r w:rsidR="006E6C6E">
        <w:rPr>
          <w:rStyle w:val="FootnoteReference"/>
        </w:rPr>
        <w:footnoteReference w:id="4"/>
      </w:r>
      <w:r w:rsidRPr="00412725">
        <w:t>,</w:t>
      </w:r>
    </w:p>
    <w:p w14:paraId="10035704" w14:textId="7937A1B6" w:rsidR="001F48C4" w:rsidRPr="00412725" w:rsidRDefault="001F48C4" w:rsidP="001F48C4">
      <w:pPr>
        <w:pStyle w:val="NormalHanging"/>
      </w:pPr>
      <w:r w:rsidRPr="00412725">
        <w:t>–</w:t>
      </w:r>
      <w:r w:rsidRPr="00412725">
        <w:tab/>
        <w:t>έχοντας υπόψη τις κατευθυντήριες γραμμές για την αξιολόγηση των μη οριζόντιων συγκεντρώσεων σύμφωνα με τον κανονισμό του Συμβουλίου για τον έλεγχο των συγκεντρώσεων μεταξύ επιχειρήσεων</w:t>
      </w:r>
      <w:r w:rsidR="006E6C6E">
        <w:rPr>
          <w:rStyle w:val="FootnoteReference"/>
        </w:rPr>
        <w:footnoteReference w:id="5"/>
      </w:r>
      <w:r w:rsidRPr="00412725">
        <w:t>,</w:t>
      </w:r>
    </w:p>
    <w:p w14:paraId="6B2DEDD9" w14:textId="5E7E94B7" w:rsidR="001F48C4" w:rsidRPr="00412725" w:rsidRDefault="001F48C4" w:rsidP="001F48C4">
      <w:pPr>
        <w:pStyle w:val="NormalHanging"/>
      </w:pPr>
      <w:r w:rsidRPr="00412725">
        <w:t>–</w:t>
      </w:r>
      <w:r w:rsidRPr="00412725">
        <w:tab/>
        <w:t xml:space="preserve">έχοντας υπόψη την έκθεση του </w:t>
      </w:r>
      <w:proofErr w:type="spellStart"/>
      <w:r w:rsidRPr="00412725">
        <w:t>Mario</w:t>
      </w:r>
      <w:proofErr w:type="spellEnd"/>
      <w:r w:rsidRPr="00412725">
        <w:t xml:space="preserve"> </w:t>
      </w:r>
      <w:proofErr w:type="spellStart"/>
      <w:r w:rsidRPr="00412725">
        <w:t>Draghi</w:t>
      </w:r>
      <w:proofErr w:type="spellEnd"/>
      <w:r w:rsidRPr="00412725">
        <w:t xml:space="preserve">, της 9ης Σεπτεμβρίου 2024, με τίτλο «The </w:t>
      </w:r>
      <w:proofErr w:type="spellStart"/>
      <w:r w:rsidRPr="00412725">
        <w:t>future</w:t>
      </w:r>
      <w:proofErr w:type="spellEnd"/>
      <w:r w:rsidRPr="00412725">
        <w:t xml:space="preserve"> of European </w:t>
      </w:r>
      <w:proofErr w:type="spellStart"/>
      <w:r w:rsidRPr="00412725">
        <w:t>competitiveness</w:t>
      </w:r>
      <w:proofErr w:type="spellEnd"/>
      <w:r w:rsidRPr="00412725">
        <w:t xml:space="preserve">» (Το μέλλον της ευρωπαϊκής ανταγωνιστικότητας) (έκθεση </w:t>
      </w:r>
      <w:proofErr w:type="spellStart"/>
      <w:r w:rsidRPr="00412725">
        <w:t>Draghi</w:t>
      </w:r>
      <w:proofErr w:type="spellEnd"/>
      <w:r w:rsidRPr="00412725">
        <w:t>),</w:t>
      </w:r>
    </w:p>
    <w:p w14:paraId="5C0A7CEA" w14:textId="474A450A" w:rsidR="001F48C4" w:rsidRPr="00412725" w:rsidRDefault="001F48C4" w:rsidP="001F48C4">
      <w:pPr>
        <w:pStyle w:val="NormalHanging"/>
      </w:pPr>
      <w:r w:rsidRPr="00412725">
        <w:t>–</w:t>
      </w:r>
      <w:r w:rsidRPr="00412725">
        <w:tab/>
        <w:t xml:space="preserve">έχοντας υπόψη το ψήφισμα του Ευρωπαϊκού Κοινοβουλίου, της 10ης Σεπτεμβρίου 2025, σχετικά με τη διευκόλυνση της χρηματοδότησης επενδύσεων και μεταρρυθμίσεων για την τόνωση της ευρωπαϊκής ανταγωνιστικότητας και τη δημιουργία Ένωσης Κεφαλαιαγορών (έκθεση </w:t>
      </w:r>
      <w:proofErr w:type="spellStart"/>
      <w:r w:rsidRPr="00412725">
        <w:t>Draghi</w:t>
      </w:r>
      <w:proofErr w:type="spellEnd"/>
      <w:r w:rsidRPr="00412725">
        <w:t>)</w:t>
      </w:r>
      <w:r w:rsidR="006E6C6E">
        <w:rPr>
          <w:rStyle w:val="FootnoteReference"/>
        </w:rPr>
        <w:footnoteReference w:id="6"/>
      </w:r>
      <w:r w:rsidRPr="00412725">
        <w:t>,</w:t>
      </w:r>
    </w:p>
    <w:p w14:paraId="19670A2E" w14:textId="77777777" w:rsidR="001F48C4" w:rsidRPr="00412725" w:rsidRDefault="001F48C4" w:rsidP="001F48C4">
      <w:pPr>
        <w:pStyle w:val="NormalHanging"/>
      </w:pPr>
      <w:r w:rsidRPr="00412725">
        <w:t>–</w:t>
      </w:r>
      <w:r w:rsidRPr="00412725">
        <w:tab/>
        <w:t xml:space="preserve">έχοντας υπόψη την έκθεση του </w:t>
      </w:r>
      <w:proofErr w:type="spellStart"/>
      <w:r w:rsidRPr="00412725">
        <w:t>Enrico</w:t>
      </w:r>
      <w:proofErr w:type="spellEnd"/>
      <w:r w:rsidRPr="00412725">
        <w:t xml:space="preserve"> </w:t>
      </w:r>
      <w:proofErr w:type="spellStart"/>
      <w:r w:rsidRPr="00412725">
        <w:t>Letta</w:t>
      </w:r>
      <w:proofErr w:type="spellEnd"/>
      <w:r w:rsidRPr="00412725">
        <w:t>, της 17ης Απριλίου 2024, με τίτλο «</w:t>
      </w:r>
      <w:proofErr w:type="spellStart"/>
      <w:r w:rsidRPr="00412725">
        <w:t>Much</w:t>
      </w:r>
      <w:proofErr w:type="spellEnd"/>
      <w:r w:rsidRPr="00412725">
        <w:t xml:space="preserve"> </w:t>
      </w:r>
      <w:proofErr w:type="spellStart"/>
      <w:r w:rsidRPr="00412725">
        <w:t>more</w:t>
      </w:r>
      <w:proofErr w:type="spellEnd"/>
      <w:r w:rsidRPr="00412725">
        <w:t xml:space="preserve"> </w:t>
      </w:r>
      <w:proofErr w:type="spellStart"/>
      <w:r w:rsidRPr="00412725">
        <w:t>than</w:t>
      </w:r>
      <w:proofErr w:type="spellEnd"/>
      <w:r w:rsidRPr="00412725">
        <w:t xml:space="preserve"> a Market – </w:t>
      </w:r>
      <w:proofErr w:type="spellStart"/>
      <w:r w:rsidRPr="00412725">
        <w:t>speed</w:t>
      </w:r>
      <w:proofErr w:type="spellEnd"/>
      <w:r w:rsidRPr="00412725">
        <w:t xml:space="preserve">, </w:t>
      </w:r>
      <w:proofErr w:type="spellStart"/>
      <w:r w:rsidRPr="00412725">
        <w:t>security</w:t>
      </w:r>
      <w:proofErr w:type="spellEnd"/>
      <w:r w:rsidRPr="00412725">
        <w:t xml:space="preserve">, </w:t>
      </w:r>
      <w:proofErr w:type="spellStart"/>
      <w:r w:rsidRPr="00412725">
        <w:t>solidarity</w:t>
      </w:r>
      <w:proofErr w:type="spellEnd"/>
      <w:r w:rsidRPr="00412725">
        <w:t xml:space="preserve">: </w:t>
      </w:r>
      <w:proofErr w:type="spellStart"/>
      <w:r w:rsidRPr="00412725">
        <w:t>empowering</w:t>
      </w:r>
      <w:proofErr w:type="spellEnd"/>
      <w:r w:rsidRPr="00412725">
        <w:t xml:space="preserve"> the </w:t>
      </w:r>
      <w:proofErr w:type="spellStart"/>
      <w:r w:rsidRPr="00412725">
        <w:t>Single</w:t>
      </w:r>
      <w:proofErr w:type="spellEnd"/>
      <w:r w:rsidRPr="00412725">
        <w:t xml:space="preserve"> Market </w:t>
      </w:r>
      <w:proofErr w:type="spellStart"/>
      <w:r w:rsidRPr="00412725">
        <w:t>to</w:t>
      </w:r>
      <w:proofErr w:type="spellEnd"/>
      <w:r w:rsidRPr="00412725">
        <w:t xml:space="preserve"> </w:t>
      </w:r>
      <w:proofErr w:type="spellStart"/>
      <w:r w:rsidRPr="00412725">
        <w:t>deliver</w:t>
      </w:r>
      <w:proofErr w:type="spellEnd"/>
      <w:r w:rsidRPr="00412725">
        <w:t xml:space="preserve"> a </w:t>
      </w:r>
      <w:proofErr w:type="spellStart"/>
      <w:r w:rsidRPr="00412725">
        <w:t>sustainable</w:t>
      </w:r>
      <w:proofErr w:type="spellEnd"/>
      <w:r w:rsidRPr="00412725">
        <w:t xml:space="preserve"> </w:t>
      </w:r>
      <w:proofErr w:type="spellStart"/>
      <w:r w:rsidRPr="00412725">
        <w:t>future</w:t>
      </w:r>
      <w:proofErr w:type="spellEnd"/>
      <w:r w:rsidRPr="00412725">
        <w:t xml:space="preserve"> and </w:t>
      </w:r>
      <w:proofErr w:type="spellStart"/>
      <w:r w:rsidRPr="00412725">
        <w:t>prosperity</w:t>
      </w:r>
      <w:proofErr w:type="spellEnd"/>
      <w:r w:rsidRPr="00412725">
        <w:t xml:space="preserve"> for </w:t>
      </w:r>
      <w:proofErr w:type="spellStart"/>
      <w:r w:rsidRPr="00412725">
        <w:t>all</w:t>
      </w:r>
      <w:proofErr w:type="spellEnd"/>
      <w:r w:rsidRPr="00412725">
        <w:t xml:space="preserve"> EU </w:t>
      </w:r>
      <w:proofErr w:type="spellStart"/>
      <w:r w:rsidRPr="00412725">
        <w:t>Citizens</w:t>
      </w:r>
      <w:proofErr w:type="spellEnd"/>
      <w:r w:rsidRPr="00412725">
        <w:t>» (Πολύ περισσότερο από μια απλή αγορά — Ταχύτητα, ασφάλεια, αλληλεγγύη: ενδυνάμωση της ενιαίας αγοράς για την επίτευξη βιώσιμου μέλλοντος και ευημερίας για όλους τους πολίτες της ΕΕ) (έκθεση Letta),</w:t>
      </w:r>
    </w:p>
    <w:p w14:paraId="20FE5324" w14:textId="77777777" w:rsidR="001F48C4" w:rsidRPr="00412725" w:rsidRDefault="001F48C4" w:rsidP="001F48C4">
      <w:pPr>
        <w:pStyle w:val="NormalHanging"/>
      </w:pPr>
      <w:r w:rsidRPr="00412725">
        <w:t>–</w:t>
      </w:r>
      <w:r w:rsidRPr="00412725">
        <w:tab/>
        <w:t xml:space="preserve">έχοντας υπόψη την έκθεση των </w:t>
      </w:r>
      <w:proofErr w:type="spellStart"/>
      <w:r w:rsidRPr="00412725">
        <w:t>Jörg</w:t>
      </w:r>
      <w:proofErr w:type="spellEnd"/>
      <w:r w:rsidRPr="00412725">
        <w:t xml:space="preserve"> </w:t>
      </w:r>
      <w:proofErr w:type="spellStart"/>
      <w:r w:rsidRPr="00412725">
        <w:t>Kukies</w:t>
      </w:r>
      <w:proofErr w:type="spellEnd"/>
      <w:r w:rsidRPr="00412725">
        <w:t xml:space="preserve"> και </w:t>
      </w:r>
      <w:proofErr w:type="spellStart"/>
      <w:r w:rsidRPr="00412725">
        <w:t>Christian</w:t>
      </w:r>
      <w:proofErr w:type="spellEnd"/>
      <w:r w:rsidRPr="00412725">
        <w:t xml:space="preserve"> </w:t>
      </w:r>
      <w:proofErr w:type="spellStart"/>
      <w:r w:rsidRPr="00412725">
        <w:t>Noyer</w:t>
      </w:r>
      <w:proofErr w:type="spellEnd"/>
      <w:r w:rsidRPr="00412725">
        <w:t>, της 19ης Ιανουαρίου 2026, με τίτλο «</w:t>
      </w:r>
      <w:proofErr w:type="spellStart"/>
      <w:r w:rsidRPr="00412725">
        <w:t>Financing</w:t>
      </w:r>
      <w:proofErr w:type="spellEnd"/>
      <w:r w:rsidRPr="00412725">
        <w:t xml:space="preserve"> </w:t>
      </w:r>
      <w:proofErr w:type="spellStart"/>
      <w:r w:rsidRPr="00412725">
        <w:t>Innovative</w:t>
      </w:r>
      <w:proofErr w:type="spellEnd"/>
      <w:r w:rsidRPr="00412725">
        <w:t xml:space="preserve"> </w:t>
      </w:r>
      <w:proofErr w:type="spellStart"/>
      <w:r w:rsidRPr="00412725">
        <w:t>Ventures</w:t>
      </w:r>
      <w:proofErr w:type="spellEnd"/>
      <w:r w:rsidRPr="00412725">
        <w:t xml:space="preserve"> In Europe» (Χρηματοδότηση καινοτόμων επιχειρήσεων στην Ευρώπη),</w:t>
      </w:r>
    </w:p>
    <w:p w14:paraId="57C84A0B" w14:textId="77777777" w:rsidR="001F48C4" w:rsidRPr="00412725" w:rsidRDefault="001F48C4" w:rsidP="001F48C4">
      <w:pPr>
        <w:pStyle w:val="NormalHanging"/>
      </w:pPr>
      <w:r w:rsidRPr="00412725">
        <w:t>–</w:t>
      </w:r>
      <w:r w:rsidRPr="00412725">
        <w:tab/>
        <w:t>έχοντας υπόψη την ανακοίνωση της Επιτροπής, της 29ης Ιανουαρίου 2025, με τίτλο «Πυξίδα Ανταγωνιστικότητας για την ΕΕ» (COM(2025)0030),</w:t>
      </w:r>
    </w:p>
    <w:p w14:paraId="39CD6A27" w14:textId="391C2465" w:rsidR="001F48C4" w:rsidRPr="00412725" w:rsidRDefault="001F48C4" w:rsidP="001F48C4">
      <w:pPr>
        <w:pStyle w:val="NormalHanging"/>
      </w:pPr>
      <w:r w:rsidRPr="00412725">
        <w:t>–</w:t>
      </w:r>
      <w:r w:rsidRPr="00412725">
        <w:tab/>
        <w:t>έχοντας υπόψη την πρόταση της Επιτροπής, της 21ης Ιανουαρίου 2026, για κανονισμό του Ευρωπαϊκού Κοινοβουλίου και του Συμβουλίου σχετικά με τα ψηφιακά δίκτυα, την τροποποίηση του κανονισμού (ΕΕ) 2015/2120, της οδηγίας 2002/58/ΕΚ και της απόφασης αριθ. 676/2002/ΕΚ και την κατάργηση του κανονισμού (ΕΕ) 2018/1971, της οδηγίας (ΕΕ) 2018/1972 και της απόφασης αριθ. 243/2012/ΕΕ (πράξη για τα ψηφιακά δίκτυα) (</w:t>
      </w:r>
      <w:r w:rsidR="00BC5E8C" w:rsidRPr="000A39EB">
        <w:t>COM(2026)0016</w:t>
      </w:r>
      <w:r w:rsidRPr="00412725">
        <w:t>),</w:t>
      </w:r>
    </w:p>
    <w:p w14:paraId="186E3210" w14:textId="77777777" w:rsidR="001F48C4" w:rsidRPr="00412725" w:rsidRDefault="001F48C4" w:rsidP="001F48C4">
      <w:pPr>
        <w:pStyle w:val="NormalHanging"/>
      </w:pPr>
      <w:r w:rsidRPr="00412725">
        <w:t>–</w:t>
      </w:r>
      <w:r w:rsidRPr="00412725">
        <w:tab/>
        <w:t>έχοντας υπόψη την από 29ης Οκτωβρίου 2025 έκθεση με αντικείμενο την πραγματολογική σύνοψη των απαντήσεων που ελήφθησαν στο πλαίσιο της δημόσιας διαβούλευσης σχετικά με την επανεξέταση των κατευθυντήριων γραμμών για τις οριζόντιες και τις μη οριζόντιες συγκεντρώσεις,</w:t>
      </w:r>
    </w:p>
    <w:p w14:paraId="568345C3" w14:textId="311C85C4" w:rsidR="001F48C4" w:rsidRPr="00412725" w:rsidRDefault="001F48C4" w:rsidP="001F48C4">
      <w:pPr>
        <w:pStyle w:val="NormalHanging"/>
      </w:pPr>
      <w:r w:rsidRPr="00412725">
        <w:t>–</w:t>
      </w:r>
      <w:r w:rsidRPr="00412725">
        <w:tab/>
        <w:t>έχοντας υπόψη το έγγραφο εργασίας των υπηρεσιών της Επιτροπής, της 13ης</w:t>
      </w:r>
      <w:r w:rsidR="00BC5E8C">
        <w:t> </w:t>
      </w:r>
      <w:r w:rsidRPr="00412725">
        <w:t>Οκτωβρίου 2025, με τίτλο «</w:t>
      </w:r>
      <w:proofErr w:type="spellStart"/>
      <w:r w:rsidRPr="00412725">
        <w:t>Evaluation</w:t>
      </w:r>
      <w:proofErr w:type="spellEnd"/>
      <w:r w:rsidRPr="00412725">
        <w:t xml:space="preserve"> of the Commission </w:t>
      </w:r>
      <w:proofErr w:type="spellStart"/>
      <w:r w:rsidRPr="00412725">
        <w:t>Notice</w:t>
      </w:r>
      <w:proofErr w:type="spellEnd"/>
      <w:r w:rsidRPr="00412725">
        <w:t xml:space="preserve"> on the </w:t>
      </w:r>
      <w:proofErr w:type="spellStart"/>
      <w:r w:rsidRPr="00412725">
        <w:t>application</w:t>
      </w:r>
      <w:proofErr w:type="spellEnd"/>
      <w:r w:rsidRPr="00412725">
        <w:t xml:space="preserve"> of </w:t>
      </w:r>
      <w:proofErr w:type="spellStart"/>
      <w:r w:rsidRPr="00412725">
        <w:t>Articles</w:t>
      </w:r>
      <w:proofErr w:type="spellEnd"/>
      <w:r w:rsidRPr="00412725">
        <w:t xml:space="preserve"> 87 and 88 on the EC Treaty </w:t>
      </w:r>
      <w:proofErr w:type="spellStart"/>
      <w:r w:rsidRPr="00412725">
        <w:t>to</w:t>
      </w:r>
      <w:proofErr w:type="spellEnd"/>
      <w:r w:rsidRPr="00412725">
        <w:t xml:space="preserve"> </w:t>
      </w:r>
      <w:proofErr w:type="spellStart"/>
      <w:r w:rsidRPr="00412725">
        <w:t>State</w:t>
      </w:r>
      <w:proofErr w:type="spellEnd"/>
      <w:r w:rsidRPr="00412725">
        <w:t xml:space="preserve"> </w:t>
      </w:r>
      <w:proofErr w:type="spellStart"/>
      <w:r w:rsidRPr="00412725">
        <w:t>aid</w:t>
      </w:r>
      <w:proofErr w:type="spellEnd"/>
      <w:r w:rsidRPr="00412725">
        <w:t xml:space="preserve"> in the </w:t>
      </w:r>
      <w:proofErr w:type="spellStart"/>
      <w:r w:rsidRPr="00412725">
        <w:t>form</w:t>
      </w:r>
      <w:proofErr w:type="spellEnd"/>
      <w:r w:rsidRPr="00412725">
        <w:t xml:space="preserve"> of </w:t>
      </w:r>
      <w:proofErr w:type="spellStart"/>
      <w:r w:rsidRPr="00412725">
        <w:t>guarantees</w:t>
      </w:r>
      <w:proofErr w:type="spellEnd"/>
      <w:r w:rsidRPr="00412725">
        <w:t>» (Αξιολόγηση της ανακοίνωσης της Επιτροπής σχετικά με την εφαρμογή των άρθρων 87 και 88 της Συνθήκης ΕΚ στις κρατικές ενισχύσεις με τη μορφή εγγυήσεων) (SWD(2025)0330),</w:t>
      </w:r>
    </w:p>
    <w:p w14:paraId="05181B4A" w14:textId="0CC1E002" w:rsidR="001F48C4" w:rsidRPr="00412725" w:rsidRDefault="001F48C4" w:rsidP="001F48C4">
      <w:pPr>
        <w:pStyle w:val="NormalHanging"/>
      </w:pPr>
      <w:r w:rsidRPr="00412725">
        <w:lastRenderedPageBreak/>
        <w:t>–</w:t>
      </w:r>
      <w:r w:rsidRPr="00412725">
        <w:tab/>
        <w:t>έχοντας υπόψη το έγγραφο εργασίας των υπηρεσιών της Επιτροπής, της 13ης</w:t>
      </w:r>
      <w:r w:rsidR="00BC5E8C">
        <w:t> </w:t>
      </w:r>
      <w:r w:rsidRPr="00412725">
        <w:t xml:space="preserve">Οκτωβρίου 2025, με τίτλο «Executive </w:t>
      </w:r>
      <w:proofErr w:type="spellStart"/>
      <w:r w:rsidRPr="00412725">
        <w:t>summary</w:t>
      </w:r>
      <w:proofErr w:type="spellEnd"/>
      <w:r w:rsidRPr="00412725">
        <w:t xml:space="preserve"> of the </w:t>
      </w:r>
      <w:proofErr w:type="spellStart"/>
      <w:r w:rsidRPr="00412725">
        <w:t>evaluation</w:t>
      </w:r>
      <w:proofErr w:type="spellEnd"/>
      <w:r w:rsidRPr="00412725">
        <w:t xml:space="preserve"> of the Commission </w:t>
      </w:r>
      <w:proofErr w:type="spellStart"/>
      <w:r w:rsidRPr="00412725">
        <w:t>Notice</w:t>
      </w:r>
      <w:proofErr w:type="spellEnd"/>
      <w:r w:rsidRPr="00412725">
        <w:t xml:space="preserve"> on the </w:t>
      </w:r>
      <w:proofErr w:type="spellStart"/>
      <w:r w:rsidRPr="00412725">
        <w:t>application</w:t>
      </w:r>
      <w:proofErr w:type="spellEnd"/>
      <w:r w:rsidRPr="00412725">
        <w:t xml:space="preserve"> of </w:t>
      </w:r>
      <w:proofErr w:type="spellStart"/>
      <w:r w:rsidRPr="00412725">
        <w:t>Articles</w:t>
      </w:r>
      <w:proofErr w:type="spellEnd"/>
      <w:r w:rsidRPr="00412725">
        <w:t xml:space="preserve"> 87 and 88 of the EC Treaty </w:t>
      </w:r>
      <w:proofErr w:type="spellStart"/>
      <w:r w:rsidRPr="00412725">
        <w:t>to</w:t>
      </w:r>
      <w:proofErr w:type="spellEnd"/>
      <w:r w:rsidRPr="00412725">
        <w:t xml:space="preserve"> </w:t>
      </w:r>
      <w:proofErr w:type="spellStart"/>
      <w:r w:rsidRPr="00412725">
        <w:t>State</w:t>
      </w:r>
      <w:proofErr w:type="spellEnd"/>
      <w:r w:rsidRPr="00412725">
        <w:t xml:space="preserve"> </w:t>
      </w:r>
      <w:proofErr w:type="spellStart"/>
      <w:r w:rsidRPr="00412725">
        <w:t>aid</w:t>
      </w:r>
      <w:proofErr w:type="spellEnd"/>
      <w:r w:rsidRPr="00412725">
        <w:t xml:space="preserve"> in the </w:t>
      </w:r>
      <w:proofErr w:type="spellStart"/>
      <w:r w:rsidRPr="00412725">
        <w:t>form</w:t>
      </w:r>
      <w:proofErr w:type="spellEnd"/>
      <w:r w:rsidRPr="00412725">
        <w:t xml:space="preserve"> of </w:t>
      </w:r>
      <w:proofErr w:type="spellStart"/>
      <w:r w:rsidRPr="00412725">
        <w:t>guarantees</w:t>
      </w:r>
      <w:proofErr w:type="spellEnd"/>
      <w:r w:rsidRPr="00412725">
        <w:t>» (Συνοπτική παρουσίαση της αξιολόγησης της ανακοίνωσης της Επιτροπής για την εφαρμογή των άρθρων 87 και 88 της Συνθήκης ΕΚ στις κρατικές ενισχύσεις με τη μορφή εγγυήσεων) (SWD(2025)0331),</w:t>
      </w:r>
    </w:p>
    <w:p w14:paraId="08DBAA5F" w14:textId="7DB91B26" w:rsidR="001F48C4" w:rsidRPr="00412725" w:rsidRDefault="001F48C4" w:rsidP="001F48C4">
      <w:pPr>
        <w:pStyle w:val="NormalHanging"/>
      </w:pPr>
      <w:r w:rsidRPr="00412725">
        <w:t>–</w:t>
      </w:r>
      <w:r w:rsidRPr="00412725">
        <w:tab/>
        <w:t>έχοντας υπόψη τη μελέτη της Επιτροπής με τίτλο «</w:t>
      </w:r>
      <w:proofErr w:type="spellStart"/>
      <w:r w:rsidRPr="00412725">
        <w:t>Ex</w:t>
      </w:r>
      <w:proofErr w:type="spellEnd"/>
      <w:r w:rsidRPr="00412725">
        <w:t xml:space="preserve"> post </w:t>
      </w:r>
      <w:proofErr w:type="spellStart"/>
      <w:r w:rsidRPr="00412725">
        <w:t>evaluation</w:t>
      </w:r>
      <w:proofErr w:type="spellEnd"/>
      <w:r w:rsidRPr="00412725">
        <w:t xml:space="preserve"> of the </w:t>
      </w:r>
      <w:proofErr w:type="spellStart"/>
      <w:r w:rsidRPr="00412725">
        <w:t>implementation</w:t>
      </w:r>
      <w:proofErr w:type="spellEnd"/>
      <w:r w:rsidRPr="00412725">
        <w:t xml:space="preserve"> and </w:t>
      </w:r>
      <w:proofErr w:type="spellStart"/>
      <w:r w:rsidRPr="00412725">
        <w:t>effectiveness</w:t>
      </w:r>
      <w:proofErr w:type="spellEnd"/>
      <w:r w:rsidRPr="00412725">
        <w:t xml:space="preserve"> of EU </w:t>
      </w:r>
      <w:proofErr w:type="spellStart"/>
      <w:r w:rsidRPr="00412725">
        <w:t>antitrust</w:t>
      </w:r>
      <w:proofErr w:type="spellEnd"/>
      <w:r w:rsidRPr="00412725">
        <w:t xml:space="preserve"> </w:t>
      </w:r>
      <w:proofErr w:type="spellStart"/>
      <w:r w:rsidRPr="00412725">
        <w:t>remedies</w:t>
      </w:r>
      <w:proofErr w:type="spellEnd"/>
      <w:r w:rsidRPr="00412725">
        <w:t>» (Εκ των υστέρων αξιολόγηση της εφαρμογής και της αποτελεσματικότητας των μέτρων αντιμονοπωλιακού χαρακτήρα της ΕΕ)</w:t>
      </w:r>
      <w:r w:rsidR="006E6C6E">
        <w:rPr>
          <w:rStyle w:val="FootnoteReference"/>
        </w:rPr>
        <w:footnoteReference w:id="7"/>
      </w:r>
      <w:r w:rsidRPr="00412725">
        <w:t>,</w:t>
      </w:r>
    </w:p>
    <w:p w14:paraId="6E23B2BC" w14:textId="04BB6560" w:rsidR="001F48C4" w:rsidRPr="00412725" w:rsidRDefault="001F48C4" w:rsidP="001F48C4">
      <w:pPr>
        <w:pStyle w:val="NormalHanging"/>
      </w:pPr>
      <w:r w:rsidRPr="00412725">
        <w:t>–</w:t>
      </w:r>
      <w:r w:rsidRPr="00412725">
        <w:tab/>
        <w:t>έχοντας υπόψη τον κανονισμό (ΕΕ) 2022/2560 του Ευρωπαϊκού Κοινοβουλίου και του Συμβουλίου, της 14ης Δεκεμβρίου 2022, για τις ξένες επιδοτήσεις που στρεβλώνουν την εσωτερική αγορά</w:t>
      </w:r>
      <w:r w:rsidR="006E6C6E">
        <w:rPr>
          <w:rStyle w:val="FootnoteReference"/>
        </w:rPr>
        <w:footnoteReference w:id="8"/>
      </w:r>
      <w:r w:rsidR="00BC5E8C">
        <w:t xml:space="preserve"> </w:t>
      </w:r>
      <w:r w:rsidRPr="00412725">
        <w:t>(κανονισμός για τις ξένες επιδοτήσεις),</w:t>
      </w:r>
    </w:p>
    <w:p w14:paraId="6A8CC749" w14:textId="7EF7814E" w:rsidR="001F48C4" w:rsidRPr="00412725" w:rsidRDefault="001F48C4" w:rsidP="001F48C4">
      <w:pPr>
        <w:pStyle w:val="NormalHanging"/>
      </w:pPr>
      <w:r w:rsidRPr="00412725">
        <w:t>–</w:t>
      </w:r>
      <w:r w:rsidRPr="00412725">
        <w:tab/>
        <w:t>έχοντας υπόψη την ανακοίνωση της Επιτροπής, της 9ης Ιανουαρίου 2026, με τίτλο «Κατευθυντήριες γραμμές για την εφαρμογή ορισμένων διατάξεων του κανονισμού (ΕΕ) 2022/2560 του Ευρωπαϊκού Κοινοβουλίου και του Συμβουλίου για τις ξένες επιδοτήσεις που στρεβλώνουν την εσωτερική αγορά»</w:t>
      </w:r>
      <w:r w:rsidR="006E6C6E">
        <w:rPr>
          <w:rStyle w:val="FootnoteReference"/>
        </w:rPr>
        <w:footnoteReference w:id="9"/>
      </w:r>
      <w:r w:rsidRPr="00412725">
        <w:t>,</w:t>
      </w:r>
    </w:p>
    <w:p w14:paraId="35C6386D" w14:textId="242CD3A4" w:rsidR="001F48C4" w:rsidRPr="00412725" w:rsidRDefault="001F48C4" w:rsidP="001F48C4">
      <w:pPr>
        <w:pStyle w:val="NormalHanging"/>
      </w:pPr>
      <w:r w:rsidRPr="00412725">
        <w:t>–</w:t>
      </w:r>
      <w:r w:rsidRPr="00412725">
        <w:tab/>
        <w:t xml:space="preserve">έχοντας υπόψη την ανακοίνωση της Επιτροπής, της 26ης Φεβρουαρίου 2025, με τίτλο «Η συμφωνία για καθαρή βιομηχανία: Κοινός χάρτης πορείας για την ανταγωνιστικότητα και την </w:t>
      </w:r>
      <w:proofErr w:type="spellStart"/>
      <w:r w:rsidRPr="00412725">
        <w:t>απανθρακοποίηση</w:t>
      </w:r>
      <w:proofErr w:type="spellEnd"/>
      <w:r w:rsidRPr="00412725">
        <w:t>» (</w:t>
      </w:r>
      <w:r w:rsidR="006E6C6E" w:rsidRPr="000A39EB">
        <w:t>COM(2025)0085</w:t>
      </w:r>
      <w:r w:rsidRPr="00412725">
        <w:t>),</w:t>
      </w:r>
    </w:p>
    <w:p w14:paraId="106F7F93" w14:textId="46536D1E" w:rsidR="001F48C4" w:rsidRPr="00412725" w:rsidRDefault="001F48C4" w:rsidP="001F48C4">
      <w:pPr>
        <w:pStyle w:val="NormalHanging"/>
      </w:pPr>
      <w:r w:rsidRPr="00412725">
        <w:t>–</w:t>
      </w:r>
      <w:r w:rsidRPr="00412725">
        <w:tab/>
        <w:t>έχοντας υπόψη την ανακοίνωση της Επιτροπής, της 4ης Ιουλίου 2025, με τίτλο «Πλαίσιο για μέτρα κρατικής ενίσχυσης με σκοπό τη στήριξη της συμφωνίας για καθαρή βιομηχανία (Πλαίσιο κρατικών ενισχύσεων της συμφωνίας για καθαρή βιομηχανία)»</w:t>
      </w:r>
      <w:r w:rsidR="006E6C6E">
        <w:rPr>
          <w:rStyle w:val="FootnoteReference"/>
        </w:rPr>
        <w:footnoteReference w:id="10"/>
      </w:r>
      <w:r w:rsidRPr="00412725">
        <w:t>,</w:t>
      </w:r>
    </w:p>
    <w:p w14:paraId="207DD2F1" w14:textId="6F6C5A9B" w:rsidR="001F48C4" w:rsidRPr="00412725" w:rsidRDefault="001F48C4" w:rsidP="001F48C4">
      <w:pPr>
        <w:pStyle w:val="NormalHanging"/>
      </w:pPr>
      <w:r w:rsidRPr="00412725">
        <w:t>–</w:t>
      </w:r>
      <w:r w:rsidRPr="00412725">
        <w:tab/>
        <w:t>έχοντας υπόψη το έγγραφο εργασίας των υπηρεσιών της Επιτροπής, της 4ης Νοεμβρίου 2025, που συνοδεύει την ανακοίνωση της Επιτροπής σχετικά με ένα πλαίσιο κρατικών ενισχύσεων της συμφωνίας για καθαρή βιομηχανία (SWD(2025)0850),</w:t>
      </w:r>
    </w:p>
    <w:p w14:paraId="1612254B" w14:textId="19B71F6A" w:rsidR="001F48C4" w:rsidRPr="00412725" w:rsidRDefault="001F48C4" w:rsidP="001F48C4">
      <w:pPr>
        <w:pStyle w:val="NormalHanging"/>
      </w:pPr>
      <w:r w:rsidRPr="00412725">
        <w:t>–</w:t>
      </w:r>
      <w:r w:rsidRPr="00412725">
        <w:tab/>
        <w:t xml:space="preserve">έχοντας υπόψη την απόφαση </w:t>
      </w:r>
      <w:r w:rsidR="00BC5E8C">
        <w:t>(</w:t>
      </w:r>
      <w:r w:rsidRPr="00412725">
        <w:t>ΕΕ</w:t>
      </w:r>
      <w:r w:rsidR="00BC5E8C">
        <w:t>)</w:t>
      </w:r>
      <w:r w:rsidRPr="00412725">
        <w:t xml:space="preserve"> 2025/2630 της Επιτροπής, της 16ης Δεκεμβρίου 2025, για την εφαρμογή του άρθρου 106 παράγραφος 2 της Συνθήκης για τη λειτουργία της Ευρωπαϊκής Ένωσης στις κρατικές ενισχύσεις υπό μορφή αντιστάθμισης για την παροχή δημόσιας υπηρεσίας που χορηγούνται σε ορισμένες επιχειρήσεις επιφορτισμένες με τη διαχείριση υπηρεσιών γενικού οικονομικού συμφέροντος και για την κατάργηση της απόφασης 2012/21/ΕΕ</w:t>
      </w:r>
      <w:r w:rsidR="006E6C6E">
        <w:rPr>
          <w:rStyle w:val="FootnoteReference"/>
        </w:rPr>
        <w:footnoteReference w:id="11"/>
      </w:r>
      <w:r w:rsidRPr="00412725">
        <w:t xml:space="preserve"> (απόφαση ΥΓΟΣ), και το παράρτημά της,</w:t>
      </w:r>
    </w:p>
    <w:p w14:paraId="512D7B7F" w14:textId="74623DB0" w:rsidR="001F48C4" w:rsidRPr="00412725" w:rsidRDefault="001F48C4" w:rsidP="001F48C4">
      <w:pPr>
        <w:pStyle w:val="NormalHanging"/>
      </w:pPr>
      <w:r w:rsidRPr="00412725">
        <w:t>–</w:t>
      </w:r>
      <w:r w:rsidRPr="00412725">
        <w:tab/>
        <w:t xml:space="preserve">έχοντας υπόψη την έκθεση της Επιτροπής της 5ης </w:t>
      </w:r>
      <w:r w:rsidR="00BC5E8C" w:rsidRPr="00412725">
        <w:t>Μαΐου</w:t>
      </w:r>
      <w:r w:rsidRPr="00412725">
        <w:t xml:space="preserve"> 2026 επί της πολιτικής </w:t>
      </w:r>
      <w:r w:rsidRPr="00412725">
        <w:lastRenderedPageBreak/>
        <w:t>ανταγωνισμού 2025 (</w:t>
      </w:r>
      <w:r w:rsidR="006E6C6E" w:rsidRPr="000A39EB">
        <w:t>COM(2021)0180</w:t>
      </w:r>
      <w:r w:rsidRPr="00412725">
        <w:t>),</w:t>
      </w:r>
    </w:p>
    <w:p w14:paraId="58E79B64" w14:textId="77777777" w:rsidR="001F48C4" w:rsidRPr="00412725" w:rsidRDefault="001F48C4" w:rsidP="001F48C4">
      <w:pPr>
        <w:pStyle w:val="NormalHanging"/>
      </w:pPr>
      <w:r w:rsidRPr="00412725">
        <w:t>–</w:t>
      </w:r>
      <w:r w:rsidRPr="00412725">
        <w:tab/>
        <w:t xml:space="preserve">έχοντας υπόψη την έκθεση της Ευρωπαϊκής Αρχής Κινητών Αξιών και Αγορών, της 18ης Δεκεμβρίου 2025, με τίτλο «CRA Market </w:t>
      </w:r>
      <w:proofErr w:type="spellStart"/>
      <w:r w:rsidRPr="00412725">
        <w:t>Share</w:t>
      </w:r>
      <w:proofErr w:type="spellEnd"/>
      <w:r w:rsidRPr="00412725">
        <w:t xml:space="preserve"> </w:t>
      </w:r>
      <w:proofErr w:type="spellStart"/>
      <w:r w:rsidRPr="00412725">
        <w:t>Report</w:t>
      </w:r>
      <w:proofErr w:type="spellEnd"/>
      <w:r w:rsidRPr="00412725">
        <w:t xml:space="preserve">: 2025 </w:t>
      </w:r>
      <w:proofErr w:type="spellStart"/>
      <w:r w:rsidRPr="00412725">
        <w:t>edition</w:t>
      </w:r>
      <w:proofErr w:type="spellEnd"/>
      <w:r w:rsidRPr="00412725">
        <w:t>» (Έκθεση σχετικά με το μερίδιο αγοράς: έκδοση 2025),</w:t>
      </w:r>
    </w:p>
    <w:p w14:paraId="48412684" w14:textId="77777777" w:rsidR="001F48C4" w:rsidRPr="00412725" w:rsidRDefault="001F48C4" w:rsidP="001F48C4">
      <w:pPr>
        <w:pStyle w:val="NormalHanging"/>
      </w:pPr>
      <w:r w:rsidRPr="00412725">
        <w:t>–</w:t>
      </w:r>
      <w:r w:rsidRPr="00412725">
        <w:tab/>
        <w:t>έχοντας υπόψη το άρθρο 55 του Κανονισμού του,</w:t>
      </w:r>
    </w:p>
    <w:p w14:paraId="066F71F8" w14:textId="77777777" w:rsidR="001F48C4" w:rsidRPr="00412725" w:rsidRDefault="001F48C4" w:rsidP="001F48C4">
      <w:pPr>
        <w:pStyle w:val="NormalHanging"/>
      </w:pPr>
      <w:r w:rsidRPr="00412725">
        <w:t>–</w:t>
      </w:r>
      <w:r w:rsidRPr="00412725">
        <w:tab/>
        <w:t>έχοντας υπόψη την έκθεση της Επιτροπής Οικονομικής και Νομισματικής Πολιτικής (A10-0171/2026),</w:t>
      </w:r>
    </w:p>
    <w:p w14:paraId="7C73ECAA" w14:textId="77777777" w:rsidR="001F48C4" w:rsidRPr="00412725" w:rsidRDefault="001F48C4" w:rsidP="001F48C4">
      <w:pPr>
        <w:pStyle w:val="NormalHanging"/>
      </w:pPr>
      <w:r w:rsidRPr="00412725">
        <w:t>Α.</w:t>
      </w:r>
      <w:r w:rsidRPr="00412725">
        <w:tab/>
        <w:t>λαμβάνοντας υπόψη ότι ο θεμιτός και ανοικτός ανταγωνισμός αποτελεί ουσιώδες στοιχείο για την ορθή λειτουργία της ενιαίας αγοράς, τη δημιουργία θέσεων εργασίας, την προστασία των καταναλωτών και την ανάπτυξη των επιχειρήσεων, ιδίως των μικρών και μεσαίων επιχειρήσεων (ΜΜΕ)· λαμβάνοντας υπόψη ότι η πολιτική ανταγωνισμού θα πρέπει πρωτίστως να αποσκοπεί στη διασφάλιση του αποτελεσματικού ανταγωνισμού και της ευημερίας των καταναλωτών, παραμένοντας παράλληλα συνεπής με άλλες πολιτικές της ΕΕ·</w:t>
      </w:r>
    </w:p>
    <w:p w14:paraId="064B3118" w14:textId="77777777" w:rsidR="001F48C4" w:rsidRPr="00412725" w:rsidRDefault="001F48C4" w:rsidP="001F48C4">
      <w:pPr>
        <w:pStyle w:val="NormalHanging"/>
      </w:pPr>
      <w:r w:rsidRPr="00412725">
        <w:t>Β.</w:t>
      </w:r>
      <w:r w:rsidRPr="00412725">
        <w:tab/>
        <w:t>λαμβάνοντας υπόψη ότι η πολιτική ανταγωνισμού της ΕΕ πρέπει να είναι μακρόπνοη, να προωθεί τις λύσεις και την καινοτομία της ΕΕ και να προστατεύει τους καταναλωτές·</w:t>
      </w:r>
    </w:p>
    <w:p w14:paraId="0DA71899" w14:textId="77777777" w:rsidR="001F48C4" w:rsidRPr="00412725" w:rsidRDefault="001F48C4" w:rsidP="001F48C4">
      <w:pPr>
        <w:pStyle w:val="NormalHanging"/>
      </w:pPr>
      <w:r w:rsidRPr="00412725">
        <w:t>Γ.</w:t>
      </w:r>
      <w:r w:rsidRPr="00412725">
        <w:tab/>
        <w:t>λαμβάνοντας υπόψη ότι οι ΜΜΕ αποτελούν τη ραχοκοκαλιά της ευρωπαϊκής οικονομίας και ότι η πολιτική ανταγωνισμού πρέπει να λαμβάνει υπόψη τις ιδιαίτερες ανάγκες τους, διασφαλίζοντας ότι οι υποχρεώσεις συμμόρφωσης και οι διαδικασίες επιβολής δεν τις επιβαρύνουν δυσανάλογα·</w:t>
      </w:r>
    </w:p>
    <w:p w14:paraId="5E6765DE" w14:textId="77777777" w:rsidR="001F48C4" w:rsidRPr="00412725" w:rsidRDefault="001F48C4" w:rsidP="001F48C4">
      <w:pPr>
        <w:pStyle w:val="NormalHanging"/>
      </w:pPr>
      <w:r w:rsidRPr="00412725">
        <w:t>Δ.</w:t>
      </w:r>
      <w:r w:rsidRPr="00412725">
        <w:tab/>
        <w:t>λαμβάνοντας υπόψη ότι η διασφάλιση της ενιαίας αγοράς απαιτεί ισχυρούς, σταθερούς, προβλέψιμους και αμερόληπτους κανόνες ανταγωνισμού που εφαρμόζονται εξίσου σε όλους τους παράγοντες της αγοράς, οι οποίοι πρέπει να προστατεύονται από αδικαιολόγητες πολιτικές παρεμβάσεις κάθε είδους·</w:t>
      </w:r>
    </w:p>
    <w:p w14:paraId="3FBBF002" w14:textId="77777777" w:rsidR="001F48C4" w:rsidRPr="00412725" w:rsidRDefault="001F48C4" w:rsidP="001F48C4">
      <w:pPr>
        <w:pStyle w:val="NormalHanging"/>
      </w:pPr>
      <w:r w:rsidRPr="00412725">
        <w:t>Ε.</w:t>
      </w:r>
      <w:r w:rsidRPr="00412725">
        <w:tab/>
        <w:t>λαμβάνοντας υπόψη ότι η αυξανόμενη συγκέντρωση της αγοράς επηρεάζει την κατανομή του εισοδήματος, ενώ οι ανταγωνιστικές αγορές συμβάλλουν στη διασφάλιση της ευρύτερης κατανομής των κερδών παραγωγικότητας σε ολόκληρη την οικονομία και υποστηρίζουν τη βιώσιμη ανταγωνιστικότητα ενισχύοντας την αγοραστική δύναμη, την εσωτερική ζήτηση και τη δημιουργία ανθρώπινου κεφαλαίου·</w:t>
      </w:r>
    </w:p>
    <w:p w14:paraId="27F347F5" w14:textId="77777777" w:rsidR="001F48C4" w:rsidRPr="00412725" w:rsidRDefault="001F48C4" w:rsidP="001F48C4">
      <w:pPr>
        <w:pStyle w:val="NormalHanging"/>
      </w:pPr>
      <w:r w:rsidRPr="00412725">
        <w:t>ΣΤ.</w:t>
      </w:r>
      <w:r w:rsidRPr="00412725">
        <w:tab/>
        <w:t>λαμβάνοντας υπόψη ότι η θεσμική και λειτουργική ανεξαρτησία των εθνικών αρχών ανταγωνισμού (ΕΑΑ) και η επιβολή της ΕΕ αποτελούν προϋποθέσεις για την αξιοπιστία και την αποτελεσματικότητα της πολιτικής ανταγωνισμού· λαμβάνοντας υπόψη ότι η προστασία των διαδικασιών λήψης αποφάσεων από πολιτικές παρεμβάσεις ή πιέσεις του ιδιωτικού τομέα είναι απαραίτητη για τη διασφάλιση της ασφάλειας δικαίου, την τήρηση του κράτους δικαίου και τη διατήρηση ίσων όρων ανταγωνισμού σε ολόκληρη την ενιαία αγορά·</w:t>
      </w:r>
    </w:p>
    <w:p w14:paraId="3B1C4391" w14:textId="77777777" w:rsidR="001F48C4" w:rsidRPr="00412725" w:rsidRDefault="001F48C4" w:rsidP="001F48C4">
      <w:pPr>
        <w:pStyle w:val="NormalHanging"/>
      </w:pPr>
      <w:r w:rsidRPr="00412725">
        <w:t>Ζ.</w:t>
      </w:r>
      <w:r w:rsidRPr="00412725">
        <w:tab/>
        <w:t xml:space="preserve">λαμβάνοντας υπόψη ότι η έκθεση </w:t>
      </w:r>
      <w:proofErr w:type="spellStart"/>
      <w:r w:rsidRPr="00412725">
        <w:t>Draghi</w:t>
      </w:r>
      <w:proofErr w:type="spellEnd"/>
      <w:r w:rsidRPr="00412725">
        <w:t xml:space="preserve"> προσδιορίζει τρεις βασικούς τομείς δράσης: πρώτον, γεφύρωση του χάσματος καινοτομίας, δεύτερον, θέσπιση κοινού σχεδίου για τη διασφάλιση τόσο της απανθρακοποίησης όσο και της ανταγωνιστικότητας, το οποίο θα αποτυπώνει την ισχυρή βιομηχανική βάση και βάση καινοτομίας της ΕΕ και το συγκριτικό της πλεονέκτημα στις πράσινες τεχνολογίες και, τέλος, αύξηση της </w:t>
      </w:r>
      <w:r w:rsidRPr="00412725">
        <w:lastRenderedPageBreak/>
        <w:t>ασφάλειας και μείωση των εξαρτήσεων·</w:t>
      </w:r>
    </w:p>
    <w:p w14:paraId="4658E90B" w14:textId="77777777" w:rsidR="001F48C4" w:rsidRPr="00412725" w:rsidRDefault="001F48C4" w:rsidP="001F48C4">
      <w:pPr>
        <w:pStyle w:val="NormalHanging"/>
      </w:pPr>
      <w:r w:rsidRPr="00412725">
        <w:t>Η.</w:t>
      </w:r>
      <w:r w:rsidRPr="00412725">
        <w:tab/>
        <w:t>λαμβάνοντας υπόψη ότι, στο πλαίσιο αυτό, η κατακερματισμένη αγορά ενέργειας αυξάνει τις τιμές και αποδυναμώνει τον ανταγωνισμό, ενώ οι τρέχουσες γεωπολιτικές εντάσεις ενδέχεται να αυξήσουν περαιτέρω τα τρωτά σημεία· λαμβάνοντας υπόψη ότι η βαθύτερη ολοκλήρωση της εσωτερικής αγοράς ενέργειας, οι ισχυρότερες διασυνδέσεις και η αποτελεσματική επιβολή της νομοθεσίας περί ανταγωνισμού μπορούν να αυξήσουν την αποδοτικότητα, την ανθεκτικότητα και τη διασυνοριακή συμμετοχή, να μειώσουν τις εξαρτήσεις από προμηθευτές εκτός ΕΕ και να μειώσουν το κόστος για τους καταναλωτές·</w:t>
      </w:r>
    </w:p>
    <w:p w14:paraId="5BF11CE4" w14:textId="77777777" w:rsidR="001F48C4" w:rsidRPr="00412725" w:rsidRDefault="001F48C4" w:rsidP="001F48C4">
      <w:pPr>
        <w:pStyle w:val="NormalHanging"/>
      </w:pPr>
      <w:r w:rsidRPr="00412725">
        <w:t>Θ.</w:t>
      </w:r>
      <w:r w:rsidRPr="00412725">
        <w:tab/>
        <w:t>λαμβάνοντας υπόψη ότι, παράλληλα, η ταχεία ανάπτυξη της τεχνητής νοημοσύνης (ΤΝ), συμπεριλαμβανομένων των συστημάτων παραγωγικής ΤΝ, αναδιαμορφώνει σημαντικά την ανταγωνιστική δυναμική, τις δομές της αγοράς, τις αξιακές αλυσίδες και την πρόσβαση των χρηστών σε ψηφιακές υπηρεσίες σε ολόκληρη την ΕΕ, με πιθανές επιπτώσεις στον ανταγωνισμό εντός των ψηφιακών αγορών·</w:t>
      </w:r>
    </w:p>
    <w:p w14:paraId="4BEE451F" w14:textId="77777777" w:rsidR="001F48C4" w:rsidRPr="00412725" w:rsidRDefault="001F48C4" w:rsidP="001F48C4">
      <w:pPr>
        <w:pStyle w:val="Normal12a"/>
      </w:pPr>
      <w:r w:rsidRPr="00412725">
        <w:rPr>
          <w:b/>
          <w:i/>
        </w:rPr>
        <w:t>Ανάκτηση της στρατηγικής αυτονομίας της ΕΕ μέσω της πολιτικής ανταγωνισμού, της καινοτομίας και της ψηφιακής κυριαρχίας</w:t>
      </w:r>
    </w:p>
    <w:p w14:paraId="0EDE9E7E" w14:textId="3C9E55AE" w:rsidR="001F48C4" w:rsidRPr="00412725" w:rsidRDefault="000A39EB" w:rsidP="000A39EB">
      <w:pPr>
        <w:pStyle w:val="NormalHanging12a"/>
        <w:ind w:left="567" w:hanging="570"/>
      </w:pPr>
      <w:r w:rsidRPr="00412725">
        <w:t>1.</w:t>
      </w:r>
      <w:r w:rsidRPr="00412725">
        <w:tab/>
      </w:r>
      <w:r w:rsidR="001F48C4" w:rsidRPr="00412725">
        <w:t>υπενθυμίζει το ισχυρό πλαίσιο ανταγωνισμού της ΕΕ και την ορθή επιβολή του ως εργαλείο για την ενίσχυση της ανταγωνιστικότητας σε όλους τους κλάδους· υπογραμμίζει ότι οι πολιτικές της ΕΕ δεν θα πρέπει να επιδιώκονται μεμονωμένα και ότι οι ανησυχίες για την ανταγωνιστικότητα δεν μπορούν να ερμηνεύονται ως ελλείψεις στην πολιτική ανταγωνισμού· υπενθυμίζει ότι οι κανόνες ανταγωνισμού της ΕΕ πρέπει να συνάδουν με τις αρχές που κατοχυρώνονται στις Συνθήκες, και θα πρέπει να στηρίζουν την εφαρμογή των πολιτικών της ΕΕ, μεταξύ άλλων εκείνων που καλύπτουν τη βιομηχανία, το εμπόριο, τους καταναλωτές, τις χρηματοπιστωτικές υπηρεσίες και την άμυνα, και παράλληλα να διασφαλίζουν ένα σταθερό πλαίσιο που ενθαρρύνει τις επενδύσεις, την ανάπτυξη και την ικανότητα επέκτασης υπό δίκαιες συνθήκες· υπογραμμίζει ότι η πολιτική ανταγωνισμού θα πρέπει να συμβάλλει στην ολοκλήρωση και την εμβάθυνση των ευρωπαϊκών κεφαλαιαγορών και να υποστηρίζει τους στόχους της Ένωσης Αποταμιεύσεων και Επενδύσεων·</w:t>
      </w:r>
    </w:p>
    <w:p w14:paraId="0D72EE4A" w14:textId="6E0E7B55" w:rsidR="001F48C4" w:rsidRPr="00412725" w:rsidRDefault="000A39EB" w:rsidP="000A39EB">
      <w:pPr>
        <w:pStyle w:val="NormalHanging12a"/>
        <w:ind w:left="567" w:hanging="570"/>
      </w:pPr>
      <w:r w:rsidRPr="00412725">
        <w:t>2.</w:t>
      </w:r>
      <w:r w:rsidRPr="00412725">
        <w:tab/>
      </w:r>
      <w:r w:rsidR="001F48C4" w:rsidRPr="00412725">
        <w:t>επισημαίνει ότι ο εύρυθμος ανταγωνισμός είναι βασικός μοχλός για την αύξηση της παραγωγικότητας και τη μακροπρόθεσμη ανταγωνιστικότητα στην ΕΕ· σημειώνει ότι η αυστηρότερη επιβολή της πολιτικής ανταγωνισμού συνδέεται με υψηλότερη συνολική παραγωγικότητα των συντελεστών παραγωγής και αποτελεσματικότερη κατανομή της εργασίας και του κεφαλαίου· τονίζει, ως εκ τούτου, ότι η αποτελεσματική πολιτική ανταγωνισμού και η επιβολή της συμβάλλουν στη δημιουργία δίκαιων συνθηκών απασχόλησης·</w:t>
      </w:r>
    </w:p>
    <w:p w14:paraId="0D2C4E4C" w14:textId="5D78602D" w:rsidR="001F48C4" w:rsidRPr="00412725" w:rsidRDefault="000A39EB" w:rsidP="000A39EB">
      <w:pPr>
        <w:pStyle w:val="NormalHanging12a"/>
        <w:ind w:left="567" w:hanging="570"/>
      </w:pPr>
      <w:r w:rsidRPr="00412725">
        <w:t>3.</w:t>
      </w:r>
      <w:r w:rsidRPr="00412725">
        <w:tab/>
      </w:r>
      <w:r w:rsidR="001F48C4" w:rsidRPr="00412725">
        <w:t xml:space="preserve">πιστεύει ακράδαντα ότι οι εκθέσεις </w:t>
      </w:r>
      <w:proofErr w:type="spellStart"/>
      <w:r w:rsidR="001F48C4" w:rsidRPr="00412725">
        <w:t>Draghi</w:t>
      </w:r>
      <w:proofErr w:type="spellEnd"/>
      <w:r w:rsidR="001F48C4" w:rsidRPr="00412725">
        <w:t xml:space="preserve"> και </w:t>
      </w:r>
      <w:proofErr w:type="spellStart"/>
      <w:r w:rsidR="001F48C4" w:rsidRPr="00412725">
        <w:t>Letta</w:t>
      </w:r>
      <w:proofErr w:type="spellEnd"/>
      <w:r w:rsidR="001F48C4" w:rsidRPr="00412725">
        <w:t xml:space="preserve"> θα πρέπει να συνεισφέρουν στη διαμόρφωση προτεραιοτήτων στον τομέα του ανταγωνισμού και ζητεί να δοθεί επειγόντως συνέχεια στις εκθέσεις αυτές· σημειώνει την εκτίμηση του </w:t>
      </w:r>
      <w:proofErr w:type="spellStart"/>
      <w:r w:rsidR="001F48C4" w:rsidRPr="00412725">
        <w:t>Mario</w:t>
      </w:r>
      <w:proofErr w:type="spellEnd"/>
      <w:r w:rsidR="001F48C4" w:rsidRPr="00412725">
        <w:t xml:space="preserve"> </w:t>
      </w:r>
      <w:proofErr w:type="spellStart"/>
      <w:r w:rsidR="001F48C4" w:rsidRPr="00412725">
        <w:t>Draghi</w:t>
      </w:r>
      <w:proofErr w:type="spellEnd"/>
      <w:r w:rsidR="001F48C4" w:rsidRPr="00412725">
        <w:t xml:space="preserve"> ότι απαιτούνται επιπλέον 800 δισ</w:t>
      </w:r>
      <w:r w:rsidR="00BC5E8C">
        <w:t>εκατομμύρια</w:t>
      </w:r>
      <w:r w:rsidR="001F48C4" w:rsidRPr="00412725">
        <w:t xml:space="preserve"> EUR ετησίως για την προστασία της ανταγωνιστικότητας της ΕΕ· τονίζει ότι τα συμφέροντα των καταναλωτών θα πρέπει να παραμείνουν στο επίκεντρο, λαμβανομένης παράλληλα υπόψη της ανάγκης η πολιτική ανταγωνισμού να συμβάλει σε βασικούς στόχους, όπως η ανταγωνιστικότητα, η ανθεκτικότητα, η ασφάλεια, η στρατηγική αυτονομία και η βιωσιμότητα· εκφράζει την ικανοποίησή του για την πρόταση της έκθεσης </w:t>
      </w:r>
      <w:proofErr w:type="spellStart"/>
      <w:r w:rsidR="001F48C4" w:rsidRPr="00412725">
        <w:t>Draghi</w:t>
      </w:r>
      <w:proofErr w:type="spellEnd"/>
      <w:r w:rsidR="001F48C4" w:rsidRPr="00412725">
        <w:t xml:space="preserve"> για ένα ευέλικτο εργαλείο </w:t>
      </w:r>
      <w:r w:rsidR="001F48C4" w:rsidRPr="00412725">
        <w:lastRenderedPageBreak/>
        <w:t>έρευνας αγοράς (το «νέο εργαλείο ανταγωνισμού») για την αντιμετώπιση των αδυναμιών της αγοράς που δεν μπορούν να αντιμετωπιστούν αποτελεσματικά βάσει των ισχυόντων άρθρων 101 και 102 ΣΛΕΕ· σημειώνει ότι παρόμοια εργαλεία έχουν ήδη εφαρμοστεί με επιτυχία σε επίπεδο κρατών μελών και υποδεικνύει ότι ένα νέο εργαλείο ανταγωνισμού σε επίπεδο ΕΕ θα μπορούσε να βοηθήσει στην αντιμετώπιση διαρθρωτικών ζητημάτων ανταγωνισμού σε ολόκληρη την ΕΕ· καλεί την Επιτροπή να καθιερώσει ένα τέτοιο εργαλείο ώστε να συμπληρωθεί το υπάρχον πλαίσιο·</w:t>
      </w:r>
    </w:p>
    <w:p w14:paraId="77C48309" w14:textId="7208FA54" w:rsidR="001F48C4" w:rsidRPr="00412725" w:rsidRDefault="000A39EB" w:rsidP="000A39EB">
      <w:pPr>
        <w:pStyle w:val="NormalHanging12a"/>
        <w:ind w:left="567" w:hanging="570"/>
      </w:pPr>
      <w:r w:rsidRPr="00412725">
        <w:t>4.</w:t>
      </w:r>
      <w:r w:rsidRPr="00412725">
        <w:tab/>
      </w:r>
      <w:r w:rsidR="001F48C4" w:rsidRPr="00412725">
        <w:t>αναγνωρίζει την ανάγκη ενίσχυσης της ευρωπαϊκής βιομηχανικής βάσης στον τομέα της άμυνας· τονίζει ότι η πολιτική ανταγωνισμού πρέπει να διασφαλίζει δίκαιη πρόσβαση για τις ΜΜΕ και να αποτρέπει την υπερβολική συγκέντρωση στις αλυσίδες εφοδιασμού στον τομέα της άμυνας, η οποία θα μπορούσε να μειώσει την ανθεκτικότητα και να αυξήσει την εξάρτηση·</w:t>
      </w:r>
    </w:p>
    <w:p w14:paraId="48E3F0C5" w14:textId="7D1A38FB" w:rsidR="001F48C4" w:rsidRPr="00412725" w:rsidRDefault="000A39EB" w:rsidP="000A39EB">
      <w:pPr>
        <w:pStyle w:val="NormalHanging12a"/>
        <w:ind w:left="567" w:hanging="570"/>
      </w:pPr>
      <w:r w:rsidRPr="00412725">
        <w:t>5.</w:t>
      </w:r>
      <w:r w:rsidRPr="00412725">
        <w:tab/>
      </w:r>
      <w:r w:rsidR="001F48C4" w:rsidRPr="00412725">
        <w:t>επαναλαμβάνει τον θεμελιώδη ρόλο των ΜΜΕ στην ενίσχυση της ευρωπαϊκής ανταγωνιστικότητας, την προώθηση της καινοτομίας και τη δημιουργία θέσεων εργασίας· καλεί την Επιτροπή να διασφαλίσει ότι η επιβολή των κανόνων ανταγωνισμού και των ψηφιακών πολιτικών λαμβάνει υπόψη τον αντίκτυπό τους στις ΜΜΕ·</w:t>
      </w:r>
    </w:p>
    <w:p w14:paraId="6B98A32F" w14:textId="0A1FB2C7" w:rsidR="001F48C4" w:rsidRPr="00412725" w:rsidRDefault="000A39EB" w:rsidP="000A39EB">
      <w:pPr>
        <w:pStyle w:val="NormalHanging12a"/>
        <w:ind w:left="567" w:hanging="570"/>
      </w:pPr>
      <w:r w:rsidRPr="00412725">
        <w:t>6.</w:t>
      </w:r>
      <w:r w:rsidRPr="00412725">
        <w:tab/>
      </w:r>
      <w:r w:rsidR="001F48C4" w:rsidRPr="00412725">
        <w:t>υπογραμμίζει τη σημασία της μείωσης του ενεργειακού κόστους για τη διασφάλιση της ανταγωνιστικότητας της ΕΕ, με την προώθηση πηγών ενέργειας καθαρών μηδενικών εκπομπών σύμφωνα με την κατ’ εξουσιοδότηση πράξη για το κλίμα στο πλαίσιο της ταξινόμησης των επενδύσεων της ΕΕ</w:t>
      </w:r>
      <w:r w:rsidR="006E6C6E">
        <w:rPr>
          <w:rStyle w:val="FootnoteReference"/>
        </w:rPr>
        <w:footnoteReference w:id="12"/>
      </w:r>
      <w:r w:rsidR="001F48C4" w:rsidRPr="00412725">
        <w:t xml:space="preserve"> και τη συμπληρωματική κατ’ εξουσιοδότηση πράξη για το κλίμα στο πλαίσιο της ταξινόμησης των επενδύσεων της ΕΕ</w:t>
      </w:r>
      <w:r w:rsidR="006E6C6E">
        <w:rPr>
          <w:rStyle w:val="FootnoteReference"/>
        </w:rPr>
        <w:footnoteReference w:id="13"/>
      </w:r>
      <w:r w:rsidR="001F48C4" w:rsidRPr="00412725">
        <w:t>, διασφαλίζοντας παράλληλα ότι μια ανοικτή, ανταγωνιστική και βιώσιμη ενιαία αγορά εξισορροπείται με την ασφάλεια του εφοδιασμού και την αυξημένη ενεργειακή αυτονομία της ΕΕ· τονίζει ότι οι δίκαιες, εύρυθμες, ανταγωνιστικές, ολοκληρωμένες και διασυνδεδεμένες αγορές ηλεκτρικής ενέργειας είναι απαραίτητες για την ενίσχυση της βιομηχανικής ανταγωνιστικότητας της ΕΕ και την υποστήριξη πιο σταθερών και προσιτών τιμών ενέργειας· υπογραμμίζει τη σημασία της αποτελεσματικής επιβολής των κανόνων ανταγωνισμού στην πρόσβαση στις ενεργειακές υποδομές και τα δίκτυα προκειμένου να διασφαλιστεί η εύρυθμη λειτουργία της ενιαίας αγοράς, να εξασφαλιστεί η δίκαιη τιμολόγηση και να προστατευθούν καλύτερα οι καταναλωτές·</w:t>
      </w:r>
    </w:p>
    <w:p w14:paraId="59B9384F" w14:textId="1761484F" w:rsidR="001F48C4" w:rsidRPr="00412725" w:rsidRDefault="000A39EB" w:rsidP="000A39EB">
      <w:pPr>
        <w:pStyle w:val="NormalHanging12a"/>
        <w:ind w:left="567" w:hanging="570"/>
      </w:pPr>
      <w:r w:rsidRPr="00412725">
        <w:lastRenderedPageBreak/>
        <w:t>7.</w:t>
      </w:r>
      <w:r w:rsidRPr="00412725">
        <w:tab/>
      </w:r>
      <w:r w:rsidR="001F48C4" w:rsidRPr="00412725">
        <w:t>σημειώνει τον στρατηγικό ρόλο των κρίσιμων πρώτων υλών για την ενεργειακή μετάβαση και τους στόχους της πράξης για τις κρίσιμες πρώτες ύλες</w:t>
      </w:r>
      <w:r w:rsidR="006E6C6E">
        <w:rPr>
          <w:rStyle w:val="FootnoteReference"/>
        </w:rPr>
        <w:footnoteReference w:id="14"/>
      </w:r>
      <w:r w:rsidR="001F48C4" w:rsidRPr="00412725">
        <w:t xml:space="preserve"> όσον αφορά τη μείωση των γεωπολιτικών εξαρτήσεων και την ενίσχυση της ανθεκτικότητας της αλυσίδας εφοδιασμού, και ζητεί η πολιτική ανταγωνισμού να στηρίξει ανταγωνιστικές αγορές σε ολόκληρη την αξιακή αλυσίδα και πανευρωπαϊκές επενδύσεις·</w:t>
      </w:r>
    </w:p>
    <w:p w14:paraId="31B220D1" w14:textId="7AC29F2C" w:rsidR="001F48C4" w:rsidRPr="00412725" w:rsidRDefault="000A39EB" w:rsidP="000A39EB">
      <w:pPr>
        <w:pStyle w:val="NormalHanging12a"/>
        <w:ind w:left="567" w:hanging="570"/>
      </w:pPr>
      <w:r w:rsidRPr="00412725">
        <w:t>8.</w:t>
      </w:r>
      <w:r w:rsidRPr="00412725">
        <w:tab/>
      </w:r>
      <w:r w:rsidR="001F48C4" w:rsidRPr="00412725">
        <w:t>τονίζει τον καίριο ρόλο που διαδραματίζει ο ανταγωνισμός στη δημιουργία εναλλακτικών λύσεων στην ψηφιακή αγορά και στη μείωση της εξάρτησης από παρόχους εκτός ΕΕ και της δεσπόζουσας θέσης τους· ενθαρρύνει την κατασκευή βασικών υποδομών για την ενίσχυση της αυτονομίας και της καινοτομίας της Ευρώπης, συμπεριλαμβανομένων των υπηρεσιών υπολογιστικού νέφους, των υποδομών ΤΝ (κέντρα δεδομένων και συνδεσιμότητα), των υποδομών χρηματοπιστωτικών αγορών και των ανθεκτικών, διαλειτουργικών και ανταγωνιστικών ευρωπαϊκών συστημάτων πληρωμών, έτσι ώστε να εξασφαλιστούν οι ανοικτές και διεκδικήσιμες αγορές και να μειωθούν οι στρατηγικές εξαρτήσεις· παρατηρεί τις εξελισσόμενες επιχειρηματικές πρακτικές και δομές της αγοράς, καθώς και πιθανές νέες μορφές επιβλαβούς συμπεριφοράς, όπως η σιωπηρή αθέμιτη σύμπραξη και η αλγοριθμική αθέμιτη σύμπραξη για τις τιμές, και τονίζει την ανάγκη ευθυγράμμισης των προτεραιοτήτων επιβολής με αυτό το εξελισσόμενο τοπίο, με τη στήριξη ανάλυσης και αποδεικτικών στοιχείων που βασίζονται σε δεδομένα·</w:t>
      </w:r>
    </w:p>
    <w:p w14:paraId="19A1BDE8" w14:textId="327983D0" w:rsidR="001F48C4" w:rsidRPr="00412725" w:rsidRDefault="000A39EB" w:rsidP="000A39EB">
      <w:pPr>
        <w:pStyle w:val="NormalHanging12a"/>
        <w:ind w:left="567" w:hanging="570"/>
      </w:pPr>
      <w:r w:rsidRPr="00412725">
        <w:t>9.</w:t>
      </w:r>
      <w:r w:rsidRPr="00412725">
        <w:tab/>
      </w:r>
      <w:r w:rsidR="001F48C4" w:rsidRPr="00412725">
        <w:t>ζητεί ίσους όρους ανταγωνισμού σε στρατηγικούς τομείς και ζητεί από την ΕΕ να χρησιμοποιήσει όλα τα διαθέσιμα εργαλεία, συμπεριλαμβανομένων του κανονισμού για τις ξένες επιδοτήσεις, των κανόνων για τις δημόσιες συμβάσεις και ενός ισχυρού πλαισίου επανεξέτασης των συγκεντρώσεων, προκειμένου να διασφαλιστεί ότι οι επιχειρήσεις της ΕΕ μπορούν να ανταγωνίζονται αξιοκρατικά και ότι οι συμμετέχοντες στην αγορά που προέρχονται από τρίτες χώρες δεν ευνοούνται από ξένες κρατικές επιδοτήσεις· τονίζει τη σημασία της ενίσχυσης της ανθεκτικότητας, της διαφοροποίησης και της ασφάλειας των ευρωπαϊκών αλυσίδων εφοδιασμού σε στρατηγικούς τομείς που προωθούν τις ευρωπαϊκές ικανότητες και λύσεις, κατά περίπτωση, χωρίς να τίθενται σε κίνδυνο οι ανοικτές αγορές·</w:t>
      </w:r>
    </w:p>
    <w:p w14:paraId="6CFF27CC" w14:textId="667F0897" w:rsidR="001F48C4" w:rsidRPr="00412725" w:rsidRDefault="000A39EB" w:rsidP="000A39EB">
      <w:pPr>
        <w:pStyle w:val="NormalHanging12a"/>
        <w:ind w:left="567" w:hanging="570"/>
      </w:pPr>
      <w:r w:rsidRPr="00412725">
        <w:t>10.</w:t>
      </w:r>
      <w:r w:rsidRPr="00412725">
        <w:tab/>
      </w:r>
      <w:r w:rsidR="001F48C4" w:rsidRPr="00412725">
        <w:t>υπογραμμίζει ότι οι αρχές ανταγωνισμού χρειάζονται βελτιωμένη προσβασιμότητα των δεδομένων για να διασφαλίσουν την αποτελεσματική επιβολή της νομοθεσίας περί ανταγωνισμού· τονίζει τη σημασία της βελτίωσης της συλλογής δεδομένων, της διευκόλυνσης της πρόσβασης των εθνικών αρχών ανταγωνισμού σε δεδομένα δημόσιων συμβάσεων και της ενίσχυσης των μηχανισμών εντοπισμού της απάτης κατά την επιβολή της πολιτικής ανταγωνισμού· καλεί, επιπλέον, τις αρχές ανταγωνισμού να προωθήσουν απλουστευμένες διαδικασίες, να ενισχύσουν τη διαφάνεια και να βελτιώσουν την πρόσβαση των αναδυόμενων ΜΜΕ στην αγορά·</w:t>
      </w:r>
    </w:p>
    <w:p w14:paraId="13A6B7FF" w14:textId="4CA8101D" w:rsidR="001F48C4" w:rsidRPr="00412725" w:rsidRDefault="000A39EB" w:rsidP="000A39EB">
      <w:pPr>
        <w:pStyle w:val="NormalHanging12a"/>
        <w:ind w:left="567" w:hanging="570"/>
      </w:pPr>
      <w:r w:rsidRPr="00412725">
        <w:t>11.</w:t>
      </w:r>
      <w:r w:rsidRPr="00412725">
        <w:tab/>
      </w:r>
      <w:r w:rsidR="001F48C4" w:rsidRPr="00412725">
        <w:t xml:space="preserve">υπογραμμίζει τη σημασία σημαντικών έργων κοινού ευρωπαϊκού ενδιαφέροντος (ΣΕΚΕΕ) για τη χρηματοδότηση μεγάλων στρατηγικών έργων της ΕΕ· καλεί την Επιτροπή να εξορθολογίσει και να απλουστεύσει τις κοινοποιήσεις ΣΕΚΕΕ δεδομένου ότι συνεπάγονται φόρτο, ιδίως για τις ΜΜΕ, καθώς και να διασφαλίσει την </w:t>
      </w:r>
      <w:r w:rsidR="001F48C4" w:rsidRPr="00412725">
        <w:lastRenderedPageBreak/>
        <w:t>αναλογικότητα, να παράσχει σαφή και προβλέψιμα κριτήρια για το παραδεκτό και να ενισχύσει τη διαφάνεια και την ασφάλεια δικαίου καθ’ όλη τη διάρκεια της διαδικασίας αξιολόγησης·</w:t>
      </w:r>
    </w:p>
    <w:p w14:paraId="7DED60EA" w14:textId="3C60123A" w:rsidR="001F48C4" w:rsidRPr="00412725" w:rsidRDefault="000A39EB" w:rsidP="000A39EB">
      <w:pPr>
        <w:pStyle w:val="NormalHanging12a"/>
        <w:ind w:left="567" w:hanging="570"/>
      </w:pPr>
      <w:r w:rsidRPr="00412725">
        <w:t>12.</w:t>
      </w:r>
      <w:r w:rsidRPr="00412725">
        <w:tab/>
      </w:r>
      <w:r w:rsidR="001F48C4" w:rsidRPr="00412725">
        <w:t>εκφράζει την ικανοποίησή του για την επιβολή του κανονισμού για τις ξένες επιδοτήσεις δεδομένου ότι συνιστά απαραίτητο εργαλείο για τη δημιουργία ίσων όρων ανταγωνισμού και την αντιμετώπιση των στρεβλώσεων της αγοράς που προκαλούνται από ξένες επιδοτήσεις· εκφράζει την ικανοποίησή του για τις κατευθυντήριες γραμμές του κανονισμού για τις ξένες επιδοτήσεις· υποστηρίζει ότι οι κρατικές ενισχύσεις που δεν επιτρέπονται από τις Συνθήκες της ΕΕ δεν θα πρέπει επίσης να επιτρέπονται από τρίτες χώρες· ζητεί αυστηρή αξιολόγηση των στρεβλώσεων του ανταγωνισμού μέσω του κανονισμού για τις ξένες επιδοτήσεις και τον κατάλληλο έλεγχο των άμεσων ξένων επενδύσεων παράλληλα με τα παραδοσιακά μέσα εμπορικής άμυνας· καλεί την Επιτροπή να ενισχύσει την επιβολή του κανονισμού για τις ξένες επιδοτήσεις όσον αφορά τις επιγραμμικές πλατφόρμες και αγορές που είναι εγκατεστημένες σε τρίτες χώρες· καλεί την Επιτροπή να διασφαλίσει ότι οι ΜΜΕ και οι μικρότερες συναλλαγές δεν επιβαρύνονται δυσανάλογα από τις υποχρεώσεις συμμόρφωσης που προβλέπει ο κανονισμός για τις ξένες επιδοτήσεις·</w:t>
      </w:r>
    </w:p>
    <w:p w14:paraId="16ABE274" w14:textId="6F8AD6D1" w:rsidR="001F48C4" w:rsidRPr="00412725" w:rsidRDefault="000A39EB" w:rsidP="000A39EB">
      <w:pPr>
        <w:pStyle w:val="NormalHanging12a"/>
        <w:ind w:left="567" w:hanging="570"/>
      </w:pPr>
      <w:r w:rsidRPr="00412725">
        <w:t>13.</w:t>
      </w:r>
      <w:r w:rsidRPr="00412725">
        <w:tab/>
      </w:r>
      <w:r w:rsidR="001F48C4" w:rsidRPr="00412725">
        <w:t>υπογραμμίζει ότι, σύμφωνα με την τελευταία έρευνα του Ευρωβαρόμετρου και τη μετεκλογική έρευνα του Ευρωβαρόμετρου για το 2024, οι ερωτηθέντες αναμένουν από την ΕΕ να δώσει προτεραιότητα στην αντιμετώπιση του πληθωρισμού, της αύξησης των τιμών και του κόστους ζωής· τονίζει ότι η διασφάλιση θεμιτού και αποτελεσματικού ανταγωνισμού αποτελεί σημαντικό στοιχείο για την αντιμετώπιση των προκλήσεων αυτών και, ως εκ τούτου, θα πρέπει να εξακολουθήσει να αποτελεί προτεραιότητα στην πολιτική ανταγωνισμού·</w:t>
      </w:r>
    </w:p>
    <w:p w14:paraId="5B1B2FEA" w14:textId="2B04BB1B" w:rsidR="001F48C4" w:rsidRPr="00412725" w:rsidRDefault="000A39EB" w:rsidP="000A39EB">
      <w:pPr>
        <w:pStyle w:val="NormalHanging12a"/>
        <w:ind w:left="567" w:hanging="570"/>
      </w:pPr>
      <w:r w:rsidRPr="00412725">
        <w:t>14.</w:t>
      </w:r>
      <w:r w:rsidRPr="00412725">
        <w:tab/>
      </w:r>
      <w:r w:rsidR="001F48C4" w:rsidRPr="00412725">
        <w:t>υπογραμμίζει ότι η αυστηρή και συνεπής επιβολή της πολιτικής ανταγωνισμού συμβάλλει στην ενίσχυση της οικονομικής, κοινωνικής και εδαφικής συνοχής σε ολόκληρη την ΕΕ και τις εξόχως απόκεντρες περιφέρειές της· επισημαίνει ότι υφίσταται διαρκές οικονομικό χάσμα και χάσμα υποδομών μεταξύ εσωτερικών, αγροτικών, περιφερειακών, εξόχως απόκεντρων και νησιωτικών περιοχών, και καλεί την Επιτροπή να λαμβάνει υπόψη τον εδαφικό αντίκτυπο των αποφάσεων ανταγωνισμού, προκειμένου να προωθήσει κατάλληλες πολιτικές συνοχής που θα συνοδεύουν την ανάπτυξη της ενιαίας αγοράς, διασφαλίζοντας παράλληλα την ενιαία εφαρμογή των κανόνων ανταγωνισμού·</w:t>
      </w:r>
    </w:p>
    <w:p w14:paraId="3D0A118E" w14:textId="43122AE7" w:rsidR="001F48C4" w:rsidRPr="00412725" w:rsidRDefault="000A39EB" w:rsidP="000A39EB">
      <w:pPr>
        <w:pStyle w:val="NormalHanging12a"/>
        <w:ind w:left="567" w:hanging="570"/>
      </w:pPr>
      <w:r w:rsidRPr="00412725">
        <w:t>15.</w:t>
      </w:r>
      <w:r w:rsidRPr="00412725">
        <w:tab/>
      </w:r>
      <w:r w:rsidR="001F48C4" w:rsidRPr="00412725">
        <w:t>εκφράζει την ικανοποίησή του για την υπογραφή της συμφωνίας συνεργασίας ΕΕ-Ηνωμένου Βασιλείου στον τομέα του ανταγωνισμού</w:t>
      </w:r>
      <w:r w:rsidR="006E6C6E">
        <w:rPr>
          <w:rStyle w:val="FootnoteReference"/>
        </w:rPr>
        <w:footnoteReference w:id="15"/>
      </w:r>
      <w:r w:rsidR="001F48C4" w:rsidRPr="00412725">
        <w:t>, η οποία αποτελεί βασικό βήμα για την ενίσχυση του συντονισμού μεταξύ των αντίστοιχων αρχών ανταγωνισμού·</w:t>
      </w:r>
    </w:p>
    <w:p w14:paraId="46503D7E" w14:textId="77777777" w:rsidR="001F48C4" w:rsidRPr="00412725" w:rsidRDefault="001F48C4" w:rsidP="001F48C4">
      <w:pPr>
        <w:pStyle w:val="Normal12a"/>
      </w:pPr>
      <w:r w:rsidRPr="00412725">
        <w:rPr>
          <w:b/>
          <w:i/>
        </w:rPr>
        <w:t>Πιο ανεξάρτητη και αποτελεσματική επιβολή των κανόνων ανταγωνισμού στην ΕΕ</w:t>
      </w:r>
    </w:p>
    <w:p w14:paraId="0F53DA80" w14:textId="44EFEADE" w:rsidR="001F48C4" w:rsidRPr="00412725" w:rsidRDefault="000A39EB" w:rsidP="000A39EB">
      <w:pPr>
        <w:pStyle w:val="NormalHanging12a"/>
        <w:ind w:left="567" w:hanging="570"/>
      </w:pPr>
      <w:r w:rsidRPr="00412725">
        <w:lastRenderedPageBreak/>
        <w:t>16.</w:t>
      </w:r>
      <w:r w:rsidRPr="00412725">
        <w:tab/>
      </w:r>
      <w:r w:rsidR="001F48C4" w:rsidRPr="00412725">
        <w:t>καλεί την Επιτροπή να διερευνήσει τρόπους για την ενίσχυση της ανεξαρτησίας της επιβολή του ανταγωνισμού στην ΕΕ·</w:t>
      </w:r>
    </w:p>
    <w:p w14:paraId="1EF21E2B" w14:textId="68CABE35" w:rsidR="001F48C4" w:rsidRPr="00412725" w:rsidRDefault="000A39EB" w:rsidP="000A39EB">
      <w:pPr>
        <w:pStyle w:val="NormalHanging12a"/>
        <w:ind w:left="567" w:hanging="570"/>
      </w:pPr>
      <w:r w:rsidRPr="00412725">
        <w:t>17.</w:t>
      </w:r>
      <w:r w:rsidRPr="00412725">
        <w:tab/>
      </w:r>
      <w:r w:rsidR="001F48C4" w:rsidRPr="00412725">
        <w:t>τονίζει ότι η ενίσχυση της υφιστάμενης ικανότητας επιβολής είναι απαραίτητη βραχυπρόθεσμα· καλεί την Επιτροπή να διασφαλίσει επειγόντως ότι η Γενική Διεύθυνση Ανταγωνισμού είναι επαρκώς στελεχωμένη με τους αναγκαίους πόρους και την τεχνική εμπειρογνωσία για την αποτελεσματική επιβολή της αντιμονοπωλιακής νομοθεσίας, της πράξης για τις ψηφιακές αγορές και των κανόνων για τις συγκεντρώσεις·</w:t>
      </w:r>
    </w:p>
    <w:p w14:paraId="497C1DE7" w14:textId="3EB60AD7" w:rsidR="001F48C4" w:rsidRPr="00412725" w:rsidRDefault="000A39EB" w:rsidP="000A39EB">
      <w:pPr>
        <w:pStyle w:val="NormalHanging12a"/>
        <w:ind w:left="567" w:hanging="570"/>
      </w:pPr>
      <w:r w:rsidRPr="00412725">
        <w:t>18.</w:t>
      </w:r>
      <w:r w:rsidRPr="00412725">
        <w:tab/>
      </w:r>
      <w:r w:rsidR="001F48C4" w:rsidRPr="00412725">
        <w:t>υπογραμμίζει ότι είναι σημαντικό η επιβολή των κανόνων ανταγωνισμού να πραγματοποιείται με αμερόληπτο και πολιτικά ανεξάρτητο τρόπο· καλεί την Επιτροπή να υποβάλει εκτίμηση επιπτώσεων σχετικά με τα πλεονεκτήματα της σύστασης ειδικής ευρωπαϊκής αρχής ανταγωνισμού, εξετάζοντας την επικουρικότητα, την ορθή οριοθέτηση μεταξύ των λειτουργιών ανταγωνισμού και των ρυθμιστικών λειτουργιών, τη δημοκρατική λογοδοσία στο Κοινοβούλιο και τις πιθανές επιπτώσεις για το Ευρωπαϊκό Δίκτυο Ανταγωνισμού (ΕΔΑ)· τονίζει ότι είναι ανάγκη να διαθέτει επαρκή στελέχωση, εμπειρογνωμοσύνη και εξουσίες·</w:t>
      </w:r>
    </w:p>
    <w:p w14:paraId="39940F4B" w14:textId="77777777" w:rsidR="001F48C4" w:rsidRPr="00412725" w:rsidRDefault="001F48C4" w:rsidP="001F48C4">
      <w:pPr>
        <w:pStyle w:val="Normal12a"/>
      </w:pPr>
      <w:r w:rsidRPr="00412725">
        <w:rPr>
          <w:b/>
          <w:i/>
        </w:rPr>
        <w:t>Ανταγωνισμός στην ψηφιακή εποχή και επιβολή της πράξης για τις ψηφιακές αγορές εν μέσω παγκόσμιων προκλήσεων</w:t>
      </w:r>
    </w:p>
    <w:p w14:paraId="001B8B10" w14:textId="0B866AA6" w:rsidR="001F48C4" w:rsidRPr="00412725" w:rsidRDefault="000A39EB" w:rsidP="000A39EB">
      <w:pPr>
        <w:pStyle w:val="NormalHanging12a"/>
        <w:ind w:left="567" w:hanging="570"/>
      </w:pPr>
      <w:r w:rsidRPr="00412725">
        <w:t>19.</w:t>
      </w:r>
      <w:r w:rsidRPr="00412725">
        <w:tab/>
      </w:r>
      <w:r w:rsidR="001F48C4" w:rsidRPr="00412725">
        <w:t>παροτρύνει την Επιτροπή να εφαρμόσει πλήρως το εγχειρίδιο κανόνων ανταγωνισμού της ΕΕ, συμπεριλαμβανομένης της πράξης για τις ψηφιακές αγορές, με συνεπή, αμερόληπτο και νομικά άρτιο τρόπο, για να διασφαλιστεί η ρυθμιστική αυτονομία της Ευρώπης έναντι πολιτικών πιέσεων· σημειώνει με ανησυχία την εξωτερική πίεση που περιβάλλει την πράξη για τις ψηφιακές αγορές και προειδοποιεί για τις εξωτερικές παρεμβάσεις·</w:t>
      </w:r>
    </w:p>
    <w:p w14:paraId="3BB29DFC" w14:textId="1057989D" w:rsidR="001F48C4" w:rsidRPr="00412725" w:rsidRDefault="000A39EB" w:rsidP="000A39EB">
      <w:pPr>
        <w:pStyle w:val="NormalHanging12a"/>
        <w:ind w:left="567" w:hanging="570"/>
      </w:pPr>
      <w:r w:rsidRPr="00412725">
        <w:t>20.</w:t>
      </w:r>
      <w:r w:rsidRPr="00412725">
        <w:tab/>
      </w:r>
      <w:r w:rsidR="001F48C4" w:rsidRPr="00412725">
        <w:t>υπογραμμίζει ότι η αποτελεσματική επιβολή μπορεί να επιτευχθεί μόνο εάν οι κανόνες για την αντιμετώπιση της κατάχρησης δεσπόζουσας θέσης (άρθρο 102 ΣΛΕΕ) και η πράξη για τις ψηφιακές αγορές εφαρμοστούν από κοινού, συνδυάζοντας εκ των προτέρων και εκ των υστέρων προσεγγίσεις· καλεί την Επιτροπή να εξορθολογίσει και να διατυπώσει καλύτερα το εγχειρίδιο κανόνων ανταγωνισμού και το εγχειρίδιο κανόνων για το ψηφιακό περιβάλλον·</w:t>
      </w:r>
    </w:p>
    <w:p w14:paraId="4E6396BA" w14:textId="5E056745" w:rsidR="001F48C4" w:rsidRPr="00412725" w:rsidRDefault="000A39EB" w:rsidP="000A39EB">
      <w:pPr>
        <w:pStyle w:val="NormalHanging12a"/>
        <w:ind w:left="567" w:hanging="570"/>
      </w:pPr>
      <w:r w:rsidRPr="00412725">
        <w:t>21.</w:t>
      </w:r>
      <w:r w:rsidRPr="00412725">
        <w:tab/>
      </w:r>
      <w:r w:rsidR="001F48C4" w:rsidRPr="00412725">
        <w:t>εκφράζει την ικανοποίησή του για τη δημοσίευση της έκθεσης της Επιτροπής στις 28</w:t>
      </w:r>
      <w:r w:rsidR="00BC5E8C">
        <w:t> </w:t>
      </w:r>
      <w:r w:rsidR="001F48C4" w:rsidRPr="00412725">
        <w:t>Απριλίου 2026 σχετικά με την επανεξέταση της πράξης για τις ψηφιακές αγορές· σημειώνει το συμπέρασμα της Επιτροπής, στην παρούσα πρώτη επανεξέταση της πράξης για τις ψηφιακές αγορές, ότι δηλαδή η πράξη για τις ψηφιακές αγορές είναι κατάλληλη για τον επιδιωκόμενο σκοπό και δεν χρειάζεται να τροποποιηθεί στο παρόν στάδιο, αν και προσδιορίζει συγκεκριμένους τομείς εστίασης στο μέλλον, και συγκεκριμένα τις υπηρεσίες ΤΝ και υπολογιστικού νέφους, τονίζοντας παράλληλα ότι η πράξη για τις ψηφιακές αγορές δεν θα πρέπει να εξετάζεται μεμονωμένα όσον αφορά τα ρυθμιστικά εργαλεία που αποσκοπούν στην αποτύπωση της αξιακής αλυσίδας της ΤΝ ή του υπολογιστικού νέφους·</w:t>
      </w:r>
    </w:p>
    <w:p w14:paraId="5D9A3F0D" w14:textId="6C218C04" w:rsidR="001F48C4" w:rsidRPr="00412725" w:rsidRDefault="000A39EB" w:rsidP="000A39EB">
      <w:pPr>
        <w:pStyle w:val="NormalHanging12a"/>
        <w:ind w:left="567" w:hanging="570"/>
      </w:pPr>
      <w:r w:rsidRPr="00412725">
        <w:t>22.</w:t>
      </w:r>
      <w:r w:rsidRPr="00412725">
        <w:tab/>
      </w:r>
      <w:r w:rsidR="001F48C4" w:rsidRPr="00412725">
        <w:t xml:space="preserve">ζητεί η διαδικασία επανεξέτασης της πράξης για τις ψηφιακές αγορές, η οποία αναμένεται να πραγματοποιείται ανά τριετία, να είναι διαφανής, τεκμηριωμένη, αναλογική, στοχευμένη και φιλόδοξη, διασφαλίζοντας παράλληλα τη ρυθμιστική σταθερότητα και αποφεύγοντας την περιττή επέκταση των υποχρεώσεων για τους </w:t>
      </w:r>
      <w:r w:rsidR="001F48C4" w:rsidRPr="00412725">
        <w:lastRenderedPageBreak/>
        <w:t>συμμετέχοντες στην αγορά· επιμένει ότι η περιοδική επανεξέταση της πράξης για τις ψηφιακές αγορές, ανά τριετία, θα πρέπει να αξιολογεί συστηματικά την αποτελεσματικότητα και τον πρακτικό αντίκτυπο των υφιστάμενων υποχρεώσεων, την ασφάλεια δικαίου για τους συμμετέχοντες στην αγορά, την αλληλεπίδραση της πράξης για τις ψηφιακές αγορές με τις ειδικές τομεακές ρυθμίσεις και την ανάγκη για τυχόν προσαρμογές των κατώτατων ορίων για τον ορισμό των πυλωρών υπό το πρίσμα των εξελίξεων της αγοράς· ζητεί από την Επιτροπή να συμπεριλαμβάνει συστηματικά τις ΜΜΕ στις διαβουλεύσεις για την επανεξέταση της πράξης για τις ψηφιακές αγορές·</w:t>
      </w:r>
    </w:p>
    <w:p w14:paraId="0171BBA1" w14:textId="714B2D9B" w:rsidR="001F48C4" w:rsidRPr="00412725" w:rsidRDefault="000A39EB" w:rsidP="000A39EB">
      <w:pPr>
        <w:pStyle w:val="NormalHanging12a"/>
        <w:ind w:left="567" w:hanging="570"/>
      </w:pPr>
      <w:r w:rsidRPr="00412725">
        <w:t>23.</w:t>
      </w:r>
      <w:r w:rsidRPr="00412725">
        <w:tab/>
      </w:r>
      <w:r w:rsidR="001F48C4" w:rsidRPr="00412725">
        <w:t xml:space="preserve">τονίζει ότι η αυξανόμενη συγκέντρωση στις υπηρεσίες υπολογιστικού νέφους μπορεί να υπονομεύσει τον ανταγωνισμό, την καινοτομία και τη στρατηγική αυτονομία της ΕΕ· υπογραμμίζει ότι πρακτικές όπως η ομαδοποίηση, οι αγορές υπολογιστικού νέφους και οι συμβατικοί μηχανισμοί, συμπεριλαμβανομένων των πιστώσεων και των δεσμεύσεων δαπανών, μπορούν να ενισχύσουν τον εγκλωβισμό σε συγκεκριμένους προμηθευτές και να περιορίσουν τις στρατηγικές αλλαγής ή τις στρατηγικές πολλαπλού υπολογιστικού νέφους· τονίζει ότι πρέπει να επικαιροποιηθούν οι υποχρεώσεις για το υπολογιστικό νέφος· σημειώνει ότι, </w:t>
      </w:r>
      <w:r w:rsidR="005F4BBC">
        <w:t>μετά</w:t>
      </w:r>
      <w:r w:rsidR="001F48C4" w:rsidRPr="00412725">
        <w:t xml:space="preserve"> τις έρευνες αγοράς για υπηρεσίες υπολογιστικού νέφους </w:t>
      </w:r>
      <w:r w:rsidR="005F4BBC">
        <w:t xml:space="preserve">που ξεκίνησαν </w:t>
      </w:r>
      <w:r w:rsidR="001F48C4" w:rsidRPr="00412725">
        <w:t xml:space="preserve">τον Νοέμβριο του 2025, </w:t>
      </w:r>
      <w:r w:rsidR="005F4BBC" w:rsidRPr="005F4BBC">
        <w:t>η Επιτροπή δημοσίευσε την προκαταρκτική της θέση στις 25 Ιουνίου 2026, δηλώνοντας ότι</w:t>
      </w:r>
      <w:r w:rsidR="001F48C4" w:rsidRPr="00412725">
        <w:t xml:space="preserve"> η Microsoft </w:t>
      </w:r>
      <w:proofErr w:type="spellStart"/>
      <w:r w:rsidR="001F48C4" w:rsidRPr="00412725">
        <w:t>Azure</w:t>
      </w:r>
      <w:proofErr w:type="spellEnd"/>
      <w:r w:rsidR="001F48C4" w:rsidRPr="00412725">
        <w:t xml:space="preserve"> και η </w:t>
      </w:r>
      <w:proofErr w:type="spellStart"/>
      <w:r w:rsidR="001F48C4" w:rsidRPr="00412725">
        <w:t>Amazon</w:t>
      </w:r>
      <w:proofErr w:type="spellEnd"/>
      <w:r w:rsidR="001F48C4" w:rsidRPr="00412725">
        <w:t xml:space="preserve"> Web Services θα πρέπει να οριστούν ως πυλωροί για τις υπηρεσίες υπολογιστικού νέφους</w:t>
      </w:r>
      <w:r w:rsidR="005F4BBC">
        <w:rPr>
          <w:rStyle w:val="FootnoteReference"/>
        </w:rPr>
        <w:footnoteReference w:id="16"/>
      </w:r>
      <w:r w:rsidR="001F48C4" w:rsidRPr="00412725">
        <w:t xml:space="preserve">, </w:t>
      </w:r>
      <w:r w:rsidR="005F4BBC" w:rsidRPr="005F4BBC">
        <w:t xml:space="preserve">ενώ παραμένει σε εξέλιξη η έρευνά της σχετικά με το αν </w:t>
      </w:r>
      <w:r w:rsidR="001F48C4" w:rsidRPr="00412725">
        <w:t>η πράξη για τις ψηφιακές αγορές μπορεί να αντιμετωπίσει αποτελεσματικά πρακτικές που ενδέχεται να περιορίσουν την ανταγωνιστικότητα και τη δικαιοσύνη στις υπηρεσίες υπολογιστικού νέφους</w:t>
      </w:r>
      <w:r w:rsidR="006E6C6E">
        <w:rPr>
          <w:rStyle w:val="FootnoteReference"/>
        </w:rPr>
        <w:footnoteReference w:id="17"/>
      </w:r>
      <w:r w:rsidR="001F48C4" w:rsidRPr="00412725">
        <w:t>· καλεί την Επιτροπή να χρησιμοποιήσει την έρευνα αγοράς για τις υπηρεσίες υπολογιστικού νέφους προκειμένου να προσαρμόσει τις υποχρεώσεις της πράξης για τις ψηφιακές αγορές και να διασφαλίσει ότι αντιμετωπίζουν αποτελεσματικά τους φραγμούς που εμποδίζουν τους χρήστες να αλλάζουν παρόχους·</w:t>
      </w:r>
    </w:p>
    <w:p w14:paraId="0337C42B" w14:textId="706BC400" w:rsidR="001F48C4" w:rsidRPr="00412725" w:rsidRDefault="000A39EB" w:rsidP="000A39EB">
      <w:pPr>
        <w:pStyle w:val="NormalHanging12a"/>
        <w:ind w:left="567" w:hanging="570"/>
      </w:pPr>
      <w:r w:rsidRPr="00412725">
        <w:t>24.</w:t>
      </w:r>
      <w:r w:rsidRPr="00412725">
        <w:tab/>
      </w:r>
      <w:r w:rsidR="001F48C4" w:rsidRPr="00412725">
        <w:t>υπενθυμίζει ότι η επιβολή της πράξης για τις ψηφιακές αγορές εξακολουθεί να μην είναι η βέλτιστη δυνατή· υποστηρίζει την αυστηρότερη επιβολή της πράξης για τις ψηφιακές αγορές σε σχέση με όλους τους συμμετέχοντες στην αγορά που εμπίπτουν στο πεδίο εφαρμογής της, ανεξάρτητα από την εθνικότητά τους, και ενθαρρύνει την Επιτροπή να ολοκληρώσει τις ανοικτές έρευνες εντός των χρονικών πλαισίων που προβλέπονται στην πράξη για τις ψηφιακές αγορές· σημειώνει ότι η αποτελεσματική επιβολή της πράξης για τις ψηφιακές αγορές απαιτεί επαρκείς και βιώσιμους πόρους· καλεί την Επιτροπή και τις αρμόδιες για τον προϋπολογισμό αρχές να διασφαλίσουν ότι για την πράξη για τις ψηφιακές αγορές διατίθενται επαρκείς και σταθεροί πόροι μέσω του προϋπολογισμού της ΕΕ· ζητεί, ως εκ τούτου, να διερευνηθούν λύσεις βιώσιμης χρηματοδότησης, με παράλληλο σεβασμό της θεσμικής ισορροπίας, ιδίως για τη θέσπιση «τέλους της πράξης για τις ψηφιακές αγορές», παρόμοιου με το τέλος στο πλαίσιο της πράξης για τις ψηφιακές υπηρεσίες·</w:t>
      </w:r>
    </w:p>
    <w:p w14:paraId="0D6D4D56" w14:textId="73571FCC" w:rsidR="001F48C4" w:rsidRPr="00412725" w:rsidRDefault="000A39EB" w:rsidP="000A39EB">
      <w:pPr>
        <w:pStyle w:val="NormalHanging12a"/>
        <w:ind w:left="567" w:hanging="570"/>
      </w:pPr>
      <w:r w:rsidRPr="00412725">
        <w:t>25.</w:t>
      </w:r>
      <w:r w:rsidRPr="00412725">
        <w:tab/>
      </w:r>
      <w:r w:rsidR="001F48C4" w:rsidRPr="00412725">
        <w:t xml:space="preserve">καλεί την Επιτροπή να αξιοποιήσει πλήρως και προορατικά όλα τα μέσα επιβολής που προβλέπονται στην πράξη για τις ψηφιακές αγορές, μεταξύ άλλων τις περαιτέρω </w:t>
      </w:r>
      <w:r w:rsidR="001F48C4" w:rsidRPr="00412725">
        <w:lastRenderedPageBreak/>
        <w:t>έρευνες αγοράς, τις διαδικασίες μη συμμόρφωσης, τις επιθεωρήσεις, τα προσωρινά μέτρα, τα πρόστιμα και τις περιοδικές χρηματικές ποινές, προκειμένου να αποτραπεί η καταστρατήγηση και να διασφαλιστεί η αποτελεσματική συμμόρφωση·</w:t>
      </w:r>
    </w:p>
    <w:p w14:paraId="353CA58F" w14:textId="1AB3808B" w:rsidR="001F48C4" w:rsidRPr="00412725" w:rsidRDefault="000A39EB" w:rsidP="000A39EB">
      <w:pPr>
        <w:pStyle w:val="NormalHanging12a"/>
        <w:ind w:left="567" w:hanging="570"/>
      </w:pPr>
      <w:r w:rsidRPr="00412725">
        <w:t>26.</w:t>
      </w:r>
      <w:r w:rsidRPr="00412725">
        <w:tab/>
      </w:r>
      <w:r w:rsidR="001F48C4" w:rsidRPr="00412725">
        <w:t>αναγνωρίζει την ύπαρξη νομικής βάσης για μέτρα διαρθρωτικού χαρακτήρα κατά της κατάχρησης δεσπόζουσας θέσης στην αγορά· γνωρίζει ότι οι κανόνες ανταγωνισμού της ΕΕ ορίζουν ότι τα διαρθρωτικά διορθωτικά μέτρα θα πρέπει να χρησιμοποιούνται ως έσχατη λύση μόνο εάν τα διορθωτικά μέτρα συμπεριφοράς έχουν αποδειχθεί αναποτελεσματικά, ωστόσο εκφράζει τη λύπη του για την απροθυμία της Επιτροπής να αντιμετωπίσει τη δεσπόζουσα θέση στην αγορά μέσω διαρθρωτικών διορθωτικών μέτρων·</w:t>
      </w:r>
    </w:p>
    <w:p w14:paraId="72A82AD0" w14:textId="3BADEEEB" w:rsidR="001F48C4" w:rsidRPr="00412725" w:rsidRDefault="000A39EB" w:rsidP="000A39EB">
      <w:pPr>
        <w:pStyle w:val="NormalHanging12a"/>
        <w:ind w:left="567" w:hanging="570"/>
      </w:pPr>
      <w:r w:rsidRPr="00412725">
        <w:t>27.</w:t>
      </w:r>
      <w:r w:rsidRPr="00412725">
        <w:tab/>
      </w:r>
      <w:r w:rsidR="001F48C4" w:rsidRPr="00412725">
        <w:t>εκφράζει την ικανοποίησή του για το γεγονός ότι η Επιτροπή αναγνώρισε, κατά την πρώτη επανεξέταση της πράξης για τις ψηφιακές αγορές, ότι τα εργαλεία θωράκισης έναντι μελλοντικών εξελίξεων που ενσωματώθηκαν από τους συννομοθέτες είναι ζωτικής σημασίας για να μπορέσει το πλαίσιο να ανταποκριθεί στις εξελίξεις στις αγορές και τις τεχνολογίες· καλεί, ως εκ τούτου, την Επιτροπή να προβεί σε συνεπή και ανθεκτική στις μελλοντικές εξελίξεις σε ό,τι αφορά την τεχνολογία επιβολή της πράξης για τις ψηφιακές αγορές, αντιμετωπίζοντας τις υπηρεσίες που βασίζονται στην ΤΝ και τις υποδομές υπολογιστικού νέφους με έγκαιρο τρόπο, προκειμένου να αποφευχθούν νέες μορφές πρακτικών εγκλωβισμού, αποκλεισμού ή ελέγχου της πρόσβασης, μεταξύ άλλων όταν οι πυλωροί εκμεταλλεύονται τον έλεγχο των δεδομένων, των υπολογιστικών πόρων ή των ολοκληρωμένων υπηρεσιών σε βάρος των αναδυόμενων φορέων ανάπτυξης ΤΝ και των καινοτόμων νεοεισερχόμενων στην αγορά·</w:t>
      </w:r>
    </w:p>
    <w:p w14:paraId="387F572D" w14:textId="0B3642D0" w:rsidR="001F48C4" w:rsidRPr="00412725" w:rsidRDefault="000A39EB" w:rsidP="000A39EB">
      <w:pPr>
        <w:pStyle w:val="NormalHanging12a"/>
        <w:ind w:left="567" w:hanging="570"/>
      </w:pPr>
      <w:r w:rsidRPr="00412725">
        <w:t>28.</w:t>
      </w:r>
      <w:r w:rsidRPr="00412725">
        <w:tab/>
      </w:r>
      <w:r w:rsidR="001F48C4" w:rsidRPr="00412725">
        <w:t xml:space="preserve">εκφράζει την ικανοποίησή του για το γεγονός ότι η Επιτροπή παρακολουθεί ήδη την ανάπτυξη εργαλείων ΤΝ στο πλαίσιο καθορισμένων βασικών υπηρεσιών πλατφόρμας σύμφωνα με την πράξη για τις ψηφιακές αγορές· σημειώνει ότι, κατά την πρώτη επανεξέταση της πράξης για τις ψηφιακές αγορές, η Επιτροπή αναφέρει ότι, όσον αφορά τις υπηρεσίες ΤΝ, έχει αρχίσει να αντιμετωπίζει διάφορα ζητήματα δικαιοσύνης και δυνατότητας διεκδίκησης που κατέχουν εξέχουσα θέση στη δημόσια διαβούλευση, για παράδειγμα μέσω του ρυθμιστικού διαλόγου της με τους πυλωρούς σχετικά με τη διασφάλιση ότι οι προεπιλεγμένες ρυθμίσεις μπορούν να αλλάζουν εύκολα και ότι οι υπηρεσίες ΤΝ έχουν ισότιμη πρόσβαση σε λειτουργικά συστήματα· σημειώνει ότι τον Ιανουάριο του 2026 κινήθηκαν δύο διαδικασίες προσδιορισμού σε σχέση με το </w:t>
      </w:r>
      <w:proofErr w:type="spellStart"/>
      <w:r w:rsidR="001F48C4" w:rsidRPr="00412725">
        <w:t>Alphabet</w:t>
      </w:r>
      <w:proofErr w:type="spellEnd"/>
      <w:r w:rsidR="001F48C4" w:rsidRPr="00412725">
        <w:t>, οι οποίες έχουν επίσης διάσταση ΤΝ που σχετίζεται με τη διαλειτουργικότητα και την πρόσβαση σε δεδομένα αναζήτησης· καλεί την Επιτροπή να αναπτύξει και να εφαρμόσει νέες θεωρίες περί βλάβης για την αντιμετώπιση της περαιτέρω παγίωσης των κατεστημένων φορέων και να αξιολογήσει, στο πλαίσιο της επικείμενης επανεξέτασης της πράξης για τις ψηφιακές αγορές, κατά πόσον ο τρέχων κατάλογος βασικών υπηρεσιών πλατφόρμας αποτυπώνει επαρκώς την πραγματικότητα της αγοράς, μεταξύ άλλων σε τομείς όπως τα μοντέλα ΤΝ, τα διαλογικά ρομπότ ΤΝ και οι υπηρεσίες υπολογιστικού νέφους, οι κύριες υπηρεσίες εικονικού βοηθού και τα λειτουργικά συστήματα συνδεδεμένων τηλεοράσεων· καλεί την Επιτροπή να συμπεριλάβει τις ΜΜΕ, τις νεοφυείς επιχειρήσεις, τις κλαδικές ενώσεις, τους ακαδημαϊκούς εμπειρογνώμονες και τις οργανώσεις καταναλωτών σε όλα τα κράτη μέλη στις διαβουλεύσεις για την επανεξέταση της πράξης για τις ψηφιακές αγορές·</w:t>
      </w:r>
    </w:p>
    <w:p w14:paraId="084020E8" w14:textId="55E9F3AE" w:rsidR="001F48C4" w:rsidRPr="00412725" w:rsidRDefault="000A39EB" w:rsidP="000A39EB">
      <w:pPr>
        <w:pStyle w:val="NormalHanging12a"/>
        <w:ind w:left="567" w:hanging="570"/>
      </w:pPr>
      <w:r w:rsidRPr="00412725">
        <w:t>29.</w:t>
      </w:r>
      <w:r w:rsidRPr="00412725">
        <w:tab/>
      </w:r>
      <w:r w:rsidR="001F48C4" w:rsidRPr="00412725">
        <w:t xml:space="preserve">τονίζει ότι η επιβολή της πράξης για τις ψηφιακές αγορές εφαρμόζεται σε όλους τους ορισθέντες πυλωρούς, ανεξάρτητα από την εθνικότητα ή την καταγωγή τους, και καλεί την Επιτροπή να εφαρμόζει τις υποχρεώσεις της πράξης για τις ψηφιακές αγορές με </w:t>
      </w:r>
      <w:r w:rsidR="001F48C4" w:rsidRPr="00412725">
        <w:lastRenderedPageBreak/>
        <w:t>συνέπεια· εκφράζει την ικανοποίησή του για τον συντονισμό μεταξύ της Επιτροπής και των εθνικών αρχών ανταγωνισμού σχετικά με συμπεριφορές που σχετίζονται με την πράξη για τις ψηφιακές αγορές· παροτρύνει την Επιτροπή να αναλάβει αποφασιστική δράση αναλόγως·</w:t>
      </w:r>
    </w:p>
    <w:p w14:paraId="1F3B29AB" w14:textId="2801536B" w:rsidR="001F48C4" w:rsidRPr="00412725" w:rsidRDefault="000A39EB" w:rsidP="000A39EB">
      <w:pPr>
        <w:pStyle w:val="NormalHanging12a"/>
        <w:ind w:left="567" w:hanging="570"/>
      </w:pPr>
      <w:r w:rsidRPr="00412725">
        <w:t>30.</w:t>
      </w:r>
      <w:r w:rsidRPr="00412725">
        <w:tab/>
      </w:r>
      <w:r w:rsidR="001F48C4" w:rsidRPr="00412725">
        <w:t>καλεί την Επιτροπή να εξετάσει, στο πλαίσιο της εφαρμογής της οδηγίας για την ψηφιακή ενιαία αγορά</w:t>
      </w:r>
      <w:r w:rsidR="006E6C6E">
        <w:rPr>
          <w:rStyle w:val="FootnoteReference"/>
        </w:rPr>
        <w:footnoteReference w:id="18"/>
      </w:r>
      <w:r w:rsidR="001F48C4" w:rsidRPr="00412725">
        <w:t>, πιθανές καταχρήσεις από πυλωρούς στο πλαίσιο της πράξης για τις ψηφιακές αγορές κατά τις διαπραγματεύσεις τους με εκδότες Τύπου, και ιδίως κατά πόσον οι εν λόγω διαπραγματεύσεις συμμορφώνονται με τις υποχρεώσεις για τους όρους «FRAND» («δίκαιοι, εύλογοι και χωρίς διακρίσεις»), διασφαλίζοντας δίκαιη αμοιβή, διαφανείς όρους και πρόσβαση χωρίς διακρίσεις στο επιγραμμικό κοινό·</w:t>
      </w:r>
    </w:p>
    <w:p w14:paraId="3BBA403D" w14:textId="60B201F1" w:rsidR="001F48C4" w:rsidRPr="00412725" w:rsidRDefault="000A39EB" w:rsidP="000A39EB">
      <w:pPr>
        <w:pStyle w:val="NormalHanging12a"/>
        <w:ind w:left="567" w:hanging="570"/>
      </w:pPr>
      <w:r w:rsidRPr="00412725">
        <w:t>31.</w:t>
      </w:r>
      <w:r w:rsidRPr="00412725">
        <w:tab/>
      </w:r>
      <w:r w:rsidR="001F48C4" w:rsidRPr="00412725">
        <w:t>καλεί την Επιτροπή να αξιοποιήσει πλήρως το άρθρο 13 της πράξης για τις ψηφιακές αγορές προκειμένου να αντιμετωπίσει κάθε καταστρατήγηση από τους πυλωρούς των υποχρεώσεών τους που απορρέουν από τα άρθρα 5 και 6 της πράξης για τις ψηφιακές αγορές·</w:t>
      </w:r>
    </w:p>
    <w:p w14:paraId="733F4A0F" w14:textId="77777777" w:rsidR="001F48C4" w:rsidRPr="00412725" w:rsidRDefault="001F48C4" w:rsidP="001F48C4">
      <w:pPr>
        <w:pStyle w:val="Normal12a"/>
      </w:pPr>
      <w:r w:rsidRPr="00412725">
        <w:rPr>
          <w:b/>
          <w:i/>
        </w:rPr>
        <w:t>Αντιμονοπωλιακή νομοθεσία</w:t>
      </w:r>
    </w:p>
    <w:p w14:paraId="5E0922D9" w14:textId="17422C81" w:rsidR="001F48C4" w:rsidRPr="00412725" w:rsidRDefault="000A39EB" w:rsidP="000A39EB">
      <w:pPr>
        <w:pStyle w:val="NormalHanging12a"/>
        <w:ind w:left="567" w:hanging="570"/>
      </w:pPr>
      <w:r w:rsidRPr="00412725">
        <w:t>32.</w:t>
      </w:r>
      <w:r w:rsidRPr="00412725">
        <w:tab/>
      </w:r>
      <w:r w:rsidR="001F48C4" w:rsidRPr="00412725">
        <w:t>παροτρύνει την Επιτροπή να χρησιμοποιήσει με τον κατάλληλο τρόπο προσωρινά μέτρα για να θέσει τέρμα σε κάθε πρακτική που βλάπτει τον ανταγωνισμό, ιδίως στις ταχέως εξελισσόμενες ψηφιακές αγορές· καλεί την Επιτροπή να εκσυγχρονίσει τον κανονισμό (ΕΚ) αριθ. 1/2003</w:t>
      </w:r>
      <w:r w:rsidR="00BC5E8C">
        <w:t xml:space="preserve"> του Συμβουλίου</w:t>
      </w:r>
      <w:r w:rsidR="006E6C6E">
        <w:rPr>
          <w:rStyle w:val="FootnoteReference"/>
        </w:rPr>
        <w:footnoteReference w:id="19"/>
      </w:r>
      <w:r w:rsidR="001F48C4" w:rsidRPr="00412725">
        <w:t xml:space="preserve"> και τον κανονισμό (ΕΚ) αριθ.</w:t>
      </w:r>
      <w:r w:rsidR="00BC5E8C">
        <w:t xml:space="preserve"> </w:t>
      </w:r>
      <w:r w:rsidR="001F48C4" w:rsidRPr="00412725">
        <w:t>773/2004 της Επιτροπής</w:t>
      </w:r>
      <w:r w:rsidR="006E6C6E">
        <w:rPr>
          <w:rStyle w:val="FootnoteReference"/>
        </w:rPr>
        <w:footnoteReference w:id="20"/>
      </w:r>
      <w:r w:rsidR="001F48C4" w:rsidRPr="00412725">
        <w:t>, προκειμένου να βελτιωθούν η αποτελεσματικότητα, η ασφάλεια δικαίου και η αναλογικότητα της επιβολής της αντιμονοπωλιακής νομοθεσίας στην ΕΕ· υποστηρίζει ένα σαφές πλαίσιο προσωρινών μέτρων σε περιπτώσεις σοβαρής και ανεπανόρθωτης βλάβης του ανταγωνισμού, με κατάλληλες εγγυήσεις τήρησης της δέουσας διαδικασίας·</w:t>
      </w:r>
    </w:p>
    <w:p w14:paraId="1F8AD359" w14:textId="6C8A789E" w:rsidR="001F48C4" w:rsidRPr="00412725" w:rsidRDefault="000A39EB" w:rsidP="000A39EB">
      <w:pPr>
        <w:pStyle w:val="NormalHanging12a"/>
        <w:ind w:left="567" w:hanging="570"/>
      </w:pPr>
      <w:r w:rsidRPr="00412725">
        <w:t>33.</w:t>
      </w:r>
      <w:r w:rsidRPr="00412725">
        <w:tab/>
      </w:r>
      <w:r w:rsidR="001F48C4" w:rsidRPr="00412725">
        <w:t>καλεί την Επιτροπή να αντιμετωπίσει τις υπερβολικά μακροχρόνιες έρευνες για την αντιμονοπωλιακή νομοθεσία· ζητά δεσμευτικές διαδικαστικές προθεσμίες στις έρευνες για την αντιμονοπωλιακή νομοθεσία, ώστε να αποτρέπονται αδικαιολόγητες καθυστερήσεις που βλάπτουν τη νομική ασφάλεια και τα δικαιώματα υπεράσπισης·</w:t>
      </w:r>
    </w:p>
    <w:p w14:paraId="2BDAC21E" w14:textId="4A0CEA6F" w:rsidR="001F48C4" w:rsidRPr="00412725" w:rsidRDefault="000A39EB" w:rsidP="000A39EB">
      <w:pPr>
        <w:pStyle w:val="NormalHanging12a"/>
        <w:ind w:left="567" w:hanging="570"/>
      </w:pPr>
      <w:r w:rsidRPr="00412725">
        <w:t>34.</w:t>
      </w:r>
      <w:r w:rsidRPr="00412725">
        <w:tab/>
      </w:r>
      <w:r w:rsidR="001F48C4" w:rsidRPr="00412725">
        <w:t>παροτρύνει την Επιτροπή να διενεργήσει ολοκληρωμένη μελέτη σχετικά με το αποτρεπτικό αποτέλεσμα των προστίμων της· επιμένει ότι οι κυρώσεις πρέπει να είναι αρκετά υψηλές ώστε να υπερβαίνουν το παράνομο οικονομικό όφελος που προκύπτει από την παράβαση·</w:t>
      </w:r>
    </w:p>
    <w:p w14:paraId="0255C900" w14:textId="6B522972" w:rsidR="001F48C4" w:rsidRPr="00412725" w:rsidRDefault="000A39EB" w:rsidP="000A39EB">
      <w:pPr>
        <w:pStyle w:val="NormalHanging12a"/>
        <w:ind w:left="567" w:hanging="570"/>
      </w:pPr>
      <w:r w:rsidRPr="00412725">
        <w:lastRenderedPageBreak/>
        <w:t>35.</w:t>
      </w:r>
      <w:r w:rsidRPr="00412725">
        <w:tab/>
      </w:r>
      <w:r w:rsidR="001F48C4" w:rsidRPr="00412725">
        <w:t>τονίζει τη σημασία της δυνατότητας αποτελεσματικής άσκησης αγωγής για αποζημίωση συμπληρωματικά προς τη δημόσια επιβολή της αντιμονοπωλιακής νομοθεσίας, διασφαλίζοντας ότι τα θύματα των παραβάσεων των άρθρων 101 και 102 ΣΛΕΕ μπορούν να λάβουν πλήρη αποζημίωση· καλεί την Επιτροπή και τα κράτη μέλη να διασφαλίσουν την αποτελεσματική εφαρμογή της οδηγίας σχετικά με τις αγωγές αποζημίωσης για παραβάσεις της αντιμονοπωλιακής νομοθεσίας</w:t>
      </w:r>
      <w:r w:rsidR="006E6C6E">
        <w:rPr>
          <w:rStyle w:val="FootnoteReference"/>
        </w:rPr>
        <w:footnoteReference w:id="21"/>
      </w:r>
      <w:r w:rsidR="001F48C4" w:rsidRPr="00412725">
        <w:t xml:space="preserve"> και να άρουν τα εναπομένοντα εμπόδια στην ιδιωτική επιβολή·</w:t>
      </w:r>
    </w:p>
    <w:p w14:paraId="300CBF25" w14:textId="01A3286A" w:rsidR="001F48C4" w:rsidRPr="00412725" w:rsidRDefault="000A39EB" w:rsidP="000A39EB">
      <w:pPr>
        <w:pStyle w:val="NormalHanging12a"/>
        <w:ind w:left="567" w:hanging="570"/>
      </w:pPr>
      <w:r w:rsidRPr="00412725">
        <w:t>36.</w:t>
      </w:r>
      <w:r w:rsidRPr="00412725">
        <w:tab/>
      </w:r>
      <w:r w:rsidR="001F48C4" w:rsidRPr="00412725">
        <w:t>επαναβεβαιώνει την ανάγκη για ισχυρή και αποτελεσματική συνεργασία μεταξύ της Επιτροπής και των ΕΑΑ στο πλαίσιο του ΕΔΑ, καθώς και με σχετικούς ιδιωτικούς και δημόσιους ενδιαφερόμενους φορείς και τις οργανώσεις καταναλωτών· υπογραμμίζει ότι οι εθνικές αρχές ανταγωνισμού πρέπει να παραμείνουν πολιτικά ανεξάρτητες και να διαθέτουν επαρκείς πόρους και ότι η οδηγία ΕΔΑ+</w:t>
      </w:r>
      <w:r w:rsidR="006E6C6E">
        <w:rPr>
          <w:rStyle w:val="FootnoteReference"/>
        </w:rPr>
        <w:footnoteReference w:id="22"/>
      </w:r>
      <w:r w:rsidR="001F48C4" w:rsidRPr="00412725">
        <w:t xml:space="preserve"> θα πρέπει να μεταφερθεί πλήρως και με συνέπεια και να εφαρμοστεί σε όλα τα κράτη μέλη· ζητεί ενισχυμένη σύγκλιση των προτύπων επιβολής, έγκαιρη ανταλλαγή πληροφοριών και σαφή κατανομή των αρμοδιοτήτων για την αποφυγή της επανάληψης των διαδικασιών· τονίζει ότι το ΕΔΑ πρέπει να μεταβεί προς μια πλήρως ολοκληρωμένη μορφή συνεργασίας, με στόχο την ενίσχυση της οικονομικής αποδοτικότητας και τη βελτίωση του χειρισμού των διασυνοριακών πτυχών, μεταξύ άλλων μέσω της δυνατότητας κοινών ερευνών και κοινής λήψης αποφάσεων· καλεί το ΕΔΑ να καθοδηγήσει περαιτέρω τις εταιρείες, ιδίως τις ΜΜΕ, στην εφαρμογή του εγχειριδίου κανόνων ανταγωνισμού·</w:t>
      </w:r>
    </w:p>
    <w:p w14:paraId="740DC67B" w14:textId="50EBD04E" w:rsidR="001F48C4" w:rsidRPr="00412725" w:rsidRDefault="000A39EB" w:rsidP="000A39EB">
      <w:pPr>
        <w:pStyle w:val="NormalHanging12a"/>
        <w:ind w:left="567" w:hanging="570"/>
      </w:pPr>
      <w:r w:rsidRPr="00412725">
        <w:t>37.</w:t>
      </w:r>
      <w:r w:rsidRPr="00412725">
        <w:tab/>
      </w:r>
      <w:r w:rsidR="001F48C4" w:rsidRPr="00412725">
        <w:t xml:space="preserve">καλεί την Επιτροπή και τις ΕΑΑ να θεσπίσουν εύκολα προσβάσιμους και φιλικούς προς τις ΜΜΕ μηχανισμούς υποβολής καταγγελιών για </w:t>
      </w:r>
      <w:proofErr w:type="spellStart"/>
      <w:r w:rsidR="001F48C4" w:rsidRPr="00412725">
        <w:t>αντιανταγωνιστικές</w:t>
      </w:r>
      <w:proofErr w:type="spellEnd"/>
      <w:r w:rsidR="001F48C4" w:rsidRPr="00412725">
        <w:t xml:space="preserve"> πρακτικές, διασφαλίζοντας την ταχεία και αποτελεσματική διεκπεραίωση των υποθέσεων·</w:t>
      </w:r>
    </w:p>
    <w:p w14:paraId="4F845DEF" w14:textId="4EBA0201" w:rsidR="001F48C4" w:rsidRPr="00412725" w:rsidRDefault="000A39EB" w:rsidP="000A39EB">
      <w:pPr>
        <w:pStyle w:val="NormalHanging12a"/>
        <w:ind w:left="567" w:hanging="570"/>
      </w:pPr>
      <w:r w:rsidRPr="00412725">
        <w:t>38.</w:t>
      </w:r>
      <w:r w:rsidRPr="00412725">
        <w:tab/>
      </w:r>
      <w:r w:rsidR="001F48C4" w:rsidRPr="00412725">
        <w:t xml:space="preserve">σημειώνει τις τρέχουσες έρευνες για εταιρείες με έδρα εκτός ΕΕ, συμπεριλαμβανομένης της προκαταρκτικής έρευνας της Επιτροπής σχετικά με τα τέλη της </w:t>
      </w:r>
      <w:proofErr w:type="spellStart"/>
      <w:r w:rsidR="001F48C4" w:rsidRPr="00412725">
        <w:t>Visa</w:t>
      </w:r>
      <w:proofErr w:type="spellEnd"/>
      <w:r w:rsidR="001F48C4" w:rsidRPr="00412725">
        <w:t xml:space="preserve"> και της </w:t>
      </w:r>
      <w:proofErr w:type="spellStart"/>
      <w:r w:rsidR="001F48C4" w:rsidRPr="00412725">
        <w:t>Mastercard</w:t>
      </w:r>
      <w:proofErr w:type="spellEnd"/>
      <w:r w:rsidR="001F48C4" w:rsidRPr="00412725">
        <w:t>· καλεί την Επιτροπή να διασφαλίσει ότι η αγορά πληρωμών θα παραμείνει ανταγωνιστική, διαφανής και προσβάσιμη για τους καταναλωτές και τις επιχειρήσεις· τονίζει την ανάγκη αναθεώρησης του κανονισμού για τις διατραπεζικές προμήθειες</w:t>
      </w:r>
      <w:r w:rsidR="006E6C6E">
        <w:rPr>
          <w:rStyle w:val="FootnoteReference"/>
        </w:rPr>
        <w:footnoteReference w:id="23"/>
      </w:r>
      <w:r w:rsidR="001F48C4" w:rsidRPr="00412725">
        <w:t xml:space="preserve"> προκειμένου να αξιολογηθεί η αποτελεσματικότητά του στην αντιμετώπιση της αύξησης των τελών· καλεί την Επιτροπή να ολοκληρώσει τις εν εξελίξει έρευνες στον τομέα των πληρωμών χωρίς αδικαιολόγητη καθυστέρηση· τονίζει ότι το ψηφιακό ευρώ αποτελεί σημαντική ευκαιρία για τη μείωση της υπερβολικής εξάρτησης από συστήματα καρτών εκτός ΕΕ και για την ενίσχυση του ανταγωνισμού και της </w:t>
      </w:r>
      <w:r w:rsidR="001F48C4" w:rsidRPr="00412725">
        <w:lastRenderedPageBreak/>
        <w:t>στρατηγικής αυτονομίας της ΕΕ στον τομέα των πληρωμών, μεταξύ άλλων συμβάλλοντας στη διασφάλιση πιο ανταγωνιστικών συνθηκών τιμολόγησης για τις επιχειρήσεις, ιδίως τις ΜΜΕ·</w:t>
      </w:r>
    </w:p>
    <w:p w14:paraId="24148067" w14:textId="597DEB55" w:rsidR="001F48C4" w:rsidRPr="00412725" w:rsidRDefault="000A39EB" w:rsidP="000A39EB">
      <w:pPr>
        <w:pStyle w:val="NormalHanging12a"/>
        <w:ind w:left="567" w:hanging="570"/>
      </w:pPr>
      <w:r w:rsidRPr="00412725">
        <w:t>39.</w:t>
      </w:r>
      <w:r w:rsidRPr="00412725">
        <w:tab/>
      </w:r>
      <w:r w:rsidR="001F48C4" w:rsidRPr="00412725">
        <w:t>υπογραμμίζει τη σημασία του ανταγωνισμού στον τραπεζικό τομέα και της ολοκλήρωσης της τραπεζικής ένωσης· καλεί την Επιτροπή να χρησιμοποιήσει όλα τα διαθέσιμα μέσα για να διασφαλίσει τον θεμιτό ανταγωνισμό και να παρακολουθεί τις τάσεις στον τραπεζικό τομέα κατά τη διάρκεια περιόδων υψηλού πληθωρισμού· τονίζει τη σημασία και τον επείγοντα χαρακτήρα της επικείμενης έκθεσης της Επιτροπής σχετικά με την ανταγωνιστικότητα του τραπεζικού τομέα της ΕΕ και αναμένει από την Επιτροπή να εγκρίνει την έκθεση έως τον Ιούλιο του 2026· εκφράζει, επιπλέον, την ικανοποίησή του για την επικείμενη αξιολόγηση της λειτουργίας της οδηγίας 2002/87/ΕΚ</w:t>
      </w:r>
      <w:r w:rsidR="006E6C6E">
        <w:rPr>
          <w:rStyle w:val="FootnoteReference"/>
        </w:rPr>
        <w:footnoteReference w:id="24"/>
      </w:r>
      <w:r w:rsidR="001F48C4" w:rsidRPr="00412725">
        <w:t xml:space="preserve"> και της οδηγίας Φερεγγυότητα II</w:t>
      </w:r>
      <w:r w:rsidR="006E6C6E">
        <w:rPr>
          <w:rStyle w:val="FootnoteReference"/>
        </w:rPr>
        <w:footnoteReference w:id="25"/>
      </w:r>
      <w:r w:rsidR="001F48C4" w:rsidRPr="00412725">
        <w:t xml:space="preserve"> σχετικά με πτυχές που αφορούν τους ισότιμους όρους ανταγωνισμού μεταξύ των συμμετεχόντων στις ασφαλιστικές και τραπεζικές αγορές·</w:t>
      </w:r>
    </w:p>
    <w:p w14:paraId="418EBC72" w14:textId="749D817F" w:rsidR="001F48C4" w:rsidRPr="00412725" w:rsidRDefault="000A39EB" w:rsidP="000A39EB">
      <w:pPr>
        <w:pStyle w:val="NormalHanging12a"/>
        <w:ind w:left="567" w:hanging="570"/>
      </w:pPr>
      <w:r w:rsidRPr="00412725">
        <w:t>40.</w:t>
      </w:r>
      <w:r w:rsidRPr="00412725">
        <w:tab/>
      </w:r>
      <w:r w:rsidR="001F48C4" w:rsidRPr="00412725">
        <w:t>σημειώνει την ύπαρξη ολιγοπωλίων στην παροχή ορισμένων υπηρεσιών που είναι ζωτικής σημασίας για τους συμμετέχοντες στη χρηματοπιστωτική αγορά της ΕΕ, όπως οι φορείς συγκέντρωσης της αγοράς και οι πάροχοι συνδεσιμότητας που χαρακτηρίζονται από περιορισμένο αριθμό παρόχων, σημαντική δυσκολία μετάβασης από έναν πάροχο σε άλλον ή ασύμμετρη τιμολογιακή ισχύ προς όφελος του παρόχου, γεγονός που τελικά διογκώνει το κόστος για τους επενδυτές· σημειώνει περαιτέρω ότι οι τρεις μεγαλύτεροι οργανισμοί αξιολόγησης πιστοληπτικής ικανότητας και οι τέσσερις μεγαλύτερες εταιρείες στην αγορά ελεγκτικών υπηρεσιών εξακολουθούν να κατέχουν μερίδια αγοράς άνω του 90 %· παροτρύνει την Επιτροπή να διερευνήσει τα υφιστάμενα ολιγοπώλια και να λάβει τα κατάλληλα μέτρα προς όφελος του ανταγωνισμού της ΕΕ·</w:t>
      </w:r>
    </w:p>
    <w:p w14:paraId="1BE030C4" w14:textId="6E59584D" w:rsidR="001F48C4" w:rsidRPr="00412725" w:rsidRDefault="000A39EB" w:rsidP="000A39EB">
      <w:pPr>
        <w:pStyle w:val="NormalHanging12a"/>
        <w:ind w:left="567" w:hanging="570"/>
      </w:pPr>
      <w:r w:rsidRPr="00412725">
        <w:t>41.</w:t>
      </w:r>
      <w:r w:rsidRPr="00412725">
        <w:tab/>
      </w:r>
      <w:r w:rsidR="001F48C4" w:rsidRPr="00412725">
        <w:t xml:space="preserve">υπενθυμίζει ότι η Ευρωπαϊκή Κεντρική Τράπεζα έχει επισημάνει ότι οι τιμές των τροφίμων παραμένουν υψηλές, επηρεάζοντας ιδίως τους ευάλωτους καταναλωτές· εκφράζει την ανησυχία του για την υψηλή συγκέντρωση στην αγορά σε ορισμένα επίπεδα της αλυσίδας εφοδιασμού γεωργικών προϊόντων και τροφίμων· παροτρύνει την Επιτροπή να αξιολογήσει την κλίμακα και τον αντίκτυπο των αγοραστικών συμμαχιών και να αναλύσει περαιτέρω τις επιπτώσεις τους όχι μόνο στις τιμές, αλλά και στην ικανότητα των γεωργών και των παραγωγών αγροδιατροφικών ειδών να παρέχουν υγιεινά, ασφαλή και βιώσιμα προϊόντα στους καταναλωτές· καλεί την Επιτροπή να αξιολογήσει κατά πόσο χρειάζονται πρόσθετες κατευθυντήριες γραμμές σχετικά με την εφαρμογή του άρθρου 102 ΣΛΕΕ που αφορά καταχρηστικές πρακτικές εκμετάλλευσης, </w:t>
      </w:r>
      <w:r w:rsidR="001F48C4" w:rsidRPr="00412725">
        <w:lastRenderedPageBreak/>
        <w:t>συμπεριλαμβανομένων των υπερβολικών ή αθέμιτων τιμών, προκειμένου να βελτιωθεί η ασφάλεια δικαίου και να καταστεί πιο αποτελεσματική η επιβολή του νόμου σε αγορές καταναλωτών με υψηλή συγκέντρωση·</w:t>
      </w:r>
    </w:p>
    <w:p w14:paraId="02BB9065" w14:textId="77777777" w:rsidR="001F48C4" w:rsidRPr="00412725" w:rsidRDefault="001F48C4" w:rsidP="001F48C4">
      <w:pPr>
        <w:pStyle w:val="Normal12a"/>
      </w:pPr>
      <w:r w:rsidRPr="00412725">
        <w:rPr>
          <w:b/>
          <w:i/>
        </w:rPr>
        <w:t>Έλεγχος των συγκεντρώσεων</w:t>
      </w:r>
    </w:p>
    <w:p w14:paraId="709F2737" w14:textId="395AE03D" w:rsidR="001F48C4" w:rsidRPr="00412725" w:rsidRDefault="000A39EB" w:rsidP="000A39EB">
      <w:pPr>
        <w:pStyle w:val="NormalHanging12a"/>
        <w:ind w:left="567" w:hanging="570"/>
      </w:pPr>
      <w:r w:rsidRPr="00412725">
        <w:t>42.</w:t>
      </w:r>
      <w:r w:rsidRPr="00412725">
        <w:tab/>
      </w:r>
      <w:r w:rsidR="001F48C4" w:rsidRPr="00412725">
        <w:t>τονίζει ότι η Ευρώπη στερείται μεγάλων επιχειρήσεων ικανών να ανταγωνιστούν σε παγκόσμιο επίπεδο σε πολλούς βασικούς στρατηγικούς τομείς· θεωρεί ότι η κλιμάκωση εντός της ενιαίας αγοράς αποτελεί στρατηγική επιταγή της ΕΕ για την κινητοποίηση επενδύσεων, την προώθηση της ανταγωνιστικότητας, τις επενδύσεις στην καινοτομία και την παροχή στις εταιρείες της ΕΕ της δυνατότητας να ανταγωνίζονται αποτελεσματικά στις παγκόσμιες αγορές, όπως επισημαίνεται στην έκθεση Letta· τονίζει ότι η ολοκλήρωση της ενιαίας αγοράς και η άρση των εσωτερικών φραγμών παραμένουν βασικές προτεραιότητες στο πλαίσιο αυτό· σημειώνει ότι οι διαρθρωτικοί φραγμοί στην κλιμάκωση εντός της ΕΕ ενδέχεται να οδηγήσουν στην εξαγορά καινοτόμων εταιρειών της ΕΕ από μη ενωσιακούς παράγοντες, με πιθανές αρνητικές επιπτώσεις στον μακροπρόθεσμο ανταγωνισμό και την ικανότητα καινοτομίας στην ΕΕ· θεωρεί, ως εκ τούτου, ότι ο έλεγχος των συγκεντρώσεων θα πρέπει να λαμβάνει πλήρως υπόψη την ικανότητα των εταιρειών της ΕΕ να επενδύουν στην καινοτομία·</w:t>
      </w:r>
    </w:p>
    <w:p w14:paraId="24B04F7D" w14:textId="73164B7D" w:rsidR="001F48C4" w:rsidRPr="00412725" w:rsidRDefault="000A39EB" w:rsidP="000A39EB">
      <w:pPr>
        <w:pStyle w:val="NormalHanging12a"/>
        <w:ind w:left="567" w:hanging="570"/>
      </w:pPr>
      <w:r w:rsidRPr="00412725">
        <w:t>43.</w:t>
      </w:r>
      <w:r w:rsidRPr="00412725">
        <w:tab/>
      </w:r>
      <w:r w:rsidR="001F48C4" w:rsidRPr="00412725">
        <w:t>θεωρεί ότι η πολιτική ανταγωνισμού δεν θα πρέπει να δημιουργεί περιττά εμπόδια για εταιρείες που πρέπει να επεκταθούν προκειμένου να είναι ανταγωνιστικές σε παγκόσμιο επίπεδο, επισημαίνοντας παράλληλα ότι δεν χρειάζονται όλες οι εταιρείες της ΕΕ να επεκταθούν· υπογραμμίζει ότι ο ζωτικός δεσμός μεταξύ μεγάλων και μικρών επιχειρήσεων συνιστά πηγή ευημερίας για την ΕΕ· θεωρεί ότι η ανταγωνιστική κλίμακα θα πρέπει πρωτίστως να προκύπτει από τον θεμιτό ανταγωνισμό, την ισχυρή επιβολή της αντιμονοπωλιακής νομοθεσίας και την εμβάθυνση της ενιαίας αγοράς, που αποτελούν το θεμέλιο της κοινωνικής οικονομίας της αγοράς της ΕΕ και παραμένουν η πραγματική κινητήρια δύναμη για την καινοτομία·</w:t>
      </w:r>
    </w:p>
    <w:p w14:paraId="1AE6252F" w14:textId="6CF44C0C" w:rsidR="001F48C4" w:rsidRPr="00412725" w:rsidRDefault="000A39EB" w:rsidP="000A39EB">
      <w:pPr>
        <w:pStyle w:val="NormalHanging12a"/>
        <w:ind w:left="567" w:hanging="570"/>
      </w:pPr>
      <w:r w:rsidRPr="00412725">
        <w:t>44.</w:t>
      </w:r>
      <w:r w:rsidRPr="00412725">
        <w:tab/>
      </w:r>
      <w:r w:rsidR="001F48C4" w:rsidRPr="00412725">
        <w:t>καλεί την Επιτροπή να εφαρμόσει δυναμικά την πολιτική συγκεντρώσεων, βάσει οικονομικής και νομικής αξιολόγησης, αναλύοντας πλήρως την έννοια της ευημερίας των καταναλωτών κατά την αξιολόγηση του ανταγωνισμού, και να εξετάσει τις ευρύτερες οικονομικές επιπτώσεις των συγκεντρώσεων, να προσαρμόσει την πολιτική στην νέα πραγματικότητα της αγοράς, συμπεριλαμβανομένων των ψηφιακών οικοσυστημάτων, της ΤΝ, της ενέργειας και της άμυνας, και να αναλύσει τις επιπτώσεις των συγκεντρώσεων μακροπρόθεσμα, ακολουθώντας μια μακρόπνοη προσέγγιση· ενθαρρύνει την Επιτροπή να συνεχίσει να παρακολουθεί την εξέλιξη της ισχύος στην αγορά στην Ευρώπη, συμπεριλαμβανομένου του αντικτύπου των συγκεντρώσεων στη βιωσιμότητα, την καινοτομία και τη μακροπρόθεσμη ανθεκτικότητα·</w:t>
      </w:r>
    </w:p>
    <w:p w14:paraId="0A2D4D73" w14:textId="40D9573B" w:rsidR="001F48C4" w:rsidRPr="00412725" w:rsidRDefault="000A39EB" w:rsidP="000A39EB">
      <w:pPr>
        <w:pStyle w:val="NormalHanging12a"/>
        <w:ind w:left="567" w:hanging="570"/>
      </w:pPr>
      <w:r w:rsidRPr="00412725">
        <w:t>45.</w:t>
      </w:r>
      <w:r w:rsidRPr="00412725">
        <w:tab/>
      </w:r>
      <w:r w:rsidR="001F48C4" w:rsidRPr="00412725">
        <w:t xml:space="preserve">ζητεί μια φιλόδοξη και τεκμηριωμένη αναθεώρηση των κατευθυντήριων γραμμών της ΕΕ για τις συγκεντρώσεις, ώστε να ευθυγραμμιστούν καλύτερα με τη νέα πραγματικότητα της αγοράς και τις προτεραιότητες της ΕΕ για την προώθηση μιας πιο ανθεκτικής και ανταγωνιστικής Ευρώπης, συνεχίζοντας παράλληλα να διασφαλίζουν υψηλό επίπεδο ευημερίας των καταναλωτών· επιμένει ότι, ενώ θα εξακολουθεί να βασίζεται στην ανάλυση του ανταγωνισμού και να διασφαλίζει τον αποτελεσματικό ανταγωνισμό στις εθνικές αγορές και εντός της ενιαίας αγοράς, ο έλεγχος των συγκεντρώσεων θα πρέπει να αξιολογεί τις πανευρωπαϊκές συγκεντρώσεις με μακρόπνοο τρόπο και να διασφαλίζει ότι κάθε ενοποίηση που δημιουργεί «πρωταθλητές της ΕΕ» ενισχύει την ευημερία των καταναλωτών, τη δυνατότητα </w:t>
      </w:r>
      <w:r w:rsidR="001F48C4" w:rsidRPr="00412725">
        <w:lastRenderedPageBreak/>
        <w:t>διεκδίκησης στην αγορά και τη μακροπρόθεσμη ανθεκτικότητα, ιδίως σε βασικούς τομείς όπως οι τηλεπικοινωνίες, οι τράπεζες, οι πληρωμές, η άμυνα και η ενέργεια· ζητεί οι νέες κατευθυντήριες γραμμές για τον έλεγχο των συγκεντρώσεων να διασφαλίζουν την ασφάλεια δικαίου για τις επιχειρήσεις κατά τη δημιουργία πανευρωπαϊκών φορέων που ενθαρρύνουν την επέκταση που ευνοεί τον ανταγωνισμό, και παράλληλα να διασφαλίζουν ότι οι εθνικές εξουσίες παρέμβασης, συμπεριλαμβανομένων των εξουσιών αρνησικυρίας, χρησιμοποιούνται μόνο στις απολύτως απαραίτητες και αναλογικές περιπτώσεις·</w:t>
      </w:r>
    </w:p>
    <w:p w14:paraId="0700F24C" w14:textId="653517A7" w:rsidR="001F48C4" w:rsidRPr="00412725" w:rsidRDefault="000A39EB" w:rsidP="000A39EB">
      <w:pPr>
        <w:pStyle w:val="NormalHanging12a"/>
        <w:ind w:left="567" w:hanging="570"/>
      </w:pPr>
      <w:r w:rsidRPr="00412725">
        <w:t>46.</w:t>
      </w:r>
      <w:r w:rsidRPr="00412725">
        <w:tab/>
      </w:r>
      <w:r w:rsidR="001F48C4" w:rsidRPr="00412725">
        <w:t>καλεί την Επιτροπή να υιοθετήσει μια μακρόπνοη και δυναμική προσέγγιση όσον αφορά τις συγκεντρώσεις, λαμβάνοντας υπόψη τη βελτίωση της αποδοτικότητας, συμπεριλαμβανομένων, για παράδειγμα, των οικονομιών κλίμακας και των κερδών για τη βιωσιμότητα, το συντομότερο δυνατόν κατά τη διαδικασία, διασφαλίζοντας παράλληλα τη διαφάνεια και την προβλεψιμότητα και επιτρέποντας στις εταιρείες να σχηματίζουν συμμαχίες όταν συμβάλλουν στην καινοτομία, την ανθεκτικότητα στην κλιματική αλλαγή και την ασφάλεια, και αντικατοπτρίζοντας μια προσέγγιση για την αξιολόγηση της ισχύος στην αγορά και της ειδικής ανά τομέα πραγματικότητας που εκτείνεται πέραν των τιμών και των μεριδίων αγοράς, ενώ περιλαμβάνει τις επιπτώσεις στους μισθούς και τις συνθήκες απασχόλησης·</w:t>
      </w:r>
    </w:p>
    <w:p w14:paraId="4A5C05F5" w14:textId="45298737" w:rsidR="001F48C4" w:rsidRPr="00412725" w:rsidRDefault="000A39EB" w:rsidP="000A39EB">
      <w:pPr>
        <w:pStyle w:val="NormalHanging12a"/>
        <w:ind w:left="567" w:hanging="570"/>
      </w:pPr>
      <w:r w:rsidRPr="00412725">
        <w:t>47.</w:t>
      </w:r>
      <w:r w:rsidRPr="00412725">
        <w:tab/>
      </w:r>
      <w:r w:rsidR="001F48C4" w:rsidRPr="00412725">
        <w:t xml:space="preserve">υπενθυμίζει ότι ο ανταγωνισμός διασφαλίζει τις επιλογές των καταναλωτών, την ποικιλομορφία της αγοράς και τις προσιτές τιμές· σημειώνει την απόφαση που έλαβαν στις 23 Απριλίου 2026 μέτοχοι της </w:t>
      </w:r>
      <w:proofErr w:type="spellStart"/>
      <w:r w:rsidR="001F48C4" w:rsidRPr="00412725">
        <w:t>Warner</w:t>
      </w:r>
      <w:proofErr w:type="spellEnd"/>
      <w:r w:rsidR="001F48C4" w:rsidRPr="00412725">
        <w:t xml:space="preserve"> </w:t>
      </w:r>
      <w:proofErr w:type="spellStart"/>
      <w:r w:rsidR="001F48C4" w:rsidRPr="00412725">
        <w:t>Bros</w:t>
      </w:r>
      <w:proofErr w:type="spellEnd"/>
      <w:r w:rsidR="001F48C4" w:rsidRPr="00412725">
        <w:t xml:space="preserve">. </w:t>
      </w:r>
      <w:proofErr w:type="spellStart"/>
      <w:r w:rsidR="001F48C4" w:rsidRPr="00412725">
        <w:t>Discovery</w:t>
      </w:r>
      <w:proofErr w:type="spellEnd"/>
      <w:r w:rsidR="001F48C4" w:rsidRPr="00412725">
        <w:t xml:space="preserve">, με την οποία εγκρίθηκε η συμφωνία συγκέντρωσης με την </w:t>
      </w:r>
      <w:proofErr w:type="spellStart"/>
      <w:r w:rsidR="001F48C4" w:rsidRPr="00412725">
        <w:t>Paramount</w:t>
      </w:r>
      <w:proofErr w:type="spellEnd"/>
      <w:r w:rsidR="001F48C4" w:rsidRPr="00412725">
        <w:t xml:space="preserve"> </w:t>
      </w:r>
      <w:proofErr w:type="spellStart"/>
      <w:r w:rsidR="001F48C4" w:rsidRPr="00412725">
        <w:t>Skydance</w:t>
      </w:r>
      <w:proofErr w:type="spellEnd"/>
      <w:r w:rsidR="001F48C4" w:rsidRPr="00412725">
        <w:t>· καλεί την Επιτροπή να εφαρμόσει αυστηρό έλεγχο των συγκεντρώσεων στον οπτικοακουστικό τομέα και στον τομέα των μέσων ενημέρωσης, παρακολουθώντας τον αντίκτυπο της ενοποίησης της αγοράς στην ενιαία αγορά και επιτρέποντας στους παράγοντες της ΕΕ να επεκταθούν·</w:t>
      </w:r>
    </w:p>
    <w:p w14:paraId="475D5242" w14:textId="11F0278A" w:rsidR="001F48C4" w:rsidRPr="00412725" w:rsidRDefault="000A39EB" w:rsidP="000A39EB">
      <w:pPr>
        <w:pStyle w:val="NormalHanging12a"/>
        <w:ind w:left="567" w:hanging="570"/>
      </w:pPr>
      <w:r w:rsidRPr="00412725">
        <w:t>48.</w:t>
      </w:r>
      <w:r w:rsidRPr="00412725">
        <w:tab/>
      </w:r>
      <w:r w:rsidR="001F48C4" w:rsidRPr="00412725">
        <w:t xml:space="preserve">σημειώνει ότι οι </w:t>
      </w:r>
      <w:proofErr w:type="spellStart"/>
      <w:r w:rsidR="001F48C4" w:rsidRPr="00412725">
        <w:t>επιγραμμικές</w:t>
      </w:r>
      <w:proofErr w:type="spellEnd"/>
      <w:r w:rsidR="001F48C4" w:rsidRPr="00412725">
        <w:t xml:space="preserve"> πλατφόρμες που εμπίπτουν στο πεδίο εφαρμογής της πράξης για τις ψηφιακές αγορές έχουν εξαγοράσει σχεδόν 700 μικρότερες εταιρείες από το 2000, ενώ μόνο 19 από αυτές τις συναλλαγές κοινοποιήθηκαν στην Επιτροπή, καθώς οι περισσότερες βρίσκονταν κάτω από τα κατώτατα όρια κοινοποίησης με βάση τον κύκλο εργασιών· καλεί την Επιτροπή να εντοπίσει «εξοντωτικές εξαγορές» (δηλαδή τις περιπτώσεις κατά τις οποίες μια εταιρεία αποκτά τον έλεγχο μιας καινοτόμου εταιρείας για να την εξαλείψει ως πιθανή πηγή μελλοντικού ανταγωνισμού), και να προσαρμόσει τις ρυθμίσεις προκειμένου να προλαμβάνονται τέτοιες εξαγορές, ιδίως στον ψηφιακό τομέα, την ΤΝ, τη φαρμακοβιομηχανία και σε άλλους στρατηγικούς τομείς· υποστηρίζει ότι θα πρέπει να προστεθεί μια νομική βάση για την ενιαία αγορά στον κανονισμό της ΕΕ περί συγκεντρώσεων σε περίπτωση που επανεξεταστεί, ώστε να συμμετέχουν πλήρως οι συννομοθέτες, κατά τρόπο παρόμοιο με αυτόν της πράξης για τις ψηφιακές αγορές· παροτρύνει τα κράτη μέλη να δώσουν στις εθνικές αρχές ανταγωνισμού εξουσίες παρέμβασης, ώστε να μπορούν να ελέγχουν τις συγκεντρώσεις και τις εξαγορές, εάν δεν το πράττουν ήδη, διασφαλίζοντας παράλληλα την ασφάλεια δικαίου και αποφεύγοντας την αδικαιολόγητη επιβάρυνση για τις ΜΜΕ και τις νεοφυείς επιχειρήσεις·</w:t>
      </w:r>
    </w:p>
    <w:p w14:paraId="6229880A" w14:textId="72F3E6F5" w:rsidR="001F48C4" w:rsidRPr="00412725" w:rsidRDefault="000A39EB" w:rsidP="000A39EB">
      <w:pPr>
        <w:pStyle w:val="NormalHanging12a"/>
        <w:ind w:left="567" w:hanging="570"/>
      </w:pPr>
      <w:r w:rsidRPr="00412725">
        <w:t>49.</w:t>
      </w:r>
      <w:r w:rsidRPr="00412725">
        <w:tab/>
      </w:r>
      <w:r w:rsidR="001F48C4" w:rsidRPr="00412725">
        <w:t xml:space="preserve">αναγνωρίζει την αυξανόμενη τάση για ξένες επενδύσεις και ιδιοκτησία πολλαπλών συλλόγων στον ευρωπαϊκό αθλητισμό, καθώς και την αύξηση της δυναμικής τιμολόγησης εισιτηρίων, και καλεί την Επιτροπή να λαμβάνει υπόψη τον αντίκτυπό της εξέλιξης αυτής κατά την υποστήριξη των προσπαθειών για τη διαφύλαξη της οικονομικής ακεραιότητας και της ανταγωνιστικής ισορροπίας του ευρωπαϊκού </w:t>
      </w:r>
      <w:r w:rsidR="001F48C4" w:rsidRPr="00412725">
        <w:lastRenderedPageBreak/>
        <w:t>αθλητισμού· καλεί την Επιτροπή και τα κράτη μέλη να εξετάσουν όλες τις κανονιστικές επιλογές, συμπεριλαμβανομένης της απαγόρευσης της δυναμικής τιμολόγησης σε ζωντανές αθλητικές και πολιτιστικές εκδηλώσεις στην πράξη για την ψηφιακή δικαιοσύνη, με στόχο την προστασία των καταναλωτών και τη διατήρηση της κοινωνικής και δημόσιας αξίας του αθλητισμού και του πολιτισμού·</w:t>
      </w:r>
    </w:p>
    <w:p w14:paraId="6E54CE35" w14:textId="77777777" w:rsidR="001F48C4" w:rsidRPr="00412725" w:rsidRDefault="001F48C4" w:rsidP="001F48C4">
      <w:pPr>
        <w:pStyle w:val="Normal12a"/>
      </w:pPr>
      <w:r w:rsidRPr="00412725">
        <w:rPr>
          <w:b/>
          <w:i/>
        </w:rPr>
        <w:t>Κρατικές ενισχύσεις</w:t>
      </w:r>
    </w:p>
    <w:p w14:paraId="4677BAA5" w14:textId="795953E1" w:rsidR="001F48C4" w:rsidRPr="00412725" w:rsidRDefault="000A39EB" w:rsidP="000A39EB">
      <w:pPr>
        <w:pStyle w:val="NormalHanging12a"/>
        <w:ind w:left="567" w:hanging="570"/>
      </w:pPr>
      <w:r w:rsidRPr="00412725">
        <w:t>50.</w:t>
      </w:r>
      <w:r w:rsidRPr="00412725">
        <w:tab/>
      </w:r>
      <w:r w:rsidR="001F48C4" w:rsidRPr="00412725">
        <w:t>υπογραμμίζει την ανάγκη για διεξοδική ανάλυση των κανόνων περί κρατικών ενισχύσεων, ιδίως για εταιρείες που δραστηριοποιούνται σε στρατηγικούς τομείς όπως η ενέργεια, η τεχνολογία και η καινοτομία· τονίζει τη σημασία της διασφάλισης της αποτελεσματικότητας των κρατικών ενισχύσεων στη γεωργία, την υλικοτεχνική υποστήριξη και τις μεταφορές· σημειώνει τις διαφορές στη δημοσιονομική ικανότητα των κρατών μελών, προειδοποιεί ότι ο κατακερματισμός των κρατικών ενισχύσεων δημιουργεί άνισους όρους ανταγωνισμού και καλεί την Επιτροπή να παρακολουθεί τις επιπτώσεις αυτές· θεωρεί ότι κάθε κρατική ενίσχυση που χορηγείται θα πρέπει να συνάδει με το δίκαιο και τις αρχές της ΕΕ, συμπεριλαμβανομένων των στόχων της περιβαλλοντικής και κοινωνικής πολιτικής της ΕΕ·</w:t>
      </w:r>
    </w:p>
    <w:p w14:paraId="7A401B4A" w14:textId="449A952A" w:rsidR="001F48C4" w:rsidRPr="00412725" w:rsidRDefault="000A39EB" w:rsidP="000A39EB">
      <w:pPr>
        <w:pStyle w:val="NormalHanging12a"/>
        <w:ind w:left="567" w:hanging="570"/>
      </w:pPr>
      <w:r w:rsidRPr="00412725">
        <w:t>51.</w:t>
      </w:r>
      <w:r w:rsidRPr="00412725">
        <w:tab/>
      </w:r>
      <w:r w:rsidR="001F48C4" w:rsidRPr="00412725">
        <w:t>χαιρετίζει το πλαίσιο κρατικών ενισχύσεων της συμφωνίας για καθαρή βιομηχανία (CISAF)· ζητεί να εφαρμοστεί το CISAF με στοχευμένο και αναλογικό τρόπο, να διασφαλίζει την ελάχιστη επιβάρυνση για τα κράτη μέλη, να εμποδίζει τους αγώνες δρόμου για τις επιδοτήσεις και να διατηρεί την ακεραιότητα της εσωτερικής αγοράς, περιλαμβάνοντας, παράλληλα, ισχυρές διασφαλίσεις για τη διαφάνεια, την αναλογικότητα και την περιβαλλοντική αποτελεσματικότητα·</w:t>
      </w:r>
    </w:p>
    <w:p w14:paraId="0863CD70" w14:textId="6B4EAEF3" w:rsidR="001F48C4" w:rsidRPr="00412725" w:rsidRDefault="000A39EB" w:rsidP="000A39EB">
      <w:pPr>
        <w:pStyle w:val="NormalHanging12a"/>
        <w:ind w:left="567" w:hanging="570"/>
      </w:pPr>
      <w:r w:rsidRPr="00412725">
        <w:t>52.</w:t>
      </w:r>
      <w:r w:rsidRPr="00412725">
        <w:tab/>
      </w:r>
      <w:r w:rsidR="001F48C4" w:rsidRPr="00412725">
        <w:t>υπενθυμίζει ότι οι προσωρινές, στοχευμένες κρατικές ενισχύσεις μπορεί να είναι κατάλληλες σε περιόδους κρίσης· επαναλαμβάνει τη σημασία του CISAF για τη στήριξη ευάλωτων τομέων, στο πλαίσιο των ταχέως αυξανόμενων τιμών των καυσίμων λόγω της τρέχουσας γεωπολιτικής κατάστασης· σημειώνει, ωστόσο, τα πορίσματα του Ευρωπαϊκού Ελεγκτικού Συνεδρίου (ειδική έκθεση αριθ. 21/2024) που εντοπίζουν ελλείψεις στην παρακολούθηση των κρατικών ενισχύσεων από την Επιτροπή σε περιόδους κρίσης και ζητεί αυστηρότερη παρακολούθηση της κοινοποίησης κρατικών ενισχύσεων από την Επιτροπή και ενισχυμένη υποβολή εκθέσεων για τις κρατικές ενισχύσεις, καθώς και διαφάνεια σύμφωνα με τις συστάσεις του Ευρωπαϊκού Ελεγκτικού Συνεδρίου·</w:t>
      </w:r>
    </w:p>
    <w:p w14:paraId="77CCF65C" w14:textId="1496768D" w:rsidR="001F48C4" w:rsidRPr="00412725" w:rsidRDefault="000A39EB" w:rsidP="000A39EB">
      <w:pPr>
        <w:pStyle w:val="NormalHanging12a"/>
        <w:ind w:left="567" w:hanging="570"/>
      </w:pPr>
      <w:r w:rsidRPr="00412725">
        <w:t>53.</w:t>
      </w:r>
      <w:r w:rsidRPr="00412725">
        <w:tab/>
      </w:r>
      <w:r w:rsidR="001F48C4" w:rsidRPr="00412725">
        <w:t>σημειώνει ότι περισσότερα από τα τρία τέταρτα των κρατικών ενισχύσεων συγκεντρώνονται μόνο σε δύο κράτη μέλη, υπογραμμίζοντας τους κινδύνους κατακερματισμού και τους άνισους όρους ανταγωνισμού στην εσωτερική αγορά·</w:t>
      </w:r>
    </w:p>
    <w:p w14:paraId="0D141BDD" w14:textId="7E90D05D" w:rsidR="001F48C4" w:rsidRPr="00412725" w:rsidRDefault="000A39EB" w:rsidP="000A39EB">
      <w:pPr>
        <w:pStyle w:val="NormalHanging12a"/>
        <w:ind w:left="567" w:hanging="570"/>
      </w:pPr>
      <w:r w:rsidRPr="00412725">
        <w:t>54.</w:t>
      </w:r>
      <w:r w:rsidRPr="00412725">
        <w:tab/>
      </w:r>
      <w:r w:rsidR="001F48C4" w:rsidRPr="00412725">
        <w:t>επισημαίνει τον ρόλο των κρατικών ενισχύσεων ως εργαλείου για τη μείωση των οικονομικών ανισοτήτων μεταξύ των πιο ανεπτυγμένων περιοχών και νησιών της ΕΕ, των εσωτερικών περιοχών, των εξόχως απόκεντρων περιοχών, των οικονομικά μειονεκτουσών περιοχών και όλων των τμημάτων της ΕΕ που πλήττονται από φυσικούς περιορισμούς· ζητεί μεγαλύτερη ευελιξία και λιγότερους περιορισμούς στις κρατικές ενισχύσεις για τις νησιωτικές και τις πιο ευάλωτες περιοχές της ΕΕ·</w:t>
      </w:r>
    </w:p>
    <w:p w14:paraId="577DAB40" w14:textId="44FB7A54" w:rsidR="001F48C4" w:rsidRPr="00412725" w:rsidRDefault="000A39EB" w:rsidP="000A39EB">
      <w:pPr>
        <w:pStyle w:val="NormalHanging12a"/>
        <w:ind w:left="567" w:hanging="570"/>
      </w:pPr>
      <w:r w:rsidRPr="00412725">
        <w:lastRenderedPageBreak/>
        <w:t>55.</w:t>
      </w:r>
      <w:r w:rsidRPr="00412725">
        <w:tab/>
      </w:r>
      <w:r w:rsidR="001F48C4" w:rsidRPr="00412725">
        <w:t>αναμένει ότι η επανεξέταση του γενικού κανονισμού απαλλαγής κατά κατηγορία</w:t>
      </w:r>
      <w:r w:rsidR="006E6C6E">
        <w:rPr>
          <w:rStyle w:val="FootnoteReference"/>
        </w:rPr>
        <w:footnoteReference w:id="26"/>
      </w:r>
      <w:r w:rsidR="001F48C4" w:rsidRPr="00412725">
        <w:t xml:space="preserve"> θα αντιμετωπίσει τα τρέχοντα ζητήματα που αφορούν τον ορισμό της επιχείρησης που βρίσκεται «σε κατάσταση κρίσης» και θα εκσυγχρονίσει και θα απλουστεύσει τους κανόνες για τις κρατικές ενισχύσεις, προκειμένου να μειωθεί η γραφειοκρατία και να ενισχυθεί η ανταγωνιστικότητα της ΕΕ· εκφράζει την ικανοποίησή του για την έναρξη της δημόσιας διαβούλευσης για τη συλλογή στοιχείων σχετικά με το πεδίο εφαρμογής και το περιεχόμενο της αναθεώρησης·</w:t>
      </w:r>
    </w:p>
    <w:p w14:paraId="0B1F9869" w14:textId="5F4714F2" w:rsidR="001F48C4" w:rsidRPr="00412725" w:rsidRDefault="000A39EB" w:rsidP="000A39EB">
      <w:pPr>
        <w:pStyle w:val="NormalHanging12a"/>
        <w:ind w:left="567" w:hanging="570"/>
      </w:pPr>
      <w:r w:rsidRPr="00412725">
        <w:t>56.</w:t>
      </w:r>
      <w:r w:rsidRPr="00412725">
        <w:tab/>
      </w:r>
      <w:r w:rsidR="001F48C4" w:rsidRPr="00412725">
        <w:t>εκφράζει την ικανοποίησή του για την έγκριση αναθεωρημένης απόφασης ΥΓΟΣ που θα επιτρέψει στα κράτη μέλη να υποστηρίξουν την υλοποίηση έργων στέγασης που να είναι αξιοπρεπή, βιώσιμα, ενεργειακά αποδοτικά, χωρίς κοινωνικούς αποκλεισμούς και οικονομικά προσιτά, μεταξύ άλλων και για νοικοκυριά μεσαίου εισοδήματος· καλεί την Επιτροπή να παρακολουθήσει την εφαρμογή της αναθεωρημένης απόφασης ΥΓΟΣ και να αξιολογήσει εάν τα κατώτατα όρια και οι προϋποθέσεις είναι επαρκώς ευέλικτα για να καλύψουν τις ανάγκες των κρατών μελών· ζητεί απλοποιημένες διαδικασίες κοινοποίησης για μέτρα κρατικών ενισχύσεων που σχετίζονται με τις ΥΓΟΣ και δεν παρουσιάζουν σημαντικούς κινδύνους για τον ανταγωνισμό·</w:t>
      </w:r>
    </w:p>
    <w:p w14:paraId="5626A5AC" w14:textId="4B1427C9" w:rsidR="001F48C4" w:rsidRPr="00412725" w:rsidRDefault="000A39EB" w:rsidP="000A39EB">
      <w:pPr>
        <w:pStyle w:val="NormalHanging12a"/>
        <w:ind w:left="567" w:hanging="570"/>
      </w:pPr>
      <w:r w:rsidRPr="00412725">
        <w:t>57.</w:t>
      </w:r>
      <w:r w:rsidRPr="00412725">
        <w:tab/>
      </w:r>
      <w:r w:rsidR="001F48C4" w:rsidRPr="00412725">
        <w:t>καλεί την Επιτροπή να αξιολογήσει τον αντίκτυπο των συγκεντρώσεων της αγοράς στον τομέα των ακινήτων και στις συναφείς αγορές, όπως οι κατασκευές και η διαχείριση ακινήτων, προκειμένου να διασφαλιστεί ότι ο αποτελεσματικός ανταγωνισμός συμβάλλει στη συγκράτηση των τιμών και στη βελτίωση της πρόσβασης στη στέγαση·</w:t>
      </w:r>
    </w:p>
    <w:p w14:paraId="23AE93CC" w14:textId="603ACE96" w:rsidR="001F48C4" w:rsidRPr="00412725" w:rsidRDefault="000A39EB" w:rsidP="000A39EB">
      <w:pPr>
        <w:pStyle w:val="NormalHanging12a"/>
        <w:ind w:left="567" w:hanging="570"/>
      </w:pPr>
      <w:r w:rsidRPr="00412725">
        <w:t>58.</w:t>
      </w:r>
      <w:r w:rsidRPr="00412725">
        <w:tab/>
      </w:r>
      <w:r w:rsidR="001F48C4" w:rsidRPr="00412725">
        <w:t>σημειώνει τις στρεβλωτικές επιπτώσεις του επιθετικού φορολογικού σχεδιασμού και των φορολογικών συστημάτων, συμπεριλαμβανομένων των προτιμησιακών φορολογικών συμφωνιών, στον θεμιτό ανταγωνισμό, καθώς ενδέχεται να καταπνίξουν την καινοτομία και να θέσουν σε κίνδυνο τη δυνατότητα διεκδίκησης των αγορών, ιδίως για τις ΜΜΕ· εκφράζει επιδοκιμασία για τη σύσταση της Επιτροπής της 14ης</w:t>
      </w:r>
      <w:r w:rsidR="00BC5E8C">
        <w:t> </w:t>
      </w:r>
      <w:r w:rsidR="001F48C4" w:rsidRPr="00412725">
        <w:t>Ιουλίου 2020</w:t>
      </w:r>
      <w:r w:rsidR="006E6C6E">
        <w:rPr>
          <w:rStyle w:val="FootnoteReference"/>
        </w:rPr>
        <w:footnoteReference w:id="27"/>
      </w:r>
      <w:r w:rsidR="001F48C4" w:rsidRPr="00412725">
        <w:t xml:space="preserve"> να μην χορηγείται οικονομική στήριξη σε εταιρείες που συνδέονται με φορολογικούς παραδείσους και, παράλληλα, να προστατεύονται οι έντιμοι φορολογούμενοι· ζητεί να αποκλειστούν από τη χορήγηση κρατικών ενισχύσεων οι εταιρείες που είναι εγκατεστημένες σε χώρες που περιλαμβάνονται στον ενωσιακό κατάλογο μη συνεργάσιμων περιοχών φορολογικής δικαιοδοσίας, όπως εγκρίθηκε από το Συμβούλιο, και καλεί την Επιτροπή να αξιολογήσει κατά πόσον το ισχύον πλαίσιο συμβάλλει σε ευρύτερες προσπάθειες για την καταπολέμηση του επιθετικού φορολογικού σχεδιασμού και των πρακτικών φορολογικών παραδείσων·</w:t>
      </w:r>
    </w:p>
    <w:p w14:paraId="7B68CA8E" w14:textId="77777777" w:rsidR="001F48C4" w:rsidRPr="00412725" w:rsidRDefault="001F48C4" w:rsidP="001F48C4">
      <w:pPr>
        <w:pStyle w:val="Normal12a"/>
      </w:pPr>
      <w:r w:rsidRPr="00412725">
        <w:rPr>
          <w:b/>
          <w:i/>
        </w:rPr>
        <w:t xml:space="preserve">Συμμετοχή του Κοινοβουλίου </w:t>
      </w:r>
    </w:p>
    <w:p w14:paraId="7E2F946E" w14:textId="376CB3CF" w:rsidR="001F48C4" w:rsidRPr="00412725" w:rsidRDefault="000A39EB" w:rsidP="000A39EB">
      <w:pPr>
        <w:pStyle w:val="NormalHanging12a"/>
        <w:ind w:left="567" w:hanging="570"/>
      </w:pPr>
      <w:r w:rsidRPr="00412725">
        <w:t>59.</w:t>
      </w:r>
      <w:r w:rsidRPr="00412725">
        <w:tab/>
      </w:r>
      <w:r w:rsidR="001F48C4" w:rsidRPr="00412725">
        <w:t xml:space="preserve">εκφράζει τη δυσαρέσκειά του για την έλλειψη πληροφοριών σχετικά με την αναθεώρηση και την εφαρμογή των κανόνων ανταγωνισμού και τονίζει ότι το </w:t>
      </w:r>
      <w:r w:rsidR="001F48C4" w:rsidRPr="00412725">
        <w:lastRenderedPageBreak/>
        <w:t>Κοινοβούλιο θα πρέπει να συμμετέχει επαρκώς στη διαμόρφωση της πολιτικής ανταγωνισμού· τονίζει την ανάγκη διαφάνειας έναντι του Κοινοβουλίου σχετικά με όλες τις συζητήσεις με τρίτες χώρες που ενδέχεται να επηρεάσουν την επιβολή της πράξης για τις ψηφιακές αγορές·</w:t>
      </w:r>
    </w:p>
    <w:p w14:paraId="025E4111" w14:textId="5861B514" w:rsidR="001F48C4" w:rsidRPr="00412725" w:rsidRDefault="000A39EB" w:rsidP="000A39EB">
      <w:pPr>
        <w:pStyle w:val="NormalHanging12a"/>
        <w:ind w:left="567" w:hanging="570"/>
      </w:pPr>
      <w:r w:rsidRPr="00412725">
        <w:t>60.</w:t>
      </w:r>
      <w:r w:rsidRPr="00412725">
        <w:tab/>
      </w:r>
      <w:r w:rsidR="001F48C4" w:rsidRPr="00412725">
        <w:t>ζητεί, εν προκειμένω, διαρθρωμένο και τακτικό διάλογο μεταξύ της Επιτροπής και του Κοινοβουλίου σχετικά με την πολιτική ανταγωνισμού, μεταξύ άλλων σχετικά με την επανεξέταση και την εφαρμογή των κανόνων ανταγωνισμού· καλεί την Επιτροπή να παράσχει εγκαίρως στην αρμόδια επιτροπή του Κοινοβουλίου ολοκληρωμένες πληροφορίες σχετικά με σημαντικές αποφάσεις περί επιβολής, νομοθετικές προτάσεις και σημαντικά μέσα μη δεσμευτικού δικαίου· ζητεί τη σύναψη διοργανικής συμφωνίας για την επισημοποίηση του ρόλου του Κοινοβουλίου στην εποπτεία της πολιτικής ανταγωνισμού, συμπεριλαμβανομένης της διαβούλευσης για τον καθορισμό προτεραιοτήτων σχετικά με τις κατευθυντήριες γραμμές και τα πλαίσια·</w:t>
      </w:r>
    </w:p>
    <w:p w14:paraId="74F2DB73" w14:textId="0123E054" w:rsidR="001F48C4" w:rsidRPr="00412725" w:rsidRDefault="000A39EB" w:rsidP="000A39EB">
      <w:pPr>
        <w:pStyle w:val="NormalHanging12a"/>
        <w:ind w:left="567" w:hanging="570"/>
      </w:pPr>
      <w:r w:rsidRPr="00412725">
        <w:t>61.</w:t>
      </w:r>
      <w:r w:rsidRPr="00412725">
        <w:tab/>
      </w:r>
      <w:r w:rsidR="001F48C4" w:rsidRPr="00412725">
        <w:t>προειδοποιεί για την υπερβολική εξάρτηση από μη δεσμευτικά μέσα, όπως οι κατευθυντήριες γραμμές και τα προσωρινά πλαίσια, στα οποία η συμμετοχή του Κοινοβουλίου είναι περιορισμένη· καλεί το Ευρωπαϊκό Συμβούλιο να εκδώσει απόφαση βάσει του άρθρου 48 παράγραφος 7 δεύτερο εδάφιο της Συνθήκης για την Ευρωπαϊκή Ένωση, που επιτρέπει την έκδοση νομοθετικών πράξεων στον τομέα της πολιτικής ανταγωνισμού σύμφωνα με τη συνήθη νομοθετική διαδικασία·</w:t>
      </w:r>
    </w:p>
    <w:p w14:paraId="23D9C66A" w14:textId="48B92095" w:rsidR="001F48C4" w:rsidRPr="00412725" w:rsidRDefault="000A39EB" w:rsidP="000A39EB">
      <w:pPr>
        <w:pStyle w:val="NormalHanging12a"/>
        <w:ind w:left="567" w:hanging="570"/>
      </w:pPr>
      <w:r w:rsidRPr="00412725">
        <w:t>62.</w:t>
      </w:r>
      <w:r w:rsidRPr="00412725">
        <w:tab/>
      </w:r>
      <w:r w:rsidR="001F48C4" w:rsidRPr="00412725">
        <w:t>προωθεί την ανταλλαγή βέλτιστων πρακτικών σε διεθνή φόρουμ, όπως το Διεθνές Δίκτυο Ανταγωνισμού και η Επιτροπή Ανταγωνισμού του Οργανισμού Οικονομικής Συνεργασίας και Ανάπτυξης (ΟΟΣΑ)· καλεί την Επιτροπή να επιδιώξει τη συνέχιση του διαλόγου και της συνεργασίας σε διεθνές επίπεδο, μεταξύ άλλων μέσω συμφωνιών συνεργασίας δεύτερης γενιάς που επιτρέπουν την αποτελεσματικότερη ανταλλαγή πληροφοριών μεταξύ των αρχών ανταγωνισμού, εκφράζοντας παράλληλα τη λύπη του για το γεγονός ότι τούτο δεν έχει επιδιώχθηκε επαρκώς στο παρελθόν· καλεί την Επιτροπή να αναπτύξει μια στρατηγική ώστε η ΕΕ να αναλάβει ηγετικό ρόλο σε διεθνές επίπεδο για την προώθηση του αποτελεσματικού ανταγωνισμού·</w:t>
      </w:r>
    </w:p>
    <w:p w14:paraId="749D8FD2" w14:textId="77777777" w:rsidR="001F48C4" w:rsidRPr="00412725" w:rsidRDefault="001F48C4" w:rsidP="001F48C4">
      <w:pPr>
        <w:pStyle w:val="NormalCenter12a"/>
      </w:pPr>
      <w:r w:rsidRPr="00412725">
        <w:t>°</w:t>
      </w:r>
    </w:p>
    <w:p w14:paraId="5BA357C9" w14:textId="77777777" w:rsidR="001F48C4" w:rsidRPr="00412725" w:rsidRDefault="001F48C4" w:rsidP="001F48C4">
      <w:pPr>
        <w:pStyle w:val="NormalCenter12a"/>
      </w:pPr>
      <w:r w:rsidRPr="00412725">
        <w:t>°</w:t>
      </w:r>
      <w:r w:rsidRPr="00412725">
        <w:tab/>
        <w:t>°</w:t>
      </w:r>
    </w:p>
    <w:p w14:paraId="246B9476" w14:textId="55EEE44C" w:rsidR="00412725" w:rsidRPr="00412725" w:rsidRDefault="000A39EB" w:rsidP="000A39EB">
      <w:pPr>
        <w:pStyle w:val="NormalHanging12a"/>
        <w:ind w:left="567" w:hanging="570"/>
      </w:pPr>
      <w:r w:rsidRPr="00412725">
        <w:t>63.</w:t>
      </w:r>
      <w:r w:rsidRPr="00412725">
        <w:tab/>
      </w:r>
      <w:r w:rsidR="001F48C4" w:rsidRPr="00412725">
        <w:t>αναθέτει στην Πρόεδρό του να διαβιβάσει το παρόν ψήφισμα στο Συμβούλιο και στην Επιτροπή.</w:t>
      </w:r>
    </w:p>
    <w:p w14:paraId="63CAB0CB" w14:textId="63B92407" w:rsidR="00E365E1" w:rsidRPr="00412725" w:rsidRDefault="00E365E1" w:rsidP="003812E7"/>
    <w:sectPr w:rsidR="00E365E1" w:rsidRPr="00412725" w:rsidSect="0041272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3B8C8" w14:textId="77777777" w:rsidR="003812E7" w:rsidRPr="00412725" w:rsidRDefault="003812E7">
      <w:r w:rsidRPr="00412725">
        <w:separator/>
      </w:r>
    </w:p>
  </w:endnote>
  <w:endnote w:type="continuationSeparator" w:id="0">
    <w:p w14:paraId="1EA03B5E" w14:textId="77777777" w:rsidR="003812E7" w:rsidRPr="00412725" w:rsidRDefault="003812E7">
      <w:r w:rsidRPr="004127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E8995" w14:textId="77777777" w:rsidR="00064002" w:rsidRPr="004127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18C4" w14:textId="77777777" w:rsidR="00064002" w:rsidRPr="004127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FA034" w14:textId="77777777" w:rsidR="00064002" w:rsidRPr="004127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51129" w14:textId="77777777" w:rsidR="003812E7" w:rsidRPr="00412725" w:rsidRDefault="003812E7">
      <w:r w:rsidRPr="00412725">
        <w:separator/>
      </w:r>
    </w:p>
  </w:footnote>
  <w:footnote w:type="continuationSeparator" w:id="0">
    <w:p w14:paraId="4679728D" w14:textId="77777777" w:rsidR="003812E7" w:rsidRPr="00412725" w:rsidRDefault="003812E7">
      <w:r w:rsidRPr="00412725">
        <w:continuationSeparator/>
      </w:r>
    </w:p>
  </w:footnote>
  <w:footnote w:id="1">
    <w:p w14:paraId="6DDA38EA" w14:textId="18A3741D"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t xml:space="preserve">ΕΕ L 265 της 12.10.2022, σ. 1, ELI: </w:t>
      </w:r>
      <w:hyperlink r:id="rId1" w:tgtFrame="http://data.europa.eu/eli/reg/2022/1925/oj" w:history="1">
        <w:r w:rsidRPr="006E6C6E">
          <w:rPr>
            <w:rStyle w:val="Hyperlink"/>
            <w:sz w:val="24"/>
            <w:szCs w:val="24"/>
            <w:lang w:val="el-GR"/>
          </w:rPr>
          <w:t>http://data.europa.eu/eli/reg/2022/1925/oj</w:t>
        </w:r>
      </w:hyperlink>
      <w:r w:rsidRPr="006E6C6E">
        <w:rPr>
          <w:sz w:val="24"/>
          <w:szCs w:val="24"/>
          <w:lang w:val="el-GR"/>
        </w:rPr>
        <w:t>.</w:t>
      </w:r>
    </w:p>
  </w:footnote>
  <w:footnote w:id="2">
    <w:p w14:paraId="55ADEEA5" w14:textId="2F324949"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t xml:space="preserve">ΕΕ L 277 της 27.10.2022, σ. </w:t>
      </w:r>
      <w:r w:rsidRPr="006E6C6E">
        <w:rPr>
          <w:sz w:val="24"/>
          <w:szCs w:val="24"/>
          <w:lang w:val="el-GR"/>
        </w:rPr>
        <w:t xml:space="preserve">1, ELI: </w:t>
      </w:r>
      <w:hyperlink r:id="rId2" w:tgtFrame="http://data.europa.eu/eli/reg/2022/2065/oj" w:history="1">
        <w:r w:rsidRPr="006E6C6E">
          <w:rPr>
            <w:rStyle w:val="Hyperlink"/>
            <w:sz w:val="24"/>
            <w:szCs w:val="24"/>
            <w:lang w:val="el-GR"/>
          </w:rPr>
          <w:t>http://data.europa.eu/eli/reg/2022/2065/oj</w:t>
        </w:r>
      </w:hyperlink>
      <w:r w:rsidRPr="006E6C6E">
        <w:rPr>
          <w:sz w:val="24"/>
          <w:szCs w:val="24"/>
          <w:lang w:val="el-GR"/>
        </w:rPr>
        <w:t>.</w:t>
      </w:r>
    </w:p>
  </w:footnote>
  <w:footnote w:id="3">
    <w:p w14:paraId="04518A5F" w14:textId="579D252B"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t xml:space="preserve">ΕΕ L 24 της 29.1.2004, σ. </w:t>
      </w:r>
      <w:r w:rsidRPr="006E6C6E">
        <w:rPr>
          <w:sz w:val="24"/>
          <w:szCs w:val="24"/>
          <w:lang w:val="el-GR"/>
        </w:rPr>
        <w:t xml:space="preserve">1, ELI: </w:t>
      </w:r>
      <w:hyperlink r:id="rId3" w:tgtFrame="https://eur-lex.europa.eu/legal-content/EL/TXT/?uri=uriserv%3AOJ.L_.2004.024.01.0001.01.ENG" w:history="1">
        <w:r w:rsidRPr="006E6C6E">
          <w:rPr>
            <w:rStyle w:val="Hyperlink"/>
            <w:sz w:val="24"/>
            <w:szCs w:val="24"/>
            <w:lang w:val="el-GR"/>
          </w:rPr>
          <w:t>http://data.europa.eu/eli/reg/2004/139/oj.</w:t>
        </w:r>
      </w:hyperlink>
    </w:p>
  </w:footnote>
  <w:footnote w:id="4">
    <w:p w14:paraId="20233B9D" w14:textId="3B601011"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t>ΕΕ C 31 της 5.2.2004, σ. 5.</w:t>
      </w:r>
    </w:p>
  </w:footnote>
  <w:footnote w:id="5">
    <w:p w14:paraId="1BB7E778" w14:textId="4CB7FFDB"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t>ΕΕ C 265 της 18.10.2008, σ. 6.</w:t>
      </w:r>
    </w:p>
  </w:footnote>
  <w:footnote w:id="6">
    <w:p w14:paraId="1D0E43C3" w14:textId="5998B7F5" w:rsidR="006E6C6E" w:rsidRPr="000A39EB" w:rsidRDefault="006E6C6E" w:rsidP="00412725">
      <w:pPr>
        <w:pStyle w:val="FootnoteText"/>
        <w:ind w:left="567" w:hanging="567"/>
        <w:rPr>
          <w:sz w:val="24"/>
          <w:szCs w:val="24"/>
          <w:lang w:val="fi-FI"/>
        </w:rPr>
      </w:pPr>
      <w:r w:rsidRPr="000A39EB">
        <w:rPr>
          <w:rStyle w:val="FootnoteReference"/>
          <w:sz w:val="24"/>
          <w:szCs w:val="24"/>
        </w:rPr>
        <w:footnoteRef/>
      </w:r>
      <w:r w:rsidRPr="000A39EB">
        <w:rPr>
          <w:sz w:val="24"/>
          <w:szCs w:val="24"/>
          <w:lang w:val="fi-FI"/>
        </w:rPr>
        <w:t xml:space="preserve"> </w:t>
      </w:r>
      <w:r w:rsidRPr="000A39EB">
        <w:rPr>
          <w:sz w:val="24"/>
          <w:szCs w:val="24"/>
          <w:lang w:val="fi-FI"/>
        </w:rPr>
        <w:tab/>
      </w:r>
      <w:r w:rsidRPr="006E6C6E">
        <w:rPr>
          <w:sz w:val="24"/>
          <w:szCs w:val="24"/>
          <w:lang w:val="el-GR"/>
        </w:rPr>
        <w:t>ΕΕ</w:t>
      </w:r>
      <w:r w:rsidRPr="000A39EB">
        <w:rPr>
          <w:sz w:val="24"/>
          <w:szCs w:val="24"/>
          <w:lang w:val="fi-FI"/>
        </w:rPr>
        <w:t xml:space="preserve"> C, C/2026/1472, 9.4.2026, ELI: </w:t>
      </w:r>
      <w:hyperlink r:id="rId4" w:tgtFrame="http://data.europa.eu/eli/C/2026/1472/oj" w:history="1">
        <w:r w:rsidRPr="000A39EB">
          <w:rPr>
            <w:rStyle w:val="Hyperlink"/>
            <w:sz w:val="24"/>
            <w:szCs w:val="24"/>
            <w:lang w:val="fi-FI"/>
          </w:rPr>
          <w:t>http://data.europa.eu/eli/C/2026/1472/oj</w:t>
        </w:r>
      </w:hyperlink>
      <w:r w:rsidRPr="000A39EB">
        <w:rPr>
          <w:sz w:val="24"/>
          <w:szCs w:val="24"/>
          <w:lang w:val="fi-FI"/>
        </w:rPr>
        <w:t>.</w:t>
      </w:r>
    </w:p>
  </w:footnote>
  <w:footnote w:id="7">
    <w:p w14:paraId="0CB7AEC9" w14:textId="3B9FFA70"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r>
      <w:r w:rsidRPr="006E6C6E">
        <w:rPr>
          <w:sz w:val="24"/>
          <w:szCs w:val="24"/>
          <w:lang w:val="el-GR"/>
        </w:rPr>
        <w:t xml:space="preserve">Ευρωπαϊκή Επιτροπή, Γενική Διεύθυνση Ανταγωνισμού, </w:t>
      </w:r>
      <w:hyperlink r:id="rId5" w:tgtFrame="https://competition-policy.ec.europa.eu/document/download/53e9348d-4f11-46ef-9098-526e24313ee8_en?filename=kd0125000enn_ex-post_evaluation_antitrust_remedies_study_e-version.pdf" w:history="1">
        <w:proofErr w:type="spellStart"/>
        <w:r w:rsidRPr="006E6C6E">
          <w:rPr>
            <w:rStyle w:val="Hyperlink"/>
            <w:i/>
            <w:sz w:val="24"/>
            <w:szCs w:val="24"/>
            <w:lang w:val="el-GR"/>
          </w:rPr>
          <w:t>Ex</w:t>
        </w:r>
        <w:proofErr w:type="spellEnd"/>
        <w:r w:rsidRPr="006E6C6E">
          <w:rPr>
            <w:rStyle w:val="Hyperlink"/>
            <w:i/>
            <w:sz w:val="24"/>
            <w:szCs w:val="24"/>
            <w:lang w:val="el-GR"/>
          </w:rPr>
          <w:t xml:space="preserve"> post </w:t>
        </w:r>
        <w:proofErr w:type="spellStart"/>
        <w:r w:rsidRPr="006E6C6E">
          <w:rPr>
            <w:rStyle w:val="Hyperlink"/>
            <w:i/>
            <w:sz w:val="24"/>
            <w:szCs w:val="24"/>
            <w:lang w:val="el-GR"/>
          </w:rPr>
          <w:t>evaluation</w:t>
        </w:r>
        <w:proofErr w:type="spellEnd"/>
        <w:r w:rsidRPr="006E6C6E">
          <w:rPr>
            <w:rStyle w:val="Hyperlink"/>
            <w:i/>
            <w:sz w:val="24"/>
            <w:szCs w:val="24"/>
            <w:lang w:val="el-GR"/>
          </w:rPr>
          <w:t xml:space="preserve"> of the </w:t>
        </w:r>
        <w:proofErr w:type="spellStart"/>
        <w:r w:rsidRPr="006E6C6E">
          <w:rPr>
            <w:rStyle w:val="Hyperlink"/>
            <w:i/>
            <w:sz w:val="24"/>
            <w:szCs w:val="24"/>
            <w:lang w:val="el-GR"/>
          </w:rPr>
          <w:t>implementation</w:t>
        </w:r>
        <w:proofErr w:type="spellEnd"/>
        <w:r w:rsidRPr="006E6C6E">
          <w:rPr>
            <w:rStyle w:val="Hyperlink"/>
            <w:i/>
            <w:sz w:val="24"/>
            <w:szCs w:val="24"/>
            <w:lang w:val="el-GR"/>
          </w:rPr>
          <w:t xml:space="preserve"> and </w:t>
        </w:r>
        <w:proofErr w:type="spellStart"/>
        <w:r w:rsidRPr="006E6C6E">
          <w:rPr>
            <w:rStyle w:val="Hyperlink"/>
            <w:i/>
            <w:sz w:val="24"/>
            <w:szCs w:val="24"/>
            <w:lang w:val="el-GR"/>
          </w:rPr>
          <w:t>effectiveness</w:t>
        </w:r>
        <w:proofErr w:type="spellEnd"/>
        <w:r w:rsidRPr="006E6C6E">
          <w:rPr>
            <w:rStyle w:val="Hyperlink"/>
            <w:i/>
            <w:sz w:val="24"/>
            <w:szCs w:val="24"/>
            <w:lang w:val="el-GR"/>
          </w:rPr>
          <w:t xml:space="preserve"> of EU </w:t>
        </w:r>
        <w:proofErr w:type="spellStart"/>
        <w:r w:rsidRPr="006E6C6E">
          <w:rPr>
            <w:rStyle w:val="Hyperlink"/>
            <w:i/>
            <w:sz w:val="24"/>
            <w:szCs w:val="24"/>
            <w:lang w:val="el-GR"/>
          </w:rPr>
          <w:t>antitrust</w:t>
        </w:r>
        <w:proofErr w:type="spellEnd"/>
        <w:r w:rsidRPr="006E6C6E">
          <w:rPr>
            <w:rStyle w:val="Hyperlink"/>
            <w:i/>
            <w:sz w:val="24"/>
            <w:szCs w:val="24"/>
            <w:lang w:val="el-GR"/>
          </w:rPr>
          <w:t xml:space="preserve"> </w:t>
        </w:r>
        <w:proofErr w:type="spellStart"/>
        <w:r w:rsidRPr="006E6C6E">
          <w:rPr>
            <w:rStyle w:val="Hyperlink"/>
            <w:i/>
            <w:sz w:val="24"/>
            <w:szCs w:val="24"/>
            <w:lang w:val="el-GR"/>
          </w:rPr>
          <w:t>remedies</w:t>
        </w:r>
        <w:proofErr w:type="spellEnd"/>
      </w:hyperlink>
      <w:r w:rsidRPr="006E6C6E">
        <w:rPr>
          <w:sz w:val="24"/>
          <w:szCs w:val="24"/>
          <w:lang w:val="el-GR"/>
        </w:rPr>
        <w:t xml:space="preserve"> (Εκ των υστέρων αξιολόγηση της εφαρμογής και της αποτελεσματικότητας των μέτρων αντιμονοπωλιακού χαρακτήρα της ΕΕ), 2025.</w:t>
      </w:r>
    </w:p>
  </w:footnote>
  <w:footnote w:id="8">
    <w:p w14:paraId="2596CA7B" w14:textId="1E1171FD"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t xml:space="preserve">ΕΕ L 330 της 23.12.2022, σ. </w:t>
      </w:r>
      <w:r w:rsidRPr="006E6C6E">
        <w:rPr>
          <w:sz w:val="24"/>
          <w:szCs w:val="24"/>
          <w:lang w:val="el-GR"/>
        </w:rPr>
        <w:t xml:space="preserve">1, ELI: </w:t>
      </w:r>
      <w:hyperlink r:id="rId6" w:tgtFrame="http://data.europa.eu/eli/reg/2022/2560/oj" w:history="1">
        <w:r w:rsidRPr="006E6C6E">
          <w:rPr>
            <w:rStyle w:val="Hyperlink"/>
            <w:sz w:val="24"/>
            <w:szCs w:val="24"/>
            <w:lang w:val="el-GR"/>
          </w:rPr>
          <w:t>http://data.europa.eu/eli/reg/2022/2560/oj</w:t>
        </w:r>
      </w:hyperlink>
      <w:r w:rsidRPr="006E6C6E">
        <w:rPr>
          <w:sz w:val="24"/>
          <w:szCs w:val="24"/>
          <w:lang w:val="el-GR"/>
        </w:rPr>
        <w:t>.</w:t>
      </w:r>
    </w:p>
  </w:footnote>
  <w:footnote w:id="9">
    <w:p w14:paraId="492A832F" w14:textId="460461E1" w:rsidR="006E6C6E" w:rsidRPr="000A39EB" w:rsidRDefault="006E6C6E" w:rsidP="00412725">
      <w:pPr>
        <w:pStyle w:val="FootnoteText"/>
        <w:ind w:left="567" w:hanging="567"/>
        <w:rPr>
          <w:sz w:val="24"/>
          <w:szCs w:val="24"/>
          <w:lang w:val="fi-FI"/>
        </w:rPr>
      </w:pPr>
      <w:r w:rsidRPr="000A39EB">
        <w:rPr>
          <w:rStyle w:val="FootnoteReference"/>
          <w:sz w:val="24"/>
          <w:szCs w:val="24"/>
        </w:rPr>
        <w:footnoteRef/>
      </w:r>
      <w:r w:rsidRPr="000A39EB">
        <w:rPr>
          <w:sz w:val="24"/>
          <w:szCs w:val="24"/>
          <w:lang w:val="fi-FI"/>
        </w:rPr>
        <w:t xml:space="preserve"> </w:t>
      </w:r>
      <w:r w:rsidRPr="000A39EB">
        <w:rPr>
          <w:sz w:val="24"/>
          <w:szCs w:val="24"/>
          <w:lang w:val="fi-FI"/>
        </w:rPr>
        <w:tab/>
      </w:r>
      <w:r w:rsidRPr="006E6C6E">
        <w:rPr>
          <w:sz w:val="24"/>
          <w:szCs w:val="24"/>
          <w:lang w:val="el-GR"/>
        </w:rPr>
        <w:t>ΕΕ</w:t>
      </w:r>
      <w:r w:rsidRPr="000A39EB">
        <w:rPr>
          <w:sz w:val="24"/>
          <w:szCs w:val="24"/>
          <w:lang w:val="fi-FI"/>
        </w:rPr>
        <w:t xml:space="preserve"> C, C/2026/224, 13.1.2026, ELI: </w:t>
      </w:r>
      <w:hyperlink r:id="rId7" w:tgtFrame="http://data.europa.eu/eli/C/2026/224/oj" w:history="1">
        <w:r w:rsidRPr="000A39EB">
          <w:rPr>
            <w:rStyle w:val="Hyperlink"/>
            <w:sz w:val="24"/>
            <w:szCs w:val="24"/>
            <w:lang w:val="fi-FI"/>
          </w:rPr>
          <w:t>http://data.europa.eu/eli/C/2026/224/oj</w:t>
        </w:r>
      </w:hyperlink>
      <w:r w:rsidRPr="000A39EB">
        <w:rPr>
          <w:sz w:val="24"/>
          <w:szCs w:val="24"/>
          <w:lang w:val="fi-FI"/>
        </w:rPr>
        <w:t>.</w:t>
      </w:r>
    </w:p>
  </w:footnote>
  <w:footnote w:id="10">
    <w:p w14:paraId="2DA24C3C" w14:textId="2568B25E" w:rsidR="006E6C6E" w:rsidRPr="000A39EB" w:rsidRDefault="006E6C6E" w:rsidP="00412725">
      <w:pPr>
        <w:pStyle w:val="FootnoteText"/>
        <w:ind w:left="567" w:hanging="567"/>
        <w:rPr>
          <w:sz w:val="24"/>
          <w:szCs w:val="24"/>
          <w:lang w:val="fi-FI"/>
        </w:rPr>
      </w:pPr>
      <w:r w:rsidRPr="000A39EB">
        <w:rPr>
          <w:rStyle w:val="FootnoteReference"/>
          <w:sz w:val="24"/>
          <w:szCs w:val="24"/>
        </w:rPr>
        <w:footnoteRef/>
      </w:r>
      <w:r w:rsidRPr="000A39EB">
        <w:rPr>
          <w:sz w:val="24"/>
          <w:szCs w:val="24"/>
          <w:lang w:val="fi-FI"/>
        </w:rPr>
        <w:t xml:space="preserve"> </w:t>
      </w:r>
      <w:r w:rsidRPr="000A39EB">
        <w:rPr>
          <w:sz w:val="24"/>
          <w:szCs w:val="24"/>
          <w:lang w:val="fi-FI"/>
        </w:rPr>
        <w:tab/>
        <w:t xml:space="preserve">EE C, C/2025/3602, 4.7.2025, ELI: </w:t>
      </w:r>
      <w:hyperlink r:id="rId8" w:tgtFrame="http://data.europa.eu/eli/C/2025/3602/oj" w:history="1">
        <w:r w:rsidRPr="000A39EB">
          <w:rPr>
            <w:rStyle w:val="Hyperlink"/>
            <w:sz w:val="24"/>
            <w:szCs w:val="24"/>
            <w:lang w:val="fi-FI"/>
          </w:rPr>
          <w:t>http://data.europa.eu/eli/C/2025/3602/oj</w:t>
        </w:r>
      </w:hyperlink>
      <w:r w:rsidRPr="000A39EB">
        <w:rPr>
          <w:sz w:val="24"/>
          <w:szCs w:val="24"/>
          <w:lang w:val="fi-FI"/>
        </w:rPr>
        <w:t>.</w:t>
      </w:r>
    </w:p>
  </w:footnote>
  <w:footnote w:id="11">
    <w:p w14:paraId="7B8F75CC" w14:textId="626725D9" w:rsidR="006E6C6E" w:rsidRPr="000A39EB" w:rsidRDefault="006E6C6E" w:rsidP="00412725">
      <w:pPr>
        <w:pStyle w:val="FootnoteText"/>
        <w:ind w:left="567" w:hanging="567"/>
        <w:rPr>
          <w:sz w:val="24"/>
          <w:szCs w:val="24"/>
          <w:lang w:val="fi-FI"/>
        </w:rPr>
      </w:pPr>
      <w:r w:rsidRPr="000A39EB">
        <w:rPr>
          <w:rStyle w:val="FootnoteReference"/>
          <w:sz w:val="24"/>
          <w:szCs w:val="24"/>
        </w:rPr>
        <w:footnoteRef/>
      </w:r>
      <w:r w:rsidRPr="000A39EB">
        <w:rPr>
          <w:sz w:val="24"/>
          <w:szCs w:val="24"/>
          <w:lang w:val="fi-FI"/>
        </w:rPr>
        <w:t xml:space="preserve"> </w:t>
      </w:r>
      <w:r w:rsidRPr="000A39EB">
        <w:rPr>
          <w:sz w:val="24"/>
          <w:szCs w:val="24"/>
          <w:lang w:val="fi-FI"/>
        </w:rPr>
        <w:tab/>
      </w:r>
      <w:r w:rsidRPr="006E6C6E">
        <w:rPr>
          <w:sz w:val="24"/>
          <w:szCs w:val="24"/>
          <w:lang w:val="el-GR"/>
        </w:rPr>
        <w:t>ΕΕ</w:t>
      </w:r>
      <w:r w:rsidRPr="000A39EB">
        <w:rPr>
          <w:sz w:val="24"/>
          <w:szCs w:val="24"/>
          <w:lang w:val="fi-FI"/>
        </w:rPr>
        <w:t xml:space="preserve"> L, 2025/2630, 19.12.2025, ELI: </w:t>
      </w:r>
      <w:hyperlink r:id="rId9" w:tgtFrame="http://data.europa.eu/eli/dec/2025/2630/oj" w:history="1">
        <w:r w:rsidRPr="000A39EB">
          <w:rPr>
            <w:rStyle w:val="Hyperlink"/>
            <w:sz w:val="24"/>
            <w:szCs w:val="24"/>
            <w:lang w:val="fi-FI"/>
          </w:rPr>
          <w:t>http://data.europa.eu/eli/dec/2025/2630/oj</w:t>
        </w:r>
      </w:hyperlink>
      <w:r w:rsidRPr="000A39EB">
        <w:rPr>
          <w:sz w:val="24"/>
          <w:szCs w:val="24"/>
          <w:lang w:val="fi-FI"/>
        </w:rPr>
        <w:t>.</w:t>
      </w:r>
    </w:p>
  </w:footnote>
  <w:footnote w:id="12">
    <w:p w14:paraId="3623AEDD" w14:textId="572AAC27"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t>Κατ’ εξουσιοδότηση κανονισμός (ΕΕ) 2021/2139 της Επιτροπής, της 4ης Ιουνίου 2021, για τη συμπλήρωση του κανονισμού (ΕΕ) 2020/852 του Ευρωπαϊκού Κοινοβουλίου και του Συμβουλίου με τη θέσπιση τεχνικών κριτηρίων ελέγχου για τον προσδιορισμό των προϋποθέσεων υπό τις οποίες μια οικονομική δραστηριότητα θεωρείται ότι συμβάλλει σημαντικά στον μετριασμό της κλιματικής αλλαγής ή στην προσαρμογή στην κλιματική αλλαγή και για τον προσδιορισμό του κατά πόσον αυτή η οικονομική δραστηριότητα δεν βλάπτει σημαντικά οποιονδήποτε από τους άλλους περιβαλλοντικούς στόχους (ΕΕ L 442 της 9.12.2021, σ. </w:t>
      </w:r>
      <w:r w:rsidRPr="006E6C6E">
        <w:rPr>
          <w:sz w:val="24"/>
          <w:szCs w:val="24"/>
          <w:lang w:val="el-GR"/>
        </w:rPr>
        <w:t xml:space="preserve">1, ELI: </w:t>
      </w:r>
      <w:hyperlink r:id="rId10" w:tgtFrame="http://data.europa.eu/eli/reg_del/2021/2139/oj" w:history="1">
        <w:r w:rsidRPr="006E6C6E">
          <w:rPr>
            <w:rStyle w:val="Hyperlink"/>
            <w:sz w:val="24"/>
            <w:szCs w:val="24"/>
            <w:lang w:val="el-GR"/>
          </w:rPr>
          <w:t>http://data.europa.eu/eli/reg_del/2021/2139/oj).</w:t>
        </w:r>
      </w:hyperlink>
    </w:p>
  </w:footnote>
  <w:footnote w:id="13">
    <w:p w14:paraId="476153C7" w14:textId="1D16FA7C"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t>Κατ’ εξουσιοδότηση κανονισμός (ΕΕ) 2022/1214 της Επιτροπής, της 9ης Μαρτίου 2022, για την τροποποίηση του κατ’ εξουσιοδότηση κανονισμού (ΕΕ) 2021/2139 όσον αφορά οικονομικές δραστηριότητες σε ορισμένους τομείς ενέργειας και του κατ’ εξουσιοδότηση κανονισμού (ΕΕ) 2021/2178 όσον αφορά ειδικές δημοσιοποιήσεις για τις εν λόγω οικονομικές δραστηριότητες (ΕΕ L 188 της 15.7.2022, σ. </w:t>
      </w:r>
      <w:r w:rsidRPr="006E6C6E">
        <w:rPr>
          <w:sz w:val="24"/>
          <w:szCs w:val="24"/>
          <w:lang w:val="el-GR"/>
        </w:rPr>
        <w:t xml:space="preserve">1, ELI: </w:t>
      </w:r>
      <w:hyperlink r:id="rId11" w:tgtFrame="http://data.europa.eu/eli/reg_del/2022/1214/oj" w:history="1">
        <w:r w:rsidRPr="006E6C6E">
          <w:rPr>
            <w:rStyle w:val="Hyperlink"/>
            <w:sz w:val="24"/>
            <w:szCs w:val="24"/>
            <w:lang w:val="el-GR"/>
          </w:rPr>
          <w:t>http://data.europa.eu/eli/reg_del/2022/1214/oj).</w:t>
        </w:r>
      </w:hyperlink>
    </w:p>
  </w:footnote>
  <w:footnote w:id="14">
    <w:p w14:paraId="067BE5C5" w14:textId="1541F450"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t xml:space="preserve">Κανονισμός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τροποποίηση των κανονισμών (ΕΕ) αριθ. </w:t>
      </w:r>
      <w:r w:rsidRPr="006E6C6E">
        <w:rPr>
          <w:sz w:val="24"/>
          <w:szCs w:val="24"/>
          <w:lang w:val="el-GR"/>
        </w:rPr>
        <w:t xml:space="preserve">168/2013, (ΕΕ) 2018/858, (ΕΕ) 2018/1724 και (ΕΕ) 2019/1020 (ΕΕ L, 2024/1252, 3.5.2024, ELI: </w:t>
      </w:r>
      <w:hyperlink r:id="rId12" w:tgtFrame="http://data.europa.eu/eli/reg/2024/1252/oj" w:history="1">
        <w:r w:rsidRPr="006E6C6E">
          <w:rPr>
            <w:rStyle w:val="Hyperlink"/>
            <w:sz w:val="24"/>
            <w:szCs w:val="24"/>
            <w:lang w:val="el-GR"/>
          </w:rPr>
          <w:t>http://data.europa.eu/eli/reg/2024/1252/oj).</w:t>
        </w:r>
      </w:hyperlink>
    </w:p>
  </w:footnote>
  <w:footnote w:id="15">
    <w:p w14:paraId="5AEB9EE7" w14:textId="6EE88BB3"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r>
      <w:r w:rsidRPr="006E6C6E">
        <w:rPr>
          <w:sz w:val="24"/>
          <w:szCs w:val="24"/>
          <w:lang w:val="el-GR"/>
        </w:rPr>
        <w:t xml:space="preserve">Απόφαση (ΕΕ) 2025/2376 του Συμβουλίου, της 4ης Νοεμβρίου 2025, για την υπογραφή, εξ ονόματος της Ευρωπαϊκής Ένωσης, της συμφωνίας μεταξύ της Ευρωπαϊκής Ένωσης και του Ηνωμένου Βασιλείου της Μεγάλης Βρετανίας και της Βόρειας Ιρλανδίας για συνεργασία στην εφαρμογή της αντίστοιχης περί ανταγωνισμού νομοθεσίας τους (ΕΕ L, 2025/2376, 24.11.2025, ELI: </w:t>
      </w:r>
      <w:hyperlink r:id="rId13" w:tgtFrame="http://data.europa.eu/eli/dec/2025/2376/oj" w:history="1">
        <w:r w:rsidRPr="006E6C6E">
          <w:rPr>
            <w:rStyle w:val="Hyperlink"/>
            <w:sz w:val="24"/>
            <w:szCs w:val="24"/>
            <w:lang w:val="el-GR"/>
          </w:rPr>
          <w:t>http://data.europa.eu/eli/dec/2025/2376/oj).</w:t>
        </w:r>
      </w:hyperlink>
    </w:p>
  </w:footnote>
  <w:footnote w:id="16">
    <w:p w14:paraId="13917795" w14:textId="40AC69F9" w:rsidR="005F4BBC" w:rsidRPr="000A39EB" w:rsidRDefault="005F4BBC" w:rsidP="000A39EB">
      <w:pPr>
        <w:pStyle w:val="FootnoteText"/>
        <w:ind w:left="567" w:hanging="567"/>
        <w:rPr>
          <w:sz w:val="24"/>
          <w:szCs w:val="24"/>
          <w:lang w:val="el-GR"/>
        </w:rPr>
      </w:pPr>
      <w:r w:rsidRPr="000A39EB">
        <w:rPr>
          <w:rStyle w:val="FootnoteReference"/>
          <w:sz w:val="24"/>
          <w:szCs w:val="24"/>
        </w:rPr>
        <w:footnoteRef/>
      </w:r>
      <w:r w:rsidRPr="000A39EB">
        <w:rPr>
          <w:sz w:val="24"/>
          <w:szCs w:val="24"/>
          <w:lang w:val="el-GR"/>
        </w:rPr>
        <w:t xml:space="preserve"> </w:t>
      </w:r>
      <w:r w:rsidRPr="000A39EB">
        <w:rPr>
          <w:sz w:val="24"/>
          <w:szCs w:val="24"/>
          <w:lang w:val="el-GR"/>
        </w:rPr>
        <w:tab/>
      </w:r>
      <w:hyperlink r:id="rId14" w:history="1">
        <w:r w:rsidRPr="000A39EB">
          <w:rPr>
            <w:rStyle w:val="Hyperlink"/>
            <w:sz w:val="24"/>
            <w:szCs w:val="24"/>
            <w:lang w:val="el-GR"/>
          </w:rPr>
          <w:t>https://digital-strategy.ec.europa.eu/en/news/commission-reaches-preliminary-position-amazons-and-microsofts-market-leading-cloud-services-should</w:t>
        </w:r>
      </w:hyperlink>
      <w:r w:rsidRPr="000A39EB">
        <w:rPr>
          <w:sz w:val="24"/>
          <w:szCs w:val="24"/>
          <w:lang w:val="el-GR"/>
        </w:rPr>
        <w:t xml:space="preserve">. </w:t>
      </w:r>
    </w:p>
  </w:footnote>
  <w:footnote w:id="17">
    <w:p w14:paraId="11CB72CB" w14:textId="6E2DB6E4"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t xml:space="preserve">Ευρωπαϊκή Επιτροπή, «Commission </w:t>
      </w:r>
      <w:proofErr w:type="spellStart"/>
      <w:r w:rsidRPr="006E6C6E">
        <w:rPr>
          <w:sz w:val="24"/>
          <w:szCs w:val="24"/>
          <w:lang w:val="el-GR"/>
        </w:rPr>
        <w:t>launches</w:t>
      </w:r>
      <w:proofErr w:type="spellEnd"/>
      <w:r w:rsidRPr="006E6C6E">
        <w:rPr>
          <w:sz w:val="24"/>
          <w:szCs w:val="24"/>
          <w:lang w:val="el-GR"/>
        </w:rPr>
        <w:t xml:space="preserve"> </w:t>
      </w:r>
      <w:proofErr w:type="spellStart"/>
      <w:r w:rsidRPr="006E6C6E">
        <w:rPr>
          <w:sz w:val="24"/>
          <w:szCs w:val="24"/>
          <w:lang w:val="el-GR"/>
        </w:rPr>
        <w:t>market</w:t>
      </w:r>
      <w:proofErr w:type="spellEnd"/>
      <w:r w:rsidRPr="006E6C6E">
        <w:rPr>
          <w:sz w:val="24"/>
          <w:szCs w:val="24"/>
          <w:lang w:val="el-GR"/>
        </w:rPr>
        <w:t xml:space="preserve"> </w:t>
      </w:r>
      <w:proofErr w:type="spellStart"/>
      <w:r w:rsidRPr="006E6C6E">
        <w:rPr>
          <w:sz w:val="24"/>
          <w:szCs w:val="24"/>
          <w:lang w:val="el-GR"/>
        </w:rPr>
        <w:t>investigations</w:t>
      </w:r>
      <w:proofErr w:type="spellEnd"/>
      <w:r w:rsidRPr="006E6C6E">
        <w:rPr>
          <w:sz w:val="24"/>
          <w:szCs w:val="24"/>
          <w:lang w:val="el-GR"/>
        </w:rPr>
        <w:t xml:space="preserve"> on </w:t>
      </w:r>
      <w:proofErr w:type="spellStart"/>
      <w:r w:rsidRPr="006E6C6E">
        <w:rPr>
          <w:sz w:val="24"/>
          <w:szCs w:val="24"/>
          <w:lang w:val="el-GR"/>
        </w:rPr>
        <w:t>cloud</w:t>
      </w:r>
      <w:proofErr w:type="spellEnd"/>
      <w:r w:rsidRPr="006E6C6E">
        <w:rPr>
          <w:sz w:val="24"/>
          <w:szCs w:val="24"/>
          <w:lang w:val="el-GR"/>
        </w:rPr>
        <w:t xml:space="preserve"> </w:t>
      </w:r>
      <w:proofErr w:type="spellStart"/>
      <w:r w:rsidRPr="006E6C6E">
        <w:rPr>
          <w:sz w:val="24"/>
          <w:szCs w:val="24"/>
          <w:lang w:val="el-GR"/>
        </w:rPr>
        <w:t>computing</w:t>
      </w:r>
      <w:proofErr w:type="spellEnd"/>
      <w:r w:rsidRPr="006E6C6E">
        <w:rPr>
          <w:sz w:val="24"/>
          <w:szCs w:val="24"/>
          <w:lang w:val="el-GR"/>
        </w:rPr>
        <w:t xml:space="preserve"> </w:t>
      </w:r>
      <w:proofErr w:type="spellStart"/>
      <w:r w:rsidRPr="006E6C6E">
        <w:rPr>
          <w:sz w:val="24"/>
          <w:szCs w:val="24"/>
          <w:lang w:val="el-GR"/>
        </w:rPr>
        <w:t>services</w:t>
      </w:r>
      <w:proofErr w:type="spellEnd"/>
      <w:r w:rsidRPr="006E6C6E">
        <w:rPr>
          <w:sz w:val="24"/>
          <w:szCs w:val="24"/>
          <w:lang w:val="el-GR"/>
        </w:rPr>
        <w:t xml:space="preserve"> </w:t>
      </w:r>
      <w:proofErr w:type="spellStart"/>
      <w:r w:rsidRPr="006E6C6E">
        <w:rPr>
          <w:sz w:val="24"/>
          <w:szCs w:val="24"/>
          <w:lang w:val="el-GR"/>
        </w:rPr>
        <w:t>under</w:t>
      </w:r>
      <w:proofErr w:type="spellEnd"/>
      <w:r w:rsidRPr="006E6C6E">
        <w:rPr>
          <w:sz w:val="24"/>
          <w:szCs w:val="24"/>
          <w:lang w:val="el-GR"/>
        </w:rPr>
        <w:t xml:space="preserve"> the </w:t>
      </w:r>
      <w:proofErr w:type="spellStart"/>
      <w:r w:rsidRPr="006E6C6E">
        <w:rPr>
          <w:sz w:val="24"/>
          <w:szCs w:val="24"/>
          <w:lang w:val="el-GR"/>
        </w:rPr>
        <w:t>Digital</w:t>
      </w:r>
      <w:proofErr w:type="spellEnd"/>
      <w:r w:rsidRPr="006E6C6E">
        <w:rPr>
          <w:sz w:val="24"/>
          <w:szCs w:val="24"/>
          <w:lang w:val="el-GR"/>
        </w:rPr>
        <w:t xml:space="preserve"> </w:t>
      </w:r>
      <w:proofErr w:type="spellStart"/>
      <w:r w:rsidRPr="006E6C6E">
        <w:rPr>
          <w:sz w:val="24"/>
          <w:szCs w:val="24"/>
          <w:lang w:val="el-GR"/>
        </w:rPr>
        <w:t>Markets</w:t>
      </w:r>
      <w:proofErr w:type="spellEnd"/>
      <w:r w:rsidRPr="006E6C6E">
        <w:rPr>
          <w:sz w:val="24"/>
          <w:szCs w:val="24"/>
          <w:lang w:val="el-GR"/>
        </w:rPr>
        <w:t xml:space="preserve"> Act» (Η Επιτροπή δρομολογεί έρευνες αγοράς σχετικά με τις υπηρεσίες υπολογιστικού νέφους στο πλαίσιο της πράξης για τις ψηφιακές αγορές), </w:t>
      </w:r>
      <w:proofErr w:type="spellStart"/>
      <w:r w:rsidRPr="006E6C6E">
        <w:rPr>
          <w:sz w:val="24"/>
          <w:szCs w:val="24"/>
          <w:lang w:val="el-GR"/>
        </w:rPr>
        <w:t>ιστότοπος</w:t>
      </w:r>
      <w:proofErr w:type="spellEnd"/>
      <w:r w:rsidRPr="006E6C6E">
        <w:rPr>
          <w:sz w:val="24"/>
          <w:szCs w:val="24"/>
          <w:lang w:val="el-GR"/>
        </w:rPr>
        <w:t xml:space="preserve"> της Ευρωπαϊκής Επιτροπής, 18 Νοεμβρίου 2025.</w:t>
      </w:r>
    </w:p>
  </w:footnote>
  <w:footnote w:id="18">
    <w:p w14:paraId="3232CC70" w14:textId="05A0FC48"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r>
      <w:r w:rsidRPr="006E6C6E">
        <w:rPr>
          <w:sz w:val="24"/>
          <w:szCs w:val="24"/>
          <w:lang w:val="el-GR"/>
        </w:rPr>
        <w:t>Οδηγία (ΕΕ) 2019/790 του Ευρωπαϊκού Κοινοβουλίου και του Συμβουλίου, της 17ης</w:t>
      </w:r>
      <w:r w:rsidR="00BC5E8C">
        <w:rPr>
          <w:sz w:val="24"/>
          <w:szCs w:val="24"/>
          <w:lang w:val="el-GR"/>
        </w:rPr>
        <w:t> </w:t>
      </w:r>
      <w:r w:rsidRPr="006E6C6E">
        <w:rPr>
          <w:sz w:val="24"/>
          <w:szCs w:val="24"/>
          <w:lang w:val="el-GR"/>
        </w:rPr>
        <w:t xml:space="preserve">Απριλίου 2019, για τα δικαιώματα πνευματικής ιδιοκτησίας και τα συγγενικά δικαιώματα στην ψηφιακή ενιαία αγορά και την τροποποίηση των οδηγιών 96/9/ΕΚ και 2001/29/ΕΚ (ΕΕ L 130 της 17.5.2019, σ. 92, ELI: </w:t>
      </w:r>
      <w:hyperlink r:id="rId15" w:tgtFrame="http://data.europa.eu/eli/dir/2019/790/oj" w:history="1">
        <w:r w:rsidRPr="006E6C6E">
          <w:rPr>
            <w:rStyle w:val="Hyperlink"/>
            <w:sz w:val="24"/>
            <w:szCs w:val="24"/>
            <w:lang w:val="el-GR"/>
          </w:rPr>
          <w:t>http://data.europa.eu/eli/dir/2019/790/oj).</w:t>
        </w:r>
      </w:hyperlink>
    </w:p>
  </w:footnote>
  <w:footnote w:id="19">
    <w:p w14:paraId="36D26B7C" w14:textId="6477D7E6"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t>Κανονισμός (ΕΚ) αριθ. 1/2003 του Συμβουλίου, της 16ης Δεκεμβρίου 2002, για την εφαρμογή των κανόνων ανταγωνισμού που προβλέπονται στα άρθρα 81 και 82 της Συνθήκης (ΕΕ L 1 της 4.1.2003, σ. </w:t>
      </w:r>
      <w:r w:rsidRPr="006E6C6E">
        <w:rPr>
          <w:sz w:val="24"/>
          <w:szCs w:val="24"/>
          <w:lang w:val="el-GR"/>
        </w:rPr>
        <w:t xml:space="preserve">1, ELI: </w:t>
      </w:r>
      <w:hyperlink r:id="rId16" w:tgtFrame="http://data.europa.eu/eli/reg/2003/1/oj" w:history="1">
        <w:r w:rsidRPr="006E6C6E">
          <w:rPr>
            <w:rStyle w:val="Hyperlink"/>
            <w:sz w:val="24"/>
            <w:szCs w:val="24"/>
            <w:lang w:val="el-GR"/>
          </w:rPr>
          <w:t>http://data.europa.eu/eli/reg/2003/1/oj).</w:t>
        </w:r>
      </w:hyperlink>
    </w:p>
  </w:footnote>
  <w:footnote w:id="20">
    <w:p w14:paraId="1418551E" w14:textId="1C49B2EB"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t>Κανονισμός (EΚ) αριθ. 773/2004 της Επιτροπής</w:t>
      </w:r>
      <w:r w:rsidR="00BC5E8C">
        <w:rPr>
          <w:sz w:val="24"/>
          <w:szCs w:val="24"/>
          <w:lang w:val="el-GR"/>
        </w:rPr>
        <w:t>,</w:t>
      </w:r>
      <w:r w:rsidRPr="006E6C6E">
        <w:rPr>
          <w:sz w:val="24"/>
          <w:szCs w:val="24"/>
          <w:lang w:val="el-GR"/>
        </w:rPr>
        <w:t xml:space="preserve"> της 7ης Απριλίου 2004</w:t>
      </w:r>
      <w:r w:rsidR="00BC5E8C">
        <w:rPr>
          <w:sz w:val="24"/>
          <w:szCs w:val="24"/>
          <w:lang w:val="el-GR"/>
        </w:rPr>
        <w:t>,</w:t>
      </w:r>
      <w:r w:rsidRPr="006E6C6E">
        <w:rPr>
          <w:sz w:val="24"/>
          <w:szCs w:val="24"/>
          <w:lang w:val="el-GR"/>
        </w:rPr>
        <w:t xml:space="preserve"> σχετικά με τη διαδικασία που κινεί η Επιτροπή σύμφωνα με τα άρθρα 81 και 82 της Συνθήκης ΕΚ (ΕΕ L 123 της 27.4.2004,</w:t>
      </w:r>
      <w:r w:rsidR="00BC5E8C">
        <w:rPr>
          <w:sz w:val="24"/>
          <w:szCs w:val="24"/>
          <w:lang w:val="el-GR"/>
        </w:rPr>
        <w:t xml:space="preserve"> </w:t>
      </w:r>
      <w:r w:rsidRPr="006E6C6E">
        <w:rPr>
          <w:sz w:val="24"/>
          <w:szCs w:val="24"/>
          <w:lang w:val="el-GR"/>
        </w:rPr>
        <w:t xml:space="preserve">σ. </w:t>
      </w:r>
      <w:r w:rsidRPr="006E6C6E">
        <w:rPr>
          <w:sz w:val="24"/>
          <w:szCs w:val="24"/>
          <w:lang w:val="el-GR"/>
        </w:rPr>
        <w:t xml:space="preserve">18, ELI: </w:t>
      </w:r>
      <w:hyperlink r:id="rId17" w:tgtFrame="http://data.europa.eu/eli/reg/2004/773/oj" w:history="1">
        <w:r w:rsidRPr="006E6C6E">
          <w:rPr>
            <w:rStyle w:val="Hyperlink"/>
            <w:sz w:val="24"/>
            <w:szCs w:val="24"/>
            <w:lang w:val="el-GR"/>
          </w:rPr>
          <w:t>http://data.europa.eu/eli/reg/2004/773/oj).</w:t>
        </w:r>
      </w:hyperlink>
    </w:p>
  </w:footnote>
  <w:footnote w:id="21">
    <w:p w14:paraId="75C0DDCA" w14:textId="0BFB0D28"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r>
      <w:r w:rsidRPr="006E6C6E">
        <w:rPr>
          <w:sz w:val="24"/>
          <w:szCs w:val="24"/>
          <w:lang w:val="el-GR"/>
        </w:rPr>
        <w:t>Οδηγία 2014/104/ΕΕ του Ευρωπαϊκού Κοινοβουλίου και του Συμβουλίου, της 26ης</w:t>
      </w:r>
      <w:r w:rsidR="00BC5E8C">
        <w:rPr>
          <w:sz w:val="24"/>
          <w:szCs w:val="24"/>
          <w:lang w:val="el-GR"/>
        </w:rPr>
        <w:t> </w:t>
      </w:r>
      <w:r w:rsidRPr="006E6C6E">
        <w:rPr>
          <w:sz w:val="24"/>
          <w:szCs w:val="24"/>
          <w:lang w:val="el-GR"/>
        </w:rPr>
        <w:t xml:space="preserve">Νοεμβρίου 2014, σχετικά με ορισμένους κανόνες που διέπουν τις αγωγές αποζημίωσης βάσει του εθνικού δικαίου για παραβάσεις των διατάξεων του δικαίου ανταγωνισμού των κρατών μελών και της Ευρωπαϊκής Ένωσης (ΕΕ L 349 της 5.12.2014, σ. 1, ELI: </w:t>
      </w:r>
      <w:hyperlink r:id="rId18" w:tgtFrame="http://data.europa.eu/eli/dir/2014/104/oj" w:history="1">
        <w:r w:rsidRPr="006E6C6E">
          <w:rPr>
            <w:rStyle w:val="Hyperlink"/>
            <w:sz w:val="24"/>
            <w:szCs w:val="24"/>
            <w:lang w:val="el-GR"/>
          </w:rPr>
          <w:t>http://data.europa.eu/eli/dir/2014/104/oj).</w:t>
        </w:r>
      </w:hyperlink>
    </w:p>
  </w:footnote>
  <w:footnote w:id="22">
    <w:p w14:paraId="0BE4BD1F" w14:textId="39347772"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r>
      <w:r w:rsidRPr="006E6C6E">
        <w:rPr>
          <w:sz w:val="24"/>
          <w:szCs w:val="24"/>
          <w:lang w:val="el-GR"/>
        </w:rPr>
        <w:t>Οδηγία (ΕΕ) 2019/1 του Ευρωπαϊκού Κοινοβουλίου και του Συμβουλίου, της 11ης</w:t>
      </w:r>
      <w:r w:rsidR="00BC5E8C">
        <w:rPr>
          <w:sz w:val="24"/>
          <w:szCs w:val="24"/>
          <w:lang w:val="el-GR"/>
        </w:rPr>
        <w:t> </w:t>
      </w:r>
      <w:r w:rsidRPr="006E6C6E">
        <w:rPr>
          <w:sz w:val="24"/>
          <w:szCs w:val="24"/>
          <w:lang w:val="el-GR"/>
        </w:rPr>
        <w:t xml:space="preserve">Δεκεμβρίου 2018, για την παροχή αρμοδιοτήτων στις αρχές ανταγωνισμού των κρατών μελών ώστε να επιβάλλουν αποτελεσματικότερα τους κανόνες και για τη διασφάλιση της εύρυθμης λειτουργίας της εσωτερικής αγοράς (ΕΕ L 11 της 14.1.2019, σ. 3, ELI: </w:t>
      </w:r>
      <w:hyperlink r:id="rId19" w:tgtFrame="http://data.europa.eu/eli/dir/2019/1/oj" w:history="1">
        <w:r w:rsidRPr="006E6C6E">
          <w:rPr>
            <w:rStyle w:val="Hyperlink"/>
            <w:sz w:val="24"/>
            <w:szCs w:val="24"/>
            <w:lang w:val="el-GR"/>
          </w:rPr>
          <w:t>http://data.europa.eu/eli/dir/2019/1/oj).</w:t>
        </w:r>
      </w:hyperlink>
    </w:p>
  </w:footnote>
  <w:footnote w:id="23">
    <w:p w14:paraId="683F1B77" w14:textId="3FC4E211"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t xml:space="preserve">Κανονισμός (ΕΕ) 2015/751 του Ευρωπαϊκού Κοινοβουλίου και του Συμβουλίου, της 29ης Απριλίου 2015, σχετικά με τις διατραπεζικές προμήθειες για πράξεις πληρωμών με κάρτες (ΕΕ L 123 της 19.5.2015, σ. </w:t>
      </w:r>
      <w:r w:rsidRPr="006E6C6E">
        <w:rPr>
          <w:sz w:val="24"/>
          <w:szCs w:val="24"/>
          <w:lang w:val="el-GR"/>
        </w:rPr>
        <w:t xml:space="preserve">1, ELI: </w:t>
      </w:r>
      <w:hyperlink r:id="rId20" w:tgtFrame="http://data.europa.eu/eli/reg/2015/751/oj" w:history="1">
        <w:r w:rsidRPr="006E6C6E">
          <w:rPr>
            <w:rStyle w:val="Hyperlink"/>
            <w:sz w:val="24"/>
            <w:szCs w:val="24"/>
            <w:lang w:val="el-GR"/>
          </w:rPr>
          <w:t>http://data.europa.eu/eli/reg/2015/751/oj).</w:t>
        </w:r>
      </w:hyperlink>
    </w:p>
  </w:footnote>
  <w:footnote w:id="24">
    <w:p w14:paraId="22E32375" w14:textId="2CD727EF"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r>
      <w:r w:rsidRPr="006E6C6E">
        <w:rPr>
          <w:sz w:val="24"/>
          <w:szCs w:val="24"/>
          <w:lang w:val="el-GR"/>
        </w:rPr>
        <w:t>Οδηγία 2002/87/ΕΚ του Ευρωπαϊκού Κοινοβουλίου και του Συμβουλίου, της 16ης</w:t>
      </w:r>
      <w:r w:rsidR="00BC5E8C">
        <w:rPr>
          <w:sz w:val="24"/>
          <w:szCs w:val="24"/>
          <w:lang w:val="el-GR"/>
        </w:rPr>
        <w:t> </w:t>
      </w:r>
      <w:r w:rsidRPr="006E6C6E">
        <w:rPr>
          <w:sz w:val="24"/>
          <w:szCs w:val="24"/>
          <w:lang w:val="el-GR"/>
        </w:rPr>
        <w:t xml:space="preserve">Δεκεμβρίου 2002, σχετικά με τη συμπληρωματική εποπτεία πιστωτικών ιδρυμάτων, ασφαλιστικών επιχειρήσεων και επιχειρήσεων επενδύσεων χρηματοπιστωτικού ομίλου ετερογενών δραστηριοτήτων και για την τροποποίηση των οδηγιών του Συμβουλίου 73/239/ΕΟΚ, 79/267/ΕΟΚ, 92/49/ΕΟΚ, 92/96/ΕΟΚ 93/6/ΕΟΚ και 93/22/ΕΟΚ και των οδηγιών του Ευρωπαϊκού Κοινοβουλίου και του Συμβουλίου 98/78/ΕΚ και 2000/12/ΕΚ (ΕΕ L 35 της 11.2.2003, σ. 1, ELI: </w:t>
      </w:r>
      <w:hyperlink r:id="rId21" w:tgtFrame="http://data.europa.eu/eli/dir/2002/87/oj" w:history="1">
        <w:r w:rsidRPr="006E6C6E">
          <w:rPr>
            <w:rStyle w:val="Hyperlink"/>
            <w:sz w:val="24"/>
            <w:szCs w:val="24"/>
            <w:lang w:val="el-GR"/>
          </w:rPr>
          <w:t>http://data.europa.eu/eli/dir/2002/87/oj).</w:t>
        </w:r>
      </w:hyperlink>
    </w:p>
  </w:footnote>
  <w:footnote w:id="25">
    <w:p w14:paraId="19A26E61" w14:textId="5523B54B"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r>
      <w:r w:rsidRPr="006E6C6E">
        <w:rPr>
          <w:sz w:val="24"/>
          <w:szCs w:val="24"/>
          <w:lang w:val="el-GR"/>
        </w:rPr>
        <w:t>Οδηγία 2009/138/ΕΚ του Ευρωπαϊκού Κοινοβουλίου και του Συμβουλίου, της 25ης</w:t>
      </w:r>
      <w:r w:rsidR="00BC5E8C">
        <w:rPr>
          <w:sz w:val="24"/>
          <w:szCs w:val="24"/>
          <w:lang w:val="el-GR"/>
        </w:rPr>
        <w:t> </w:t>
      </w:r>
      <w:r w:rsidRPr="006E6C6E">
        <w:rPr>
          <w:sz w:val="24"/>
          <w:szCs w:val="24"/>
          <w:lang w:val="el-GR"/>
        </w:rPr>
        <w:t xml:space="preserve">Νοεμβρίου 2009, σχετικά με την ανάληψη και την άσκηση δραστηριοτήτων ασφάλισης και αντασφάλισης (Φερεγγυότητα II) (ΕΕ L 335 της 17.12.2009, σ. 1, ELI: </w:t>
      </w:r>
      <w:hyperlink r:id="rId22" w:tgtFrame="http://data.europa.eu/eli/dir/2009/138/oj" w:history="1">
        <w:r w:rsidRPr="006E6C6E">
          <w:rPr>
            <w:rStyle w:val="Hyperlink"/>
            <w:sz w:val="24"/>
            <w:szCs w:val="24"/>
            <w:lang w:val="el-GR"/>
          </w:rPr>
          <w:t>http://data.europa.eu/eli/dir/2009/138/oj).</w:t>
        </w:r>
      </w:hyperlink>
    </w:p>
  </w:footnote>
  <w:footnote w:id="26">
    <w:p w14:paraId="3503E31B" w14:textId="488C832B"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t>Κανονισμός (ΕΕ) αριθ. 651/2014 της Επιτροπής, της 17ης Ιουνίου 2014, για την κήρυξη ορισμένων κατηγοριών ενισχύσεων ως συμβατών με την εσωτερική αγορά κατ’ εφαρμογή των άρθρων 107 και 108 της Συνθήκης (ΕΕ L 187 της 26.6.2014, σ. </w:t>
      </w:r>
      <w:r w:rsidRPr="006E6C6E">
        <w:rPr>
          <w:sz w:val="24"/>
          <w:szCs w:val="24"/>
          <w:lang w:val="el-GR"/>
        </w:rPr>
        <w:t xml:space="preserve">1, ELI: </w:t>
      </w:r>
      <w:hyperlink r:id="rId23" w:tgtFrame="http://data.europa.eu/eli/reg/2014/651/oj" w:history="1">
        <w:r w:rsidRPr="006E6C6E">
          <w:rPr>
            <w:rStyle w:val="Hyperlink"/>
            <w:sz w:val="24"/>
            <w:szCs w:val="24"/>
            <w:lang w:val="el-GR"/>
          </w:rPr>
          <w:t>http://data.europa.eu/eli/reg/2014/651/oj).</w:t>
        </w:r>
      </w:hyperlink>
    </w:p>
  </w:footnote>
  <w:footnote w:id="27">
    <w:p w14:paraId="72774A22" w14:textId="54310735" w:rsidR="006E6C6E" w:rsidRPr="006E6C6E" w:rsidRDefault="006E6C6E" w:rsidP="00412725">
      <w:pPr>
        <w:pStyle w:val="FootnoteText"/>
        <w:ind w:left="567" w:hanging="567"/>
        <w:rPr>
          <w:sz w:val="24"/>
          <w:szCs w:val="24"/>
          <w:lang w:val="el-GR"/>
        </w:rPr>
      </w:pPr>
      <w:r w:rsidRPr="000A39EB">
        <w:rPr>
          <w:rStyle w:val="FootnoteReference"/>
          <w:sz w:val="24"/>
          <w:szCs w:val="24"/>
        </w:rPr>
        <w:footnoteRef/>
      </w:r>
      <w:r w:rsidRPr="006E6C6E">
        <w:rPr>
          <w:sz w:val="24"/>
          <w:szCs w:val="24"/>
          <w:lang w:val="el-GR"/>
        </w:rPr>
        <w:t xml:space="preserve"> </w:t>
      </w:r>
      <w:r w:rsidRPr="006E6C6E">
        <w:rPr>
          <w:sz w:val="24"/>
          <w:szCs w:val="24"/>
          <w:lang w:val="el-GR"/>
        </w:rPr>
        <w:tab/>
        <w:t>Σύσταση (ΕΕ) 2020/1039 της Επιτροπής, της 14ης Ιουλίου 2020, σχετικά με τη εξάρτηση της κρατικής χρηματοδοτικής στήριξης επιχειρήσεων στην Ένωση από την απουσία δεσμών με μη συνεργάσιμες περιοχές δικαιοδοσίας (ΕΕ L 227 της 16.7.2020, σ. </w:t>
      </w:r>
      <w:r w:rsidRPr="006E6C6E">
        <w:rPr>
          <w:sz w:val="24"/>
          <w:szCs w:val="24"/>
          <w:lang w:val="el-GR"/>
        </w:rPr>
        <w:t xml:space="preserve">76, ELI: </w:t>
      </w:r>
      <w:hyperlink r:id="rId24" w:tgtFrame="http://data.europa.eu/eli/reco/2020/1039/oj" w:history="1">
        <w:r w:rsidRPr="006E6C6E">
          <w:rPr>
            <w:rStyle w:val="Hyperlink"/>
            <w:sz w:val="24"/>
            <w:szCs w:val="24"/>
            <w:lang w:val="el-GR"/>
          </w:rPr>
          <w:t>http://data.europa.eu/eli/reco/2020/1039/oj).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8569B" w14:textId="77777777" w:rsidR="00064002" w:rsidRPr="004127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D4B69" w14:textId="77777777" w:rsidR="00064002" w:rsidRPr="004127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DD2F" w14:textId="77777777" w:rsidR="00064002" w:rsidRPr="004127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7CBA4F41"/>
    <w:multiLevelType w:val="hybridMultilevel"/>
    <w:tmpl w:val="441C5352"/>
    <w:lvl w:ilvl="0" w:tplc="584E2A9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7045860">
    <w:abstractNumId w:val="0"/>
  </w:num>
  <w:num w:numId="2" w16cid:durableId="957878384">
    <w:abstractNumId w:val="1"/>
  </w:num>
  <w:num w:numId="3" w16cid:durableId="183310808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EL"/>
    <w:docVar w:name="dvnumam" w:val="0"/>
    <w:docVar w:name="dvpe" w:val="779.796"/>
    <w:docVar w:name="dvrapporteur" w:val="Εισηγήτρια: "/>
    <w:docVar w:name="dvtitre" w:val="Ψήφισμα του Ευρωπαϊκού Κοινοβουλίου της ... 2026 σχετικά με την πολιτική ανταγωνισμού – ετήσια έκθεση 2025(2025/2134(INI))"/>
  </w:docVars>
  <w:rsids>
    <w:rsidRoot w:val="003812E7"/>
    <w:rsid w:val="00002272"/>
    <w:rsid w:val="00064002"/>
    <w:rsid w:val="000677B9"/>
    <w:rsid w:val="000831BA"/>
    <w:rsid w:val="000A39EB"/>
    <w:rsid w:val="000A42CC"/>
    <w:rsid w:val="000D5408"/>
    <w:rsid w:val="000E7DD9"/>
    <w:rsid w:val="0010095E"/>
    <w:rsid w:val="00125B37"/>
    <w:rsid w:val="00187494"/>
    <w:rsid w:val="001F32AE"/>
    <w:rsid w:val="001F48C4"/>
    <w:rsid w:val="002767FF"/>
    <w:rsid w:val="002B18FE"/>
    <w:rsid w:val="002B5493"/>
    <w:rsid w:val="00343214"/>
    <w:rsid w:val="00361C00"/>
    <w:rsid w:val="00375D51"/>
    <w:rsid w:val="003812E7"/>
    <w:rsid w:val="00395FA1"/>
    <w:rsid w:val="003E15D4"/>
    <w:rsid w:val="00411CCE"/>
    <w:rsid w:val="00412725"/>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4BBC"/>
    <w:rsid w:val="006037C0"/>
    <w:rsid w:val="006631B6"/>
    <w:rsid w:val="00680577"/>
    <w:rsid w:val="006E6C6E"/>
    <w:rsid w:val="006F74FA"/>
    <w:rsid w:val="00731ADD"/>
    <w:rsid w:val="00734777"/>
    <w:rsid w:val="00747932"/>
    <w:rsid w:val="00751A4A"/>
    <w:rsid w:val="00756632"/>
    <w:rsid w:val="00762C74"/>
    <w:rsid w:val="00786EC0"/>
    <w:rsid w:val="007D1690"/>
    <w:rsid w:val="007E22AD"/>
    <w:rsid w:val="00817416"/>
    <w:rsid w:val="00842779"/>
    <w:rsid w:val="00865F67"/>
    <w:rsid w:val="008728A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4CB9"/>
    <w:rsid w:val="00AE0928"/>
    <w:rsid w:val="00AF3B82"/>
    <w:rsid w:val="00B12E95"/>
    <w:rsid w:val="00B22876"/>
    <w:rsid w:val="00B558F0"/>
    <w:rsid w:val="00BC5E8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2F028"/>
  <w15:chartTrackingRefBased/>
  <w15:docId w15:val="{7335249D-B0E5-47D1-AAEF-62C158A4B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F48C4"/>
    <w:pPr>
      <w:widowControl/>
      <w:spacing w:after="240"/>
    </w:pPr>
    <w:rPr>
      <w:szCs w:val="24"/>
      <w:lang w:eastAsia="en-US"/>
    </w:rPr>
  </w:style>
  <w:style w:type="paragraph" w:customStyle="1" w:styleId="NormalHanging12a">
    <w:name w:val="NormalHanging12a"/>
    <w:basedOn w:val="Normal"/>
    <w:rsid w:val="001F48C4"/>
    <w:pPr>
      <w:widowControl/>
      <w:spacing w:after="240"/>
      <w:ind w:left="566" w:hanging="566"/>
    </w:pPr>
    <w:rPr>
      <w:szCs w:val="24"/>
      <w:lang w:eastAsia="en-US"/>
    </w:rPr>
  </w:style>
  <w:style w:type="paragraph" w:customStyle="1" w:styleId="Normal12">
    <w:name w:val="Normal12"/>
    <w:basedOn w:val="Normal"/>
    <w:rsid w:val="001F48C4"/>
    <w:pPr>
      <w:spacing w:after="240"/>
    </w:pPr>
    <w:rPr>
      <w:szCs w:val="24"/>
      <w:lang w:eastAsia="en-US"/>
    </w:rPr>
  </w:style>
  <w:style w:type="paragraph" w:customStyle="1" w:styleId="NormalHanging">
    <w:name w:val="NormalHanging"/>
    <w:basedOn w:val="Normal"/>
    <w:rsid w:val="001F48C4"/>
    <w:pPr>
      <w:spacing w:after="240"/>
      <w:ind w:left="566" w:hanging="566"/>
    </w:pPr>
    <w:rPr>
      <w:szCs w:val="24"/>
      <w:lang w:eastAsia="en-US"/>
    </w:rPr>
  </w:style>
  <w:style w:type="paragraph" w:customStyle="1" w:styleId="NormalCenter12a">
    <w:name w:val="NormalCenter12a"/>
    <w:basedOn w:val="Normal"/>
    <w:rsid w:val="001F48C4"/>
    <w:pPr>
      <w:widowControl/>
      <w:spacing w:after="240"/>
      <w:jc w:val="center"/>
    </w:pPr>
    <w:rPr>
      <w:szCs w:val="24"/>
      <w:lang w:eastAsia="en-US"/>
    </w:rPr>
  </w:style>
  <w:style w:type="character" w:styleId="Hyperlink">
    <w:name w:val="Hyperlink"/>
    <w:basedOn w:val="DefaultParagraphFont"/>
    <w:rsid w:val="001F48C4"/>
    <w:rPr>
      <w:color w:val="0000FF"/>
      <w:u w:val="single"/>
    </w:rPr>
  </w:style>
  <w:style w:type="paragraph" w:styleId="Revision">
    <w:name w:val="Revision"/>
    <w:hidden/>
    <w:uiPriority w:val="99"/>
    <w:semiHidden/>
    <w:rsid w:val="006E6C6E"/>
    <w:rPr>
      <w:sz w:val="24"/>
      <w:lang w:val="el-GR"/>
    </w:rPr>
  </w:style>
  <w:style w:type="character" w:styleId="FollowedHyperlink">
    <w:name w:val="FollowedHyperlink"/>
    <w:basedOn w:val="DefaultParagraphFont"/>
    <w:rsid w:val="00BC5E8C"/>
    <w:rPr>
      <w:color w:val="954F72" w:themeColor="followedHyperlink"/>
      <w:u w:val="single"/>
    </w:rPr>
  </w:style>
  <w:style w:type="character" w:styleId="UnresolvedMention">
    <w:name w:val="Unresolved Mention"/>
    <w:basedOn w:val="DefaultParagraphFont"/>
    <w:uiPriority w:val="99"/>
    <w:semiHidden/>
    <w:unhideWhenUsed/>
    <w:rsid w:val="005F4B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602/oj" TargetMode="External"/><Relationship Id="rId13" Type="http://schemas.openxmlformats.org/officeDocument/2006/relationships/hyperlink" Target="http://data.europa.eu/eli/dec/2025/2376/oj" TargetMode="External"/><Relationship Id="rId18" Type="http://schemas.openxmlformats.org/officeDocument/2006/relationships/hyperlink" Target="http://data.europa.eu/eli/dir/2014/104/oj" TargetMode="External"/><Relationship Id="rId3" Type="http://schemas.openxmlformats.org/officeDocument/2006/relationships/hyperlink" Target="https://eur-lex.europa.eu/legal-content/EL/TXT/?uri=uriserv%3AOJ.L_.2004.024.01.0001.01.ENG" TargetMode="External"/><Relationship Id="rId21" Type="http://schemas.openxmlformats.org/officeDocument/2006/relationships/hyperlink" Target="http://data.europa.eu/eli/dir/2002/87/oj" TargetMode="External"/><Relationship Id="rId7" Type="http://schemas.openxmlformats.org/officeDocument/2006/relationships/hyperlink" Target="http://data.europa.eu/eli/C/2026/224/oj" TargetMode="External"/><Relationship Id="rId12" Type="http://schemas.openxmlformats.org/officeDocument/2006/relationships/hyperlink" Target="http://data.europa.eu/eli/reg/2024/1252/oj" TargetMode="External"/><Relationship Id="rId17" Type="http://schemas.openxmlformats.org/officeDocument/2006/relationships/hyperlink" Target="http://data.europa.eu/eli/reg/2004/773/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reg/2003/1/oj" TargetMode="External"/><Relationship Id="rId20" Type="http://schemas.openxmlformats.org/officeDocument/2006/relationships/hyperlink" Target="http://data.europa.eu/eli/reg/2015/751/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reg/2022/2560/oj" TargetMode="External"/><Relationship Id="rId11" Type="http://schemas.openxmlformats.org/officeDocument/2006/relationships/hyperlink" Target="http://data.europa.eu/eli/reg_del/2022/1214/oj" TargetMode="External"/><Relationship Id="rId24" Type="http://schemas.openxmlformats.org/officeDocument/2006/relationships/hyperlink" Target="http://data.europa.eu/eli/reco/2020/1039/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data.europa.eu/eli/dir/2019/790/oj" TargetMode="External"/><Relationship Id="rId23" Type="http://schemas.openxmlformats.org/officeDocument/2006/relationships/hyperlink" Target="http://data.europa.eu/eli/reg/2014/651/oj" TargetMode="External"/><Relationship Id="rId10" Type="http://schemas.openxmlformats.org/officeDocument/2006/relationships/hyperlink" Target="http://data.europa.eu/eli/reg_del/2021/2139/oj" TargetMode="External"/><Relationship Id="rId19" Type="http://schemas.openxmlformats.org/officeDocument/2006/relationships/hyperlink" Target="http://data.europa.eu/eli/dir/2019/1/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dec/2025/2630/oj" TargetMode="External"/><Relationship Id="rId14" Type="http://schemas.openxmlformats.org/officeDocument/2006/relationships/hyperlink" Target="https://digital-strategy.ec.europa.eu/en/news/commission-reaches-preliminary-position-amazons-and-microsofts-market-leading-cloud-services-should" TargetMode="External"/><Relationship Id="rId22" Type="http://schemas.openxmlformats.org/officeDocument/2006/relationships/hyperlink" Target="http://data.europa.eu/eli/dir/2009/1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7406</Words>
  <Characters>45712</Characters>
  <Application>Microsoft Office Word</Application>
  <DocSecurity>0</DocSecurity>
  <Lines>380</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2026-07-07T12:23:00Z</dcterms:created>
  <dcterms:modified xsi:type="dcterms:W3CDTF">2026-07-07T12:23:00Z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A10-0171/2026</vt:lpwstr>
  </property>
  <property fmtid="{D5CDD505-2E9C-101B-9397-08002B2CF9AE}" pid="4" name="&lt;Type&gt;">
    <vt:lpwstr>RR</vt:lpwstr>
  </property>
</Properties>
</file>