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81E11" w14:paraId="379FC62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88A26CE" w14:textId="77777777" w:rsidR="00751A4A" w:rsidRPr="00781E11" w:rsidRDefault="004D2CE3" w:rsidP="0010095E">
            <w:pPr>
              <w:pStyle w:val="EPName"/>
            </w:pPr>
            <w:r w:rsidRPr="00781E11">
              <w:t>Parlament Europejski</w:t>
            </w:r>
          </w:p>
          <w:p w14:paraId="76FF75F7" w14:textId="77777777" w:rsidR="00751A4A" w:rsidRPr="00781E1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81E11">
              <w:t>2024</w:t>
            </w:r>
            <w:r w:rsidR="00817416" w:rsidRPr="00781E11">
              <w:t>-202</w:t>
            </w:r>
            <w:r w:rsidRPr="00781E11">
              <w:t>9</w:t>
            </w:r>
          </w:p>
        </w:tc>
        <w:tc>
          <w:tcPr>
            <w:tcW w:w="2268" w:type="dxa"/>
            <w:shd w:val="clear" w:color="auto" w:fill="auto"/>
          </w:tcPr>
          <w:p w14:paraId="415D695C" w14:textId="77777777" w:rsidR="00751A4A" w:rsidRPr="00781E11" w:rsidRDefault="00187494" w:rsidP="0010095E">
            <w:pPr>
              <w:pStyle w:val="EPLogo"/>
            </w:pPr>
            <w:r w:rsidRPr="00781E11">
              <w:rPr>
                <w:noProof/>
                <w:lang w:eastAsia="ja-JP"/>
              </w:rPr>
              <w:drawing>
                <wp:inline distT="0" distB="0" distL="0" distR="0" wp14:anchorId="26BCC667" wp14:editId="3314261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78207A3" w14:textId="77777777" w:rsidR="00D058B8" w:rsidRPr="00781E11" w:rsidRDefault="00D058B8" w:rsidP="004C5D52">
      <w:pPr>
        <w:pStyle w:val="LineTop"/>
      </w:pPr>
    </w:p>
    <w:p w14:paraId="226BAB8B" w14:textId="77777777" w:rsidR="00680577" w:rsidRPr="00781E11" w:rsidRDefault="004D2CE3" w:rsidP="00680577">
      <w:pPr>
        <w:pStyle w:val="EPBodyTA1"/>
      </w:pPr>
      <w:r w:rsidRPr="00781E11">
        <w:t>TEKSTY PRZYJĘTE</w:t>
      </w:r>
    </w:p>
    <w:p w14:paraId="17A0B73C" w14:textId="77777777" w:rsidR="00D058B8" w:rsidRPr="00781E11" w:rsidRDefault="00D058B8" w:rsidP="00D058B8">
      <w:pPr>
        <w:pStyle w:val="LineBottom"/>
      </w:pPr>
    </w:p>
    <w:p w14:paraId="0BA23412" w14:textId="3B749F8B" w:rsidR="004D2CE3" w:rsidRPr="00781E11" w:rsidRDefault="004D2CE3" w:rsidP="004D2CE3">
      <w:pPr>
        <w:pStyle w:val="ATHeading1"/>
      </w:pPr>
      <w:bookmarkStart w:id="0" w:name="TANumber"/>
      <w:r w:rsidRPr="00781E11">
        <w:t>P10_TA(2026)0</w:t>
      </w:r>
      <w:bookmarkEnd w:id="0"/>
      <w:r w:rsidR="001B529C">
        <w:t>247</w:t>
      </w:r>
    </w:p>
    <w:p w14:paraId="68B43DA6" w14:textId="0462B756" w:rsidR="004D2CE3" w:rsidRPr="00E92A31" w:rsidRDefault="00E92A31" w:rsidP="004D2CE3">
      <w:pPr>
        <w:pStyle w:val="ATHeading2"/>
      </w:pPr>
      <w:r w:rsidRPr="00E92A31">
        <w:t>Polityka konkurencji – sprawozdanie roczne za 2025 r.</w:t>
      </w:r>
    </w:p>
    <w:p w14:paraId="65AE0276" w14:textId="77777777" w:rsidR="004D2CE3" w:rsidRPr="00781E11" w:rsidRDefault="004D2CE3" w:rsidP="004D2CE3">
      <w:pPr>
        <w:rPr>
          <w:i/>
          <w:vanish/>
        </w:rPr>
      </w:pPr>
      <w:r w:rsidRPr="00781E11">
        <w:rPr>
          <w:i/>
        </w:rPr>
        <w:fldChar w:fldCharType="begin"/>
      </w:r>
      <w:r w:rsidRPr="00781E11">
        <w:rPr>
          <w:i/>
        </w:rPr>
        <w:instrText xml:space="preserve"> TC"(</w:instrText>
      </w:r>
      <w:bookmarkStart w:id="1" w:name="DocNumber"/>
      <w:r w:rsidRPr="00781E11">
        <w:rPr>
          <w:i/>
        </w:rPr>
        <w:instrText>A10-0171/2026</w:instrText>
      </w:r>
      <w:bookmarkEnd w:id="1"/>
      <w:r w:rsidRPr="00781E11">
        <w:rPr>
          <w:i/>
        </w:rPr>
        <w:instrText xml:space="preserve"> - Sprawozdawca: </w:instrText>
      </w:r>
      <w:proofErr w:type="spellStart"/>
      <w:r w:rsidRPr="00781E11">
        <w:rPr>
          <w:i/>
        </w:rPr>
        <w:instrText>Stéphanie</w:instrText>
      </w:r>
      <w:proofErr w:type="spellEnd"/>
      <w:r w:rsidRPr="00781E11">
        <w:rPr>
          <w:i/>
        </w:rPr>
        <w:instrText xml:space="preserve"> </w:instrText>
      </w:r>
      <w:proofErr w:type="spellStart"/>
      <w:r w:rsidRPr="00781E11">
        <w:rPr>
          <w:i/>
        </w:rPr>
        <w:instrText>Yon-Courtin</w:instrText>
      </w:r>
      <w:proofErr w:type="spellEnd"/>
      <w:r w:rsidRPr="00781E11">
        <w:rPr>
          <w:i/>
        </w:rPr>
        <w:instrText xml:space="preserve">)"\l3 \n&gt; \* MERGEFORMAT </w:instrText>
      </w:r>
      <w:r w:rsidRPr="00781E11">
        <w:rPr>
          <w:i/>
        </w:rPr>
        <w:fldChar w:fldCharType="end"/>
      </w:r>
    </w:p>
    <w:p w14:paraId="5FA15E0E" w14:textId="77777777" w:rsidR="004D2CE3" w:rsidRPr="00781E11" w:rsidRDefault="004D2CE3" w:rsidP="004D2CE3">
      <w:pPr>
        <w:rPr>
          <w:vanish/>
        </w:rPr>
      </w:pPr>
      <w:bookmarkStart w:id="2" w:name="Commission"/>
      <w:r w:rsidRPr="00781E11">
        <w:rPr>
          <w:vanish/>
        </w:rPr>
        <w:t>Komisja Gospodarcza i Monetarna</w:t>
      </w:r>
      <w:bookmarkEnd w:id="2"/>
    </w:p>
    <w:p w14:paraId="4CA21C39" w14:textId="77777777" w:rsidR="004D2CE3" w:rsidRPr="00781E11" w:rsidRDefault="004D2CE3" w:rsidP="004D2CE3">
      <w:pPr>
        <w:rPr>
          <w:vanish/>
        </w:rPr>
      </w:pPr>
      <w:bookmarkStart w:id="3" w:name="PE"/>
      <w:r w:rsidRPr="00781E11">
        <w:rPr>
          <w:vanish/>
        </w:rPr>
        <w:t>PE779.796</w:t>
      </w:r>
      <w:bookmarkEnd w:id="3"/>
    </w:p>
    <w:p w14:paraId="02218815" w14:textId="76D6C09A" w:rsidR="004D2CE3" w:rsidRPr="00781E11" w:rsidRDefault="004D2CE3" w:rsidP="004D2CE3">
      <w:pPr>
        <w:pStyle w:val="ATHeading3"/>
      </w:pPr>
      <w:bookmarkStart w:id="4" w:name="Sujet"/>
      <w:r w:rsidRPr="00781E11">
        <w:t xml:space="preserve">Rezolucja Parlamentu Europejskiego z dnia </w:t>
      </w:r>
      <w:r w:rsidR="00E92A31">
        <w:t>7 lipca</w:t>
      </w:r>
      <w:r w:rsidRPr="00781E11">
        <w:t xml:space="preserve"> 2026 r. w sprawie polityki konkurencji – sprawozdanie roczne za 2025 r.</w:t>
      </w:r>
      <w:bookmarkEnd w:id="4"/>
      <w:r w:rsidRPr="00781E11">
        <w:t xml:space="preserve"> </w:t>
      </w:r>
      <w:bookmarkStart w:id="5" w:name="References"/>
      <w:r w:rsidRPr="00781E11">
        <w:t>(2025/2134(INI))</w:t>
      </w:r>
      <w:bookmarkEnd w:id="5"/>
    </w:p>
    <w:p w14:paraId="01F84ECF" w14:textId="77777777" w:rsidR="00D12E6F" w:rsidRPr="00781E11" w:rsidRDefault="00D12E6F" w:rsidP="00D12E6F">
      <w:pPr>
        <w:pStyle w:val="Normal12"/>
      </w:pPr>
      <w:r w:rsidRPr="00781E11">
        <w:rPr>
          <w:i/>
        </w:rPr>
        <w:t>Parlament Europejski</w:t>
      </w:r>
      <w:r w:rsidRPr="00781E11">
        <w:t>,</w:t>
      </w:r>
    </w:p>
    <w:p w14:paraId="2DF413FF" w14:textId="77777777" w:rsidR="00D12E6F" w:rsidRPr="00781E11" w:rsidRDefault="00D12E6F" w:rsidP="00D12E6F">
      <w:pPr>
        <w:pStyle w:val="NormalHanging"/>
      </w:pPr>
      <w:r w:rsidRPr="00781E11">
        <w:t>–</w:t>
      </w:r>
      <w:r w:rsidRPr="00781E11">
        <w:tab/>
        <w:t>uwzględniając Traktat o funkcjonowaniu Unii Europejskiej (TFUE), w szczególności art. 101–109,</w:t>
      </w:r>
    </w:p>
    <w:p w14:paraId="07AFEB58" w14:textId="2E47A537" w:rsidR="00D12E6F" w:rsidRPr="00781E11" w:rsidRDefault="00D12E6F" w:rsidP="00D12E6F">
      <w:pPr>
        <w:pStyle w:val="NormalHanging"/>
      </w:pPr>
      <w:r w:rsidRPr="00781E11">
        <w:t>–</w:t>
      </w:r>
      <w:r w:rsidRPr="00781E11">
        <w:tab/>
        <w:t xml:space="preserve">uwzględniając rozporządzenie Parlamentu Europejskiego i Rady (UE) 2022/1925 z dnia 14 września 2022 r. w sprawie </w:t>
      </w:r>
      <w:proofErr w:type="spellStart"/>
      <w:r w:rsidRPr="00781E11">
        <w:t>kontestowalnych</w:t>
      </w:r>
      <w:proofErr w:type="spellEnd"/>
      <w:r w:rsidRPr="00781E11">
        <w:t xml:space="preserve"> i uczciwych rynków w sektorze cyfrowym oraz zmiany dyrektyw (UE) 2019/1937 i (UE) 2020/1828 (akt o rynkach cyfrowych)</w:t>
      </w:r>
      <w:r w:rsidR="00E92A31">
        <w:rPr>
          <w:rStyle w:val="FootnoteReference"/>
        </w:rPr>
        <w:footnoteReference w:id="1"/>
      </w:r>
      <w:r w:rsidRPr="00781E11">
        <w:t>,</w:t>
      </w:r>
    </w:p>
    <w:p w14:paraId="02E440F3" w14:textId="04197709" w:rsidR="00D12E6F" w:rsidRPr="00781E11" w:rsidRDefault="00D12E6F" w:rsidP="00D12E6F">
      <w:pPr>
        <w:pStyle w:val="NormalHanging"/>
      </w:pPr>
      <w:r w:rsidRPr="00781E11">
        <w:t>–</w:t>
      </w:r>
      <w:r w:rsidRPr="00781E11">
        <w:tab/>
        <w:t xml:space="preserve">uwzględniając sprawozdanie Komisji z </w:t>
      </w:r>
      <w:r w:rsidR="00E92A31">
        <w:t xml:space="preserve">dnia </w:t>
      </w:r>
      <w:r w:rsidRPr="00781E11">
        <w:t xml:space="preserve">28 kwietnia 2026 r. z przeglądu rozporządzenia Parlamentu Europejskiego i Rady (UE) 2022/1925 w sprawie </w:t>
      </w:r>
      <w:proofErr w:type="spellStart"/>
      <w:r w:rsidRPr="00781E11">
        <w:t>kontestowalnych</w:t>
      </w:r>
      <w:proofErr w:type="spellEnd"/>
      <w:r w:rsidRPr="00781E11">
        <w:t xml:space="preserve"> i uczciwych rynków w sektorze cyfrowym oraz zmiany dyrektyw (UE) 2019/1937 i (UE) 2020/1828 (akt o rynkach cyfrowych), zgodnie z jego art. 53 (</w:t>
      </w:r>
      <w:r w:rsidR="00E92A31" w:rsidRPr="001B529C">
        <w:t>COM(2026)0178</w:t>
      </w:r>
      <w:r w:rsidRPr="00781E11">
        <w:t>),</w:t>
      </w:r>
    </w:p>
    <w:p w14:paraId="099C63AD" w14:textId="126A4481" w:rsidR="00D12E6F" w:rsidRPr="00781E11" w:rsidRDefault="00D12E6F" w:rsidP="00D12E6F">
      <w:pPr>
        <w:pStyle w:val="NormalHanging"/>
      </w:pPr>
      <w:r w:rsidRPr="00781E11">
        <w:t>–</w:t>
      </w:r>
      <w:r w:rsidRPr="00781E11">
        <w:tab/>
        <w:t>uwzględniając rozporządzenie Parlamentu Europejskiego i Rady (UE) 2022/2065 z dnia 19 października 2022 r. w sprawie jednolitego rynku usług cyfrowych oraz zmiany dyrektywy 2000/31/WE (akt o usługach cyfrowych)</w:t>
      </w:r>
      <w:r w:rsidR="00E92A31">
        <w:rPr>
          <w:rStyle w:val="FootnoteReference"/>
        </w:rPr>
        <w:footnoteReference w:id="2"/>
      </w:r>
      <w:r w:rsidRPr="00781E11">
        <w:t>,</w:t>
      </w:r>
    </w:p>
    <w:p w14:paraId="4FA89C92" w14:textId="4A47CCD5" w:rsidR="00D12E6F" w:rsidRPr="00781E11" w:rsidRDefault="00D12E6F" w:rsidP="00D12E6F">
      <w:pPr>
        <w:pStyle w:val="NormalHanging"/>
      </w:pPr>
      <w:r w:rsidRPr="00781E11">
        <w:t>–</w:t>
      </w:r>
      <w:r w:rsidRPr="00781E11">
        <w:tab/>
        <w:t>uwzględniając rozporządzenie Rady (WE) nr 139/2004 z dnia 20 stycznia 2004 r. w sprawie kontroli koncentracji przedsiębiorstw (rozporządzenie WE w sprawie kontroli łączenia przedsiębiorstw)</w:t>
      </w:r>
      <w:r w:rsidR="00E92A31">
        <w:rPr>
          <w:rStyle w:val="FootnoteReference"/>
        </w:rPr>
        <w:footnoteReference w:id="3"/>
      </w:r>
      <w:r w:rsidRPr="00781E11">
        <w:t>,</w:t>
      </w:r>
    </w:p>
    <w:p w14:paraId="128B6AC5" w14:textId="310EF166" w:rsidR="00D12E6F" w:rsidRPr="00781E11" w:rsidRDefault="00D12E6F" w:rsidP="00D12E6F">
      <w:pPr>
        <w:pStyle w:val="NormalHanging"/>
      </w:pPr>
      <w:r w:rsidRPr="00781E11">
        <w:t>–</w:t>
      </w:r>
      <w:r w:rsidRPr="00781E11">
        <w:tab/>
        <w:t>uwzględniając wytyczne w sprawie oceny horyzontalnego połączenia przedsiębiorstw na mocy rozporządzenia Rady w sprawie kontroli koncentracji przedsiębiorstw</w:t>
      </w:r>
      <w:r w:rsidR="00E92A31">
        <w:rPr>
          <w:rStyle w:val="FootnoteReference"/>
        </w:rPr>
        <w:footnoteReference w:id="4"/>
      </w:r>
      <w:r w:rsidRPr="00781E11">
        <w:t>,</w:t>
      </w:r>
    </w:p>
    <w:p w14:paraId="098BB4AD" w14:textId="0F80E20D" w:rsidR="00D12E6F" w:rsidRPr="00781E11" w:rsidRDefault="00D12E6F" w:rsidP="00D12E6F">
      <w:pPr>
        <w:pStyle w:val="NormalHanging"/>
      </w:pPr>
      <w:r w:rsidRPr="00781E11">
        <w:lastRenderedPageBreak/>
        <w:t>–</w:t>
      </w:r>
      <w:r w:rsidRPr="00781E11">
        <w:tab/>
        <w:t>uwzględniając wytyczne w sprawie oceny niehoryzontalnych połączeń przedsiębiorstw na mocy rozporządzenia Rady w sprawie kontroli koncentracji przedsiębiorstw</w:t>
      </w:r>
      <w:r w:rsidR="00E92A31">
        <w:rPr>
          <w:rStyle w:val="FootnoteReference"/>
        </w:rPr>
        <w:footnoteReference w:id="5"/>
      </w:r>
      <w:r w:rsidRPr="00781E11">
        <w:t>,</w:t>
      </w:r>
    </w:p>
    <w:p w14:paraId="4F9F11A9" w14:textId="0C00EF5F" w:rsidR="00D12E6F" w:rsidRPr="00781E11" w:rsidRDefault="00D12E6F" w:rsidP="00D12E6F">
      <w:pPr>
        <w:pStyle w:val="NormalHanging"/>
      </w:pPr>
      <w:r w:rsidRPr="00781E11">
        <w:t>–</w:t>
      </w:r>
      <w:r w:rsidRPr="00781E11">
        <w:tab/>
        <w:t xml:space="preserve">uwzględniając sprawozdanie Maria </w:t>
      </w:r>
      <w:proofErr w:type="spellStart"/>
      <w:r w:rsidRPr="00781E11">
        <w:t>Draghiego</w:t>
      </w:r>
      <w:proofErr w:type="spellEnd"/>
      <w:r w:rsidRPr="00781E11">
        <w:t xml:space="preserve"> z </w:t>
      </w:r>
      <w:r w:rsidR="00E92A31">
        <w:t xml:space="preserve">dnia </w:t>
      </w:r>
      <w:r w:rsidRPr="00781E11">
        <w:t xml:space="preserve">9 września 2024 r. na temat przyszłości europejskiej konkurencyjności (sprawozdanie </w:t>
      </w:r>
      <w:proofErr w:type="spellStart"/>
      <w:r w:rsidRPr="00781E11">
        <w:t>Draghiego</w:t>
      </w:r>
      <w:proofErr w:type="spellEnd"/>
      <w:r w:rsidRPr="00781E11">
        <w:t>),</w:t>
      </w:r>
    </w:p>
    <w:p w14:paraId="24755ECE" w14:textId="302175A9" w:rsidR="00D12E6F" w:rsidRPr="00781E11" w:rsidRDefault="00D12E6F" w:rsidP="00D12E6F">
      <w:pPr>
        <w:pStyle w:val="NormalHanging"/>
      </w:pPr>
      <w:r w:rsidRPr="00781E11">
        <w:t>–</w:t>
      </w:r>
      <w:r w:rsidRPr="00781E11">
        <w:tab/>
        <w:t xml:space="preserve">uwzględniając swoją rezolucję z </w:t>
      </w:r>
      <w:r w:rsidR="00E92A31">
        <w:t xml:space="preserve">dnia </w:t>
      </w:r>
      <w:r w:rsidRPr="00781E11">
        <w:t xml:space="preserve">10 września 2025 r. w sprawie ułatwienia finansowania inwestycji i reform mających na celu poprawę konkurencyjności Europy i stworzenie unii rynków kapitałowych (sprawozdanie </w:t>
      </w:r>
      <w:proofErr w:type="spellStart"/>
      <w:r w:rsidRPr="00781E11">
        <w:t>Draghiego</w:t>
      </w:r>
      <w:proofErr w:type="spellEnd"/>
      <w:r w:rsidRPr="00781E11">
        <w:t>)</w:t>
      </w:r>
      <w:r w:rsidR="00E92A31">
        <w:rPr>
          <w:rStyle w:val="FootnoteReference"/>
        </w:rPr>
        <w:footnoteReference w:id="6"/>
      </w:r>
      <w:r w:rsidRPr="00781E11">
        <w:t>,</w:t>
      </w:r>
    </w:p>
    <w:p w14:paraId="45C2D994" w14:textId="244E302E" w:rsidR="00D12E6F" w:rsidRPr="00781E11" w:rsidRDefault="00D12E6F" w:rsidP="00D12E6F">
      <w:pPr>
        <w:pStyle w:val="NormalHanging"/>
      </w:pPr>
      <w:r w:rsidRPr="001B529C">
        <w:rPr>
          <w:lang w:val="en-GB"/>
        </w:rPr>
        <w:t>–</w:t>
      </w:r>
      <w:r w:rsidRPr="001B529C">
        <w:rPr>
          <w:lang w:val="en-GB"/>
        </w:rPr>
        <w:tab/>
      </w:r>
      <w:proofErr w:type="spellStart"/>
      <w:r w:rsidRPr="001B529C">
        <w:rPr>
          <w:lang w:val="en-GB"/>
        </w:rPr>
        <w:t>uwzględniając</w:t>
      </w:r>
      <w:proofErr w:type="spellEnd"/>
      <w:r w:rsidRPr="001B529C">
        <w:rPr>
          <w:lang w:val="en-GB"/>
        </w:rPr>
        <w:t xml:space="preserve"> </w:t>
      </w:r>
      <w:proofErr w:type="spellStart"/>
      <w:r w:rsidRPr="001B529C">
        <w:rPr>
          <w:lang w:val="en-GB"/>
        </w:rPr>
        <w:t>sprawozdanie</w:t>
      </w:r>
      <w:proofErr w:type="spellEnd"/>
      <w:r w:rsidRPr="001B529C">
        <w:rPr>
          <w:lang w:val="en-GB"/>
        </w:rPr>
        <w:t xml:space="preserve"> Enrica Letty z </w:t>
      </w:r>
      <w:proofErr w:type="spellStart"/>
      <w:r w:rsidR="00E92A31" w:rsidRPr="001B529C">
        <w:rPr>
          <w:lang w:val="en-GB"/>
        </w:rPr>
        <w:t>dnia</w:t>
      </w:r>
      <w:proofErr w:type="spellEnd"/>
      <w:r w:rsidR="00E92A31" w:rsidRPr="001B529C">
        <w:rPr>
          <w:lang w:val="en-GB"/>
        </w:rPr>
        <w:t xml:space="preserve"> </w:t>
      </w:r>
      <w:r w:rsidRPr="001B529C">
        <w:rPr>
          <w:lang w:val="en-GB"/>
        </w:rPr>
        <w:t xml:space="preserve">17 </w:t>
      </w:r>
      <w:proofErr w:type="spellStart"/>
      <w:r w:rsidRPr="001B529C">
        <w:rPr>
          <w:lang w:val="en-GB"/>
        </w:rPr>
        <w:t>kwietnia</w:t>
      </w:r>
      <w:proofErr w:type="spellEnd"/>
      <w:r w:rsidRPr="001B529C">
        <w:rPr>
          <w:lang w:val="en-GB"/>
        </w:rPr>
        <w:t xml:space="preserve"> 2024 r. </w:t>
      </w:r>
      <w:proofErr w:type="spellStart"/>
      <w:r w:rsidRPr="001B529C">
        <w:rPr>
          <w:lang w:val="en-GB"/>
        </w:rPr>
        <w:t>zatytułowane</w:t>
      </w:r>
      <w:proofErr w:type="spellEnd"/>
      <w:r w:rsidRPr="001B529C">
        <w:rPr>
          <w:lang w:val="en-GB"/>
        </w:rPr>
        <w:t xml:space="preserve"> „Much more than a market – Speed, Security, Solidarity: Empowering the Single Market to deliver a sustainable future and prosperity for all EU Citizens” [</w:t>
      </w:r>
      <w:proofErr w:type="spellStart"/>
      <w:r w:rsidRPr="001B529C">
        <w:rPr>
          <w:lang w:val="en-GB"/>
        </w:rPr>
        <w:t>Znacznie</w:t>
      </w:r>
      <w:proofErr w:type="spellEnd"/>
      <w:r w:rsidRPr="001B529C">
        <w:rPr>
          <w:lang w:val="en-GB"/>
        </w:rPr>
        <w:t xml:space="preserve"> </w:t>
      </w:r>
      <w:proofErr w:type="spellStart"/>
      <w:r w:rsidRPr="001B529C">
        <w:rPr>
          <w:lang w:val="en-GB"/>
        </w:rPr>
        <w:t>więcej</w:t>
      </w:r>
      <w:proofErr w:type="spellEnd"/>
      <w:r w:rsidRPr="001B529C">
        <w:rPr>
          <w:lang w:val="en-GB"/>
        </w:rPr>
        <w:t xml:space="preserve"> </w:t>
      </w:r>
      <w:proofErr w:type="spellStart"/>
      <w:r w:rsidRPr="001B529C">
        <w:rPr>
          <w:lang w:val="en-GB"/>
        </w:rPr>
        <w:t>niż</w:t>
      </w:r>
      <w:proofErr w:type="spellEnd"/>
      <w:r w:rsidRPr="001B529C">
        <w:rPr>
          <w:lang w:val="en-GB"/>
        </w:rPr>
        <w:t xml:space="preserve"> </w:t>
      </w:r>
      <w:proofErr w:type="spellStart"/>
      <w:r w:rsidRPr="001B529C">
        <w:rPr>
          <w:lang w:val="en-GB"/>
        </w:rPr>
        <w:t>rynek</w:t>
      </w:r>
      <w:proofErr w:type="spellEnd"/>
      <w:r w:rsidRPr="001B529C">
        <w:rPr>
          <w:lang w:val="en-GB"/>
        </w:rPr>
        <w:t xml:space="preserve">. </w:t>
      </w:r>
      <w:r w:rsidRPr="00781E11">
        <w:t xml:space="preserve">Szybkość, bezpieczeństwo, solidarność – wzmocnienie jednolitego rynku w celu zapewnienia zrównoważonej przyszłości i dobrobytu wszystkim obywatelom UE] (sprawozdanie </w:t>
      </w:r>
      <w:proofErr w:type="spellStart"/>
      <w:r w:rsidRPr="00781E11">
        <w:t>Letty</w:t>
      </w:r>
      <w:proofErr w:type="spellEnd"/>
      <w:r w:rsidRPr="00781E11">
        <w:t>),</w:t>
      </w:r>
    </w:p>
    <w:p w14:paraId="5F21ED50" w14:textId="350A68C8" w:rsidR="00D12E6F" w:rsidRPr="00781E11" w:rsidRDefault="00D12E6F" w:rsidP="00D12E6F">
      <w:pPr>
        <w:pStyle w:val="NormalHanging"/>
      </w:pPr>
      <w:r w:rsidRPr="00781E11">
        <w:t>–</w:t>
      </w:r>
      <w:r w:rsidRPr="00781E11">
        <w:tab/>
        <w:t xml:space="preserve">uwzględniając sprawozdanie </w:t>
      </w:r>
      <w:proofErr w:type="spellStart"/>
      <w:r w:rsidRPr="00781E11">
        <w:t>Jörga</w:t>
      </w:r>
      <w:proofErr w:type="spellEnd"/>
      <w:r w:rsidRPr="00781E11">
        <w:t xml:space="preserve"> </w:t>
      </w:r>
      <w:proofErr w:type="spellStart"/>
      <w:r w:rsidRPr="00781E11">
        <w:t>Kukiesa</w:t>
      </w:r>
      <w:proofErr w:type="spellEnd"/>
      <w:r w:rsidRPr="00781E11">
        <w:t xml:space="preserve"> i Christiana </w:t>
      </w:r>
      <w:proofErr w:type="spellStart"/>
      <w:r w:rsidRPr="00781E11">
        <w:t>Noyera</w:t>
      </w:r>
      <w:proofErr w:type="spellEnd"/>
      <w:r w:rsidRPr="00781E11">
        <w:t xml:space="preserve"> z </w:t>
      </w:r>
      <w:r w:rsidR="00E92A31">
        <w:t xml:space="preserve">dnia </w:t>
      </w:r>
      <w:r w:rsidRPr="00781E11">
        <w:t>19 stycznia 2026 r. zatytułowane „Finansowanie innowacyjnych przedsięwzięć w Europie”,</w:t>
      </w:r>
    </w:p>
    <w:p w14:paraId="3399FB24" w14:textId="00A42D96" w:rsidR="00D12E6F" w:rsidRPr="00781E11" w:rsidRDefault="00D12E6F" w:rsidP="00D12E6F">
      <w:pPr>
        <w:pStyle w:val="NormalHanging"/>
      </w:pPr>
      <w:r w:rsidRPr="00781E11">
        <w:t>–</w:t>
      </w:r>
      <w:r w:rsidRPr="00781E11">
        <w:tab/>
        <w:t xml:space="preserve">uwzględniając komunikat Komisji z </w:t>
      </w:r>
      <w:r w:rsidR="00E92A31">
        <w:t xml:space="preserve">dnia </w:t>
      </w:r>
      <w:r w:rsidRPr="00781E11">
        <w:t>29 stycznia 2025 r. zatytułowany „Kompas konkurencyjności dla UE” (COM(2025)0030),</w:t>
      </w:r>
    </w:p>
    <w:p w14:paraId="35446F31" w14:textId="32EE5951" w:rsidR="00D12E6F" w:rsidRPr="00781E11" w:rsidRDefault="00D12E6F" w:rsidP="00D12E6F">
      <w:pPr>
        <w:pStyle w:val="NormalHanging"/>
      </w:pPr>
      <w:r w:rsidRPr="00781E11">
        <w:t>–</w:t>
      </w:r>
      <w:r w:rsidRPr="00781E11">
        <w:tab/>
        <w:t xml:space="preserve">uwzględniając wniosek Komisji z </w:t>
      </w:r>
      <w:r w:rsidR="00E92A31">
        <w:t xml:space="preserve">dnia </w:t>
      </w:r>
      <w:r w:rsidRPr="00781E11">
        <w:t>21 stycznia 2026 r. dotyczący rozporządzenia Parlamentu Europejskiego i Rady w sprawie sieci cyfrowych, zmieniającego rozporządzenie (UE) 2015/2120, dyrektywę 2002/58/WE i decyzję nr 676/2002/WE oraz uchylającego rozporządzenie (UE) 2018/1971, dyrektywę (UE) 2018/1972 i decyzję nr 243/2012/UE (akt w sprawie sieci cyfrowych) (</w:t>
      </w:r>
      <w:r w:rsidR="00E92A31" w:rsidRPr="001B529C">
        <w:t>COM(2026)0016</w:t>
      </w:r>
      <w:r w:rsidRPr="00781E11">
        <w:t>),</w:t>
      </w:r>
    </w:p>
    <w:p w14:paraId="1D6A7FD9" w14:textId="4F54FE44" w:rsidR="00D12E6F" w:rsidRPr="00781E11" w:rsidRDefault="00D12E6F" w:rsidP="00D12E6F">
      <w:pPr>
        <w:pStyle w:val="NormalHanging"/>
      </w:pPr>
      <w:r w:rsidRPr="00781E11">
        <w:t>–</w:t>
      </w:r>
      <w:r w:rsidRPr="00781E11">
        <w:tab/>
        <w:t xml:space="preserve">uwzględniając sprawozdanie z </w:t>
      </w:r>
      <w:r w:rsidR="00E92A31">
        <w:t xml:space="preserve">dnia </w:t>
      </w:r>
      <w:r w:rsidRPr="00781E11">
        <w:t>29 października 2025 r. zatytułowane „Merytoryczne podsumowanie uwag otrzymanych podczas konsultacji społecznych dotyczących przeglądu wytycznych w sprawie połączeń horyzontalnych i niehoryzontalnych”,</w:t>
      </w:r>
    </w:p>
    <w:p w14:paraId="19B76188" w14:textId="6ADDEA3B" w:rsidR="00D12E6F" w:rsidRPr="00781E11" w:rsidRDefault="00D12E6F" w:rsidP="00D12E6F">
      <w:pPr>
        <w:pStyle w:val="NormalHanging"/>
      </w:pPr>
      <w:r w:rsidRPr="00781E11">
        <w:t>–</w:t>
      </w:r>
      <w:r w:rsidRPr="00781E11">
        <w:tab/>
        <w:t xml:space="preserve">uwzględniając dokument roboczy służb Komisji z </w:t>
      </w:r>
      <w:r w:rsidR="00E92A31">
        <w:t xml:space="preserve">dnia </w:t>
      </w:r>
      <w:r w:rsidRPr="00781E11">
        <w:t>13 października 2025 r. zatytułowany „Ocena obwieszczenia Komisji w sprawie zastosowania art. 87 i 88 Traktatu WE do pomocy państwa w formie gwarancji” (SWD(2025)0330),</w:t>
      </w:r>
    </w:p>
    <w:p w14:paraId="2B254CA3" w14:textId="443B9861" w:rsidR="00D12E6F" w:rsidRPr="00781E11" w:rsidRDefault="00D12E6F" w:rsidP="00D12E6F">
      <w:pPr>
        <w:pStyle w:val="NormalHanging"/>
      </w:pPr>
      <w:r w:rsidRPr="00781E11">
        <w:t>–</w:t>
      </w:r>
      <w:r w:rsidRPr="00781E11">
        <w:tab/>
        <w:t xml:space="preserve">uwzględniając dokument roboczy służb Komisji z </w:t>
      </w:r>
      <w:r w:rsidR="00E92A31">
        <w:t xml:space="preserve">dnia </w:t>
      </w:r>
      <w:r w:rsidRPr="00781E11">
        <w:t>13 października 2025 r. zatytułowany „Streszczenie oceny obwieszczenia Komisji w sprawie zastosowania art. 87 i 88 Traktatu WE do pomocy państwa w formie gwarancji” (SWD(2025)0331)”,</w:t>
      </w:r>
    </w:p>
    <w:p w14:paraId="50F9E5D3" w14:textId="4E6A98D3" w:rsidR="00D12E6F" w:rsidRPr="00781E11" w:rsidRDefault="00D12E6F" w:rsidP="00D12E6F">
      <w:pPr>
        <w:pStyle w:val="NormalHanging"/>
      </w:pPr>
      <w:r w:rsidRPr="00781E11">
        <w:t>–</w:t>
      </w:r>
      <w:r w:rsidRPr="00781E11">
        <w:tab/>
        <w:t>uwzględniając badanie Komisji zatytułowane „Ewaluacja ex post stosowania i skuteczności środków zaradczych UE”</w:t>
      </w:r>
      <w:r w:rsidR="00E92A31">
        <w:rPr>
          <w:rStyle w:val="FootnoteReference"/>
        </w:rPr>
        <w:footnoteReference w:id="7"/>
      </w:r>
      <w:r w:rsidRPr="00781E11">
        <w:t>,</w:t>
      </w:r>
    </w:p>
    <w:p w14:paraId="1DF2BCFA" w14:textId="634F77DB" w:rsidR="00D12E6F" w:rsidRPr="00781E11" w:rsidRDefault="00D12E6F" w:rsidP="00D12E6F">
      <w:pPr>
        <w:pStyle w:val="NormalHanging"/>
      </w:pPr>
      <w:r w:rsidRPr="00781E11">
        <w:t>–</w:t>
      </w:r>
      <w:r w:rsidRPr="00781E11">
        <w:tab/>
        <w:t xml:space="preserve">uwzględniając rozporządzenie Parlamentu Europejskiego i Rady (UE) 2022/2560 z dnia 14 grudnia 2022 r. w sprawie subsydiów zagranicznych zakłócających rynek </w:t>
      </w:r>
      <w:r w:rsidRPr="00781E11">
        <w:lastRenderedPageBreak/>
        <w:t>wewnętrzny</w:t>
      </w:r>
      <w:r w:rsidR="00E92A31">
        <w:rPr>
          <w:rStyle w:val="FootnoteReference"/>
        </w:rPr>
        <w:footnoteReference w:id="8"/>
      </w:r>
      <w:r w:rsidRPr="00781E11">
        <w:t xml:space="preserve"> (rozporządzenie w sprawie subsydiów zagranicznych),</w:t>
      </w:r>
    </w:p>
    <w:p w14:paraId="044876D3" w14:textId="200B0ED3" w:rsidR="00D12E6F" w:rsidRPr="00781E11" w:rsidRDefault="00D12E6F" w:rsidP="00D12E6F">
      <w:pPr>
        <w:pStyle w:val="NormalHanging"/>
      </w:pPr>
      <w:r w:rsidRPr="00781E11">
        <w:t>–</w:t>
      </w:r>
      <w:r w:rsidRPr="00781E11">
        <w:tab/>
        <w:t xml:space="preserve">uwzględniając komunikat Komisji z </w:t>
      </w:r>
      <w:r w:rsidR="00E92A31">
        <w:t xml:space="preserve">dnia </w:t>
      </w:r>
      <w:r w:rsidRPr="00781E11">
        <w:t>9 stycznia 2026 r. zatytułowany „Wytyczne dotyczące stosowania niektórych przepisów rozporządzenia Parlamentu Europejskiego i Rady (UE) 2022/2560 w sprawie subsydiów zagranicznych zakłócających rynek wewnętrzny”</w:t>
      </w:r>
      <w:r w:rsidR="00E92A31">
        <w:rPr>
          <w:rStyle w:val="FootnoteReference"/>
        </w:rPr>
        <w:footnoteReference w:id="9"/>
      </w:r>
      <w:r w:rsidRPr="00781E11">
        <w:t>,</w:t>
      </w:r>
    </w:p>
    <w:p w14:paraId="6B033260" w14:textId="7CE54F7E" w:rsidR="00D12E6F" w:rsidRPr="00781E11" w:rsidRDefault="00D12E6F" w:rsidP="00D12E6F">
      <w:pPr>
        <w:pStyle w:val="NormalHanging"/>
      </w:pPr>
      <w:r w:rsidRPr="00781E11">
        <w:t>–</w:t>
      </w:r>
      <w:r w:rsidRPr="00781E11">
        <w:tab/>
        <w:t xml:space="preserve">uwzględniając komunikat Komisji z </w:t>
      </w:r>
      <w:r w:rsidR="00E92A31">
        <w:t xml:space="preserve">dnia </w:t>
      </w:r>
      <w:r w:rsidRPr="00781E11">
        <w:t>26 lutego 2025 r. zatytułowany „Pakt dla czystego przemysłu: wspólny plan działania na rzecz konkurencyjności i dekarbonizacji” (</w:t>
      </w:r>
      <w:r w:rsidR="00E92A31" w:rsidRPr="001B529C">
        <w:t>COM(2025)0085</w:t>
      </w:r>
      <w:r w:rsidRPr="00781E11">
        <w:t>),</w:t>
      </w:r>
    </w:p>
    <w:p w14:paraId="74B06FC7" w14:textId="35094C95" w:rsidR="00D12E6F" w:rsidRPr="00781E11" w:rsidRDefault="00D12E6F" w:rsidP="00D12E6F">
      <w:pPr>
        <w:pStyle w:val="NormalHanging"/>
      </w:pPr>
      <w:r w:rsidRPr="00781E11">
        <w:t>–</w:t>
      </w:r>
      <w:r w:rsidRPr="00781E11">
        <w:tab/>
        <w:t>uwzględniając komunikat Komisja z 4 lipca 2025 r. zatytułowany „Ramy środków pomocy państwa na rzecz wsparcia Paktu dla czystego przemysłu (ramy pomocy państwa na potrzeby Paktu dla czystego przemysłu)”</w:t>
      </w:r>
      <w:r w:rsidR="00E92A31">
        <w:rPr>
          <w:rStyle w:val="FootnoteReference"/>
        </w:rPr>
        <w:footnoteReference w:id="10"/>
      </w:r>
      <w:r w:rsidRPr="00781E11">
        <w:t>,</w:t>
      </w:r>
    </w:p>
    <w:p w14:paraId="2FBD1C81" w14:textId="3F2A169B" w:rsidR="00D12E6F" w:rsidRPr="00781E11" w:rsidRDefault="00D12E6F" w:rsidP="00D12E6F">
      <w:pPr>
        <w:pStyle w:val="NormalHanging"/>
      </w:pPr>
      <w:r w:rsidRPr="00781E11">
        <w:t>–</w:t>
      </w:r>
      <w:r w:rsidRPr="00781E11">
        <w:tab/>
        <w:t xml:space="preserve">uwzględniając dokument roboczy służb Komisji z </w:t>
      </w:r>
      <w:r w:rsidR="00E92A31">
        <w:t xml:space="preserve">dnia </w:t>
      </w:r>
      <w:r w:rsidRPr="00781E11">
        <w:t>4 listopada 2025 r. towarzyszący komunikatowi Komisji w sprawie ram pomocy państwa na potrzeby Paktu dla czystego przemysłu (SWD(2025)0850),</w:t>
      </w:r>
    </w:p>
    <w:p w14:paraId="04FB5A68" w14:textId="489A1009" w:rsidR="00D12E6F" w:rsidRPr="00781E11" w:rsidRDefault="00D12E6F" w:rsidP="00D12E6F">
      <w:pPr>
        <w:pStyle w:val="NormalHanging"/>
      </w:pPr>
      <w:r w:rsidRPr="00781E11">
        <w:t>–</w:t>
      </w:r>
      <w:r w:rsidRPr="00781E11">
        <w:tab/>
        <w:t>uwzględniając decyzję Komisji (UE) 2025/2630 z dnia 16 grudnia 2025 r. w sprawie stosowania art. 106 ust. 2 Traktatu o funkcjonowaniu Unii Europejskiej do pomocy państwa w formie rekompensaty z tytułu świadczenia usług publicznych, przyznawanej przedsiębiorstwom zobowiązanym do wykonywania usług świadczonych w ogólnym interesie gospodarczym, i uchylającą decyzję 2012/21/UE</w:t>
      </w:r>
      <w:r w:rsidR="00E92A31">
        <w:rPr>
          <w:rStyle w:val="FootnoteReference"/>
        </w:rPr>
        <w:footnoteReference w:id="11"/>
      </w:r>
      <w:r w:rsidRPr="00781E11">
        <w:t xml:space="preserve"> (decyzja w sprawie UOIG); uwzględniając załącznik do tej decyzji,</w:t>
      </w:r>
    </w:p>
    <w:p w14:paraId="39C7FD95" w14:textId="0427882B" w:rsidR="00D12E6F" w:rsidRPr="00781E11" w:rsidRDefault="00D12E6F" w:rsidP="00D12E6F">
      <w:pPr>
        <w:pStyle w:val="NormalHanging"/>
      </w:pPr>
      <w:r w:rsidRPr="00781E11">
        <w:t>–</w:t>
      </w:r>
      <w:r w:rsidRPr="00781E11">
        <w:tab/>
        <w:t xml:space="preserve">uwzględniając sprawozdanie Komisji z </w:t>
      </w:r>
      <w:r w:rsidR="00E92A31">
        <w:t xml:space="preserve">dnia </w:t>
      </w:r>
      <w:r w:rsidRPr="00781E11">
        <w:t>5 maja 2026 r. zatytułowane „Sprawozdanie dotyczące polityki konkurencji za rok 2025” (</w:t>
      </w:r>
      <w:r w:rsidR="00E92A31" w:rsidRPr="001B529C">
        <w:t>COM(2026)0180</w:t>
      </w:r>
      <w:r w:rsidRPr="00781E11">
        <w:t>),</w:t>
      </w:r>
    </w:p>
    <w:p w14:paraId="485800A4" w14:textId="64332B8C" w:rsidR="00D12E6F" w:rsidRPr="00781E11" w:rsidRDefault="00D12E6F" w:rsidP="00D12E6F">
      <w:pPr>
        <w:pStyle w:val="NormalHanging"/>
      </w:pPr>
      <w:r w:rsidRPr="00781E11">
        <w:t>–</w:t>
      </w:r>
      <w:r w:rsidRPr="00781E11">
        <w:tab/>
        <w:t xml:space="preserve">uwzględniając sprawozdanie Europejskiego Urzędu Nadzoru Giełd i Papierów Wartościowych z </w:t>
      </w:r>
      <w:r w:rsidR="00E92A31">
        <w:t xml:space="preserve">dnia </w:t>
      </w:r>
      <w:r w:rsidRPr="00781E11">
        <w:t xml:space="preserve">18 grudnia 2025 r. zatytułowane „CRA Market </w:t>
      </w:r>
      <w:proofErr w:type="spellStart"/>
      <w:r w:rsidRPr="00781E11">
        <w:t>Share</w:t>
      </w:r>
      <w:proofErr w:type="spellEnd"/>
      <w:r w:rsidRPr="00781E11">
        <w:t xml:space="preserve"> Report: 2025 </w:t>
      </w:r>
      <w:proofErr w:type="spellStart"/>
      <w:r w:rsidRPr="00781E11">
        <w:t>edition</w:t>
      </w:r>
      <w:proofErr w:type="spellEnd"/>
      <w:r w:rsidRPr="00781E11">
        <w:t>” [Udział rynkowy agencji ratingowych: 2025],</w:t>
      </w:r>
    </w:p>
    <w:p w14:paraId="731D604D" w14:textId="77777777" w:rsidR="00D12E6F" w:rsidRPr="00781E11" w:rsidRDefault="00D12E6F" w:rsidP="00D12E6F">
      <w:pPr>
        <w:pStyle w:val="NormalHanging"/>
      </w:pPr>
      <w:r w:rsidRPr="00781E11">
        <w:t>–</w:t>
      </w:r>
      <w:r w:rsidRPr="00781E11">
        <w:tab/>
        <w:t>uwzględniając art. 55 Regulaminu,</w:t>
      </w:r>
    </w:p>
    <w:p w14:paraId="49046A2D" w14:textId="77777777" w:rsidR="00D12E6F" w:rsidRPr="00781E11" w:rsidRDefault="00D12E6F" w:rsidP="00D12E6F">
      <w:pPr>
        <w:pStyle w:val="NormalHanging"/>
      </w:pPr>
      <w:r w:rsidRPr="00781E11">
        <w:t>–</w:t>
      </w:r>
      <w:r w:rsidRPr="00781E11">
        <w:tab/>
        <w:t>uwzględniając sprawozdanie Komisji Gospodarczej i Monetarnej (A10-0171/2026),</w:t>
      </w:r>
    </w:p>
    <w:p w14:paraId="496A1218" w14:textId="77777777" w:rsidR="00D12E6F" w:rsidRPr="00781E11" w:rsidRDefault="00D12E6F" w:rsidP="00D12E6F">
      <w:pPr>
        <w:pStyle w:val="NormalHanging"/>
      </w:pPr>
      <w:r w:rsidRPr="00781E11">
        <w:t>A.</w:t>
      </w:r>
      <w:r w:rsidRPr="00781E11">
        <w:tab/>
        <w:t>mając na uwadze, że uczciwa i otwarta konkurencja jest zasadniczym elementem prawidłowego funkcjonowania jednolitego rynku, tworzenia miejsc pracy, ochrony konsumentów i rozwoju przedsiębiorstw, a w szczególności małych i średnich przedsiębiorstw (MŚP); mając na uwadze, że polityka konkurencji powinna mieć na celu przede wszystkim zapewnienie skutecznej konkurencji i dobrobytu konsumentów, a jednocześnie powinna pozostać spójna z innymi strategiami politycznymi UE;</w:t>
      </w:r>
    </w:p>
    <w:p w14:paraId="05450315" w14:textId="77777777" w:rsidR="00D12E6F" w:rsidRPr="00781E11" w:rsidRDefault="00D12E6F" w:rsidP="00D12E6F">
      <w:pPr>
        <w:pStyle w:val="NormalHanging"/>
      </w:pPr>
      <w:r w:rsidRPr="00781E11">
        <w:t>B.</w:t>
      </w:r>
      <w:r w:rsidRPr="00781E11">
        <w:tab/>
        <w:t>mając na uwadze, że unijna polityka konkurencji musi być przyszłościowa, wspierać rozwiązania i innowacje UE oraz chronić konsumentów;</w:t>
      </w:r>
    </w:p>
    <w:p w14:paraId="4393E05F" w14:textId="77777777" w:rsidR="00D12E6F" w:rsidRPr="00781E11" w:rsidRDefault="00D12E6F" w:rsidP="00D12E6F">
      <w:pPr>
        <w:pStyle w:val="NormalHanging"/>
      </w:pPr>
      <w:r w:rsidRPr="00781E11">
        <w:lastRenderedPageBreak/>
        <w:t>C.</w:t>
      </w:r>
      <w:r w:rsidRPr="00781E11">
        <w:tab/>
        <w:t>mając na uwadze, że MŚP stanowią trzon europejskiej gospodarki, zatem w polityce konkurencji trzeba uwzględniać ich szczególne potrzeby, dopilnowując, aby obowiązki w zakresie przestrzegania przepisów i procedury egzekwowania przepisów nie nakładały na nie nieproporcjonalnych obciążeń;</w:t>
      </w:r>
    </w:p>
    <w:p w14:paraId="1B1368A4" w14:textId="77777777" w:rsidR="00D12E6F" w:rsidRPr="00781E11" w:rsidRDefault="00D12E6F" w:rsidP="00D12E6F">
      <w:pPr>
        <w:pStyle w:val="NormalHanging"/>
      </w:pPr>
      <w:r w:rsidRPr="00781E11">
        <w:t>D.</w:t>
      </w:r>
      <w:r w:rsidRPr="00781E11">
        <w:tab/>
        <w:t>mając na uwadze, że ochrona jednolitego rynku wymaga ścisłych, solidnych, przewidywalnych i niedyskryminacyjnych reguł konkurencji, które są stosowane jednakowo do wszystkich uczestników rynku i które muszą być zabezpieczone przed wszelkiego rodzaju nadmiernym wpływem politycznym;</w:t>
      </w:r>
    </w:p>
    <w:p w14:paraId="52A22408" w14:textId="77777777" w:rsidR="00D12E6F" w:rsidRPr="00781E11" w:rsidRDefault="00D12E6F" w:rsidP="00D12E6F">
      <w:pPr>
        <w:pStyle w:val="NormalHanging"/>
      </w:pPr>
      <w:r w:rsidRPr="00781E11">
        <w:t>E.</w:t>
      </w:r>
      <w:r w:rsidRPr="00781E11">
        <w:tab/>
        <w:t>mając na uwadze, że wzrost koncentracji rynku ma wpływ na rozkład dochodów, a konkurencyjne rynki pomagają zapewnić szerszy udział w przyroście produktywności w obrębie całej gospodarki i wspierają trwałą konkurencyjność poprzez wzmocnienie siły nabywczej, popytu wewnętrznego i procesu tworzenia kapitału ludzkiego;</w:t>
      </w:r>
    </w:p>
    <w:p w14:paraId="314D398C" w14:textId="77777777" w:rsidR="00D12E6F" w:rsidRPr="00781E11" w:rsidRDefault="00D12E6F" w:rsidP="00D12E6F">
      <w:pPr>
        <w:pStyle w:val="NormalHanging"/>
      </w:pPr>
      <w:r w:rsidRPr="00781E11">
        <w:t>F.</w:t>
      </w:r>
      <w:r w:rsidRPr="00781E11">
        <w:tab/>
        <w:t>mając na uwadze, że niezależność instytucjonalna i operacyjna krajowych organów ochrony konkurencji i unijnych mechanizmów egzekwowania są niezbędnym warunkiem wiarygodności i efektywności polityki konkurencji; mając na uwadze, że ochrona procesów decyzyjnych tych organów przed wpływem politycznym lub presją ze strony sektora prywatnego ma zasadnicze znaczenie dla zapewnienia pewności prawa oraz dla ochrony praworządności i równych warunków działania na całym jednolitym rynku;</w:t>
      </w:r>
    </w:p>
    <w:p w14:paraId="7AA58640" w14:textId="77777777" w:rsidR="00D12E6F" w:rsidRPr="00781E11" w:rsidRDefault="00D12E6F" w:rsidP="00D12E6F">
      <w:pPr>
        <w:pStyle w:val="NormalHanging"/>
      </w:pPr>
      <w:r w:rsidRPr="00781E11">
        <w:t>G.</w:t>
      </w:r>
      <w:r w:rsidRPr="00781E11">
        <w:tab/>
        <w:t xml:space="preserve">mając na uwadze, że w sprawozdaniu </w:t>
      </w:r>
      <w:proofErr w:type="spellStart"/>
      <w:r w:rsidRPr="00781E11">
        <w:t>Draghiego</w:t>
      </w:r>
      <w:proofErr w:type="spellEnd"/>
      <w:r w:rsidRPr="00781E11">
        <w:t xml:space="preserve"> określono trzy główne obszary działania: po pierwsze – zlikwidowanie luki innowacyjnej, po drugie – ustanowienie łącznego planu, który zapewni zarówno dekarbonizację, jak i konkurencyjność, odzwierciedlającego silną bazę przemysłową i innowacyjną UE oraz jej przewagę komparatywną w zakresie zielonych technologii, a po trzecie – zwiększenie bezpieczeństwa i zmniejszenie zależności;</w:t>
      </w:r>
    </w:p>
    <w:p w14:paraId="3B1C2FA6" w14:textId="77777777" w:rsidR="00D12E6F" w:rsidRPr="00781E11" w:rsidRDefault="00D12E6F" w:rsidP="00D12E6F">
      <w:pPr>
        <w:pStyle w:val="NormalHanging"/>
      </w:pPr>
      <w:r w:rsidRPr="00781E11">
        <w:t>H.</w:t>
      </w:r>
      <w:r w:rsidRPr="00781E11">
        <w:tab/>
        <w:t>mając na uwadze, że w tym kontekście rozdrobniony rynek energii powoduje wzrost cen i osłabia konkurencję, a tymczasem obecne napięcia geopolityczne mogą jeszcze bardziej zwiększyć jego podatność na zagrożenia; mając na uwadze, że głębsza integracja wewnętrznego rynku energii, silniejsze połączenia międzysystemowe i skuteczne egzekwowanie prawa konkurencji mogą zwiększyć efektywność, odporność i transgraniczne uczestnictwo, zmniejszyć zależność od dostawców spoza UE i obniżyć koszty ponoszone przez konsumentów;</w:t>
      </w:r>
    </w:p>
    <w:p w14:paraId="435CCA72" w14:textId="77777777" w:rsidR="00D12E6F" w:rsidRPr="00781E11" w:rsidRDefault="00D12E6F" w:rsidP="00D12E6F">
      <w:pPr>
        <w:pStyle w:val="NormalHanging"/>
      </w:pPr>
      <w:r w:rsidRPr="00781E11">
        <w:t>I.</w:t>
      </w:r>
      <w:r w:rsidRPr="00781E11">
        <w:tab/>
        <w:t>mając na uwadze, że szybki rozwój sztucznej inteligencji (AI), w tym systemów generatywnej sztucznej inteligencji, znacznie zmienia dynamikę konkurencji, struktury rynku, łańcuchy wartości i dostęp użytkowników do usług cyfrowych w całej UE, co może mieć wpływ na konkurencję na rynkach cyfrowych;</w:t>
      </w:r>
    </w:p>
    <w:p w14:paraId="59CF5AC5" w14:textId="77777777" w:rsidR="00D12E6F" w:rsidRPr="00781E11" w:rsidRDefault="00D12E6F" w:rsidP="00D12E6F">
      <w:pPr>
        <w:pStyle w:val="Normal12a"/>
      </w:pPr>
      <w:r w:rsidRPr="00781E11">
        <w:rPr>
          <w:b/>
          <w:i/>
        </w:rPr>
        <w:t>Przywracanie autonomii strategicznej UE dzięki polityce konkurencji, innowacjom i suwerenności cyfrowej</w:t>
      </w:r>
    </w:p>
    <w:p w14:paraId="02DA0BDD" w14:textId="77777777" w:rsidR="00D12E6F" w:rsidRPr="00781E11" w:rsidRDefault="00D12E6F" w:rsidP="00D12E6F">
      <w:pPr>
        <w:pStyle w:val="NormalHanging12a"/>
      </w:pPr>
      <w:r w:rsidRPr="00781E11">
        <w:t>1.</w:t>
      </w:r>
      <w:r w:rsidRPr="00781E11">
        <w:tab/>
        <w:t xml:space="preserve">przypomina, że silne unijne reguły konkurencji i ich należyte egzekwowanie pozwalają zwiększyć konkurencyjność wszystkich branż; podkreśla, że polityki UE nie można prowadzić w izolacji, a problemów z konkurencyjnością nie można traktować jako niedociągnięć polityki konkurencji; przypomina, że unijne reguły konkurencji muszą być spójne z zasadami zapisanymi w traktatach i wspierać politykę UE, w tym strategie </w:t>
      </w:r>
      <w:r w:rsidRPr="00781E11">
        <w:lastRenderedPageBreak/>
        <w:t>w zakresie przemysłu, handlu, konsumentów i usług finansowych, a jednocześnie stanowić stabilne ramy sprzyjające inwestycjom, wzrostowi gospodarczemu i zdolności do zwiększania skali działalności na sprawiedliwych warunkach; podkreśla, że polityka konkurencji powinna przyczyniać się do integracji i pogłębienia europejskich rynków kapitałowych oraz sprzyjać celom unii oszczędności i inwestycji;</w:t>
      </w:r>
    </w:p>
    <w:p w14:paraId="0205DE07" w14:textId="77777777" w:rsidR="00D12E6F" w:rsidRPr="00781E11" w:rsidRDefault="00D12E6F" w:rsidP="00D12E6F">
      <w:pPr>
        <w:pStyle w:val="NormalHanging12a"/>
      </w:pPr>
      <w:r w:rsidRPr="00781E11">
        <w:t>2.</w:t>
      </w:r>
      <w:r w:rsidRPr="00781E11">
        <w:tab/>
        <w:t>podkreśla, że dobrze funkcjonująca konkurencja jest główną siłą napędową wzrostu produktywności i długoterminowej konkurencyjności w UE; zauważa, że skuteczniejsze egzekwowanie polityki konkurencji wiąże się z wyższą łączną produktywnością czynników produkcji oraz z bardziej efektywną alokacją pracy i kapitału; podkreśla w związku z tym, że skuteczna polityka konkurencji i jej egzekwowanie przyczyniają się do sprawiedliwych warunków zatrudnienia;</w:t>
      </w:r>
    </w:p>
    <w:p w14:paraId="362363A0" w14:textId="77777777" w:rsidR="00D12E6F" w:rsidRPr="00781E11" w:rsidRDefault="00D12E6F" w:rsidP="00D12E6F">
      <w:pPr>
        <w:pStyle w:val="NormalHanging12a"/>
      </w:pPr>
      <w:r w:rsidRPr="00781E11">
        <w:t>3.</w:t>
      </w:r>
      <w:r w:rsidRPr="00781E11">
        <w:tab/>
        <w:t xml:space="preserve">jest głęboko przekonany, że sprawozdania </w:t>
      </w:r>
      <w:proofErr w:type="spellStart"/>
      <w:r w:rsidRPr="00781E11">
        <w:t>Draghiego</w:t>
      </w:r>
      <w:proofErr w:type="spellEnd"/>
      <w:r w:rsidRPr="00781E11">
        <w:t xml:space="preserve"> i </w:t>
      </w:r>
      <w:proofErr w:type="spellStart"/>
      <w:r w:rsidRPr="00781E11">
        <w:t>Letty</w:t>
      </w:r>
      <w:proofErr w:type="spellEnd"/>
      <w:r w:rsidRPr="00781E11">
        <w:t xml:space="preserve"> powinny być przyczynkiem do wyznaczenia priorytetów w dziedzinie konkurencji, oraz wzywa, aby pilnie podjąć działania w związku z tymi sprawozdaniami; przyjmuje do wiadomości szacunki Maria </w:t>
      </w:r>
      <w:proofErr w:type="spellStart"/>
      <w:r w:rsidRPr="00781E11">
        <w:t>Draghiego</w:t>
      </w:r>
      <w:proofErr w:type="spellEnd"/>
      <w:r w:rsidRPr="00781E11">
        <w:t xml:space="preserve">, zgodnie z którymi ochrona konkurencyjności UE wymaga dodatkowych 800 mld EUR rocznie; podkreśla, że interesy konsumentów powinny pozostać centralnym elementem, lecz jednocześnie polityka konkurencji powinna przyczyniać się do realizacji kluczowych celów, takich jak konkurencyjność, odporność, bezpieczeństwo, strategiczna autonomia i zrównoważony rozwój; z zadowoleniem przyjmuje zawartą w sprawozdaniu </w:t>
      </w:r>
      <w:proofErr w:type="spellStart"/>
      <w:r w:rsidRPr="00781E11">
        <w:t>Draghiego</w:t>
      </w:r>
      <w:proofErr w:type="spellEnd"/>
      <w:r w:rsidRPr="00781E11">
        <w:t xml:space="preserve"> propozycję dotyczącą elastycznego instrumentu badania rynku („nowe narzędzie konkurencji”), mającego na celu zaradzenie niedoskonałościom rynku, którym nie można skutecznie zaradzić na mocy obowiązujących art. 101 i 102 TFUE; zauważa, że podobne narzędzia zostały już z powodzeniem wdrożone w państwach członkowskich, i sugeruje, że nowe narzędzie konkurencji na poziomie UE mogłoby pomóc w rozwiązaniu problemów strukturalnych związanych z konkurencją w całej UE; wzywa Komisję do wprowadzenia takiego narzędzia jako uzupełnienia istniejących ram;</w:t>
      </w:r>
    </w:p>
    <w:p w14:paraId="06B1BAA1" w14:textId="77777777" w:rsidR="00D12E6F" w:rsidRPr="00781E11" w:rsidRDefault="00D12E6F" w:rsidP="00D12E6F">
      <w:pPr>
        <w:pStyle w:val="NormalHanging12a"/>
      </w:pPr>
      <w:r w:rsidRPr="00781E11">
        <w:t>4.</w:t>
      </w:r>
      <w:r w:rsidRPr="00781E11">
        <w:tab/>
        <w:t>uznaje potrzebę wzmocnienia bazy przemysłowej europejskiego sektora obronnego; podkreśla, że polityka konkurencji musi zapewniać sprawiedliwy dostęp MŚP oraz zapobiegać nadmiernej koncentracji w łańcuchach dostaw sektora obronnego, która może zmniejszyć jego odporność i zwiększyć zależność;</w:t>
      </w:r>
    </w:p>
    <w:p w14:paraId="6B516596" w14:textId="77777777" w:rsidR="00D12E6F" w:rsidRPr="00781E11" w:rsidRDefault="00D12E6F" w:rsidP="00D12E6F">
      <w:pPr>
        <w:pStyle w:val="NormalHanging12a"/>
      </w:pPr>
      <w:r w:rsidRPr="00781E11">
        <w:t>5.</w:t>
      </w:r>
      <w:r w:rsidRPr="00781E11">
        <w:tab/>
        <w:t>ponownie podkreśla zasadniczą rolę MŚP we wzmacnianiu europejskiej konkurencyjności, propagowaniu innowacji i tworzeniu miejsc pracy; wzywa Komisję do dopilnowania, aby przy egzekwowaniu reguł konkurencji i polityki cyfrowej uwzględniać ich wpływ na MŚP;</w:t>
      </w:r>
    </w:p>
    <w:p w14:paraId="2CB3270D" w14:textId="51A3CBCA" w:rsidR="00D12E6F" w:rsidRPr="00781E11" w:rsidRDefault="00D12E6F" w:rsidP="00D12E6F">
      <w:pPr>
        <w:pStyle w:val="NormalHanging12a"/>
      </w:pPr>
      <w:r w:rsidRPr="00781E11">
        <w:t>6.</w:t>
      </w:r>
      <w:r w:rsidRPr="00781E11">
        <w:tab/>
        <w:t xml:space="preserve">podkreśla, jak ważne dla ochrony konkurencyjności UE jest obniżenie kosztów energii, propagowanie neutralnych emisyjnie źródeł energii zgodnie z aktem delegowanym w </w:t>
      </w:r>
      <w:r w:rsidRPr="00781E11">
        <w:lastRenderedPageBreak/>
        <w:t>sprawie systematyki dotyczącej zmiany klimatu</w:t>
      </w:r>
      <w:r w:rsidR="00E92A31">
        <w:rPr>
          <w:rStyle w:val="FootnoteReference"/>
        </w:rPr>
        <w:footnoteReference w:id="12"/>
      </w:r>
      <w:r w:rsidRPr="00781E11">
        <w:t xml:space="preserve"> i uzupełniającym aktem delegowanym w sprawie systematyki dotyczącej zmiany klimatu</w:t>
      </w:r>
      <w:r w:rsidR="00E92A31">
        <w:rPr>
          <w:rStyle w:val="FootnoteReference"/>
        </w:rPr>
        <w:footnoteReference w:id="13"/>
      </w:r>
      <w:r w:rsidRPr="00781E11">
        <w:t>, a jednocześnie dbanie o równowagę między otwartym, konkurencyjnym i zrównoważonym jednolitym rynkiem a bezpieczeństwem dostaw i większą autonomią energetyczną UE; podkreśla, że sprawiedliwe, prawidłowo funkcjonujące, konkurencyjne, zintegrowane i wzajemnie połączone rynki energii elektrycznej mają zasadnicze znaczenie dla wzmocnienia konkurencyjności przemysłowej UE oraz dla wspierania stabilniejszych i bardziej przystępnych cen energii; podkreśla znaczenie skutecznego egzekwowania reguł konkurencji względem infrastruktury energetycznej i dostępu do sieci, aby chronić prawidłowe funkcjonowanie jednolitego rynku oraz zagwarantować uczciwe ceny i lepszą ochronę konsumentów;</w:t>
      </w:r>
    </w:p>
    <w:p w14:paraId="6FEDE56D" w14:textId="35CC2034" w:rsidR="00D12E6F" w:rsidRPr="00781E11" w:rsidRDefault="00D12E6F" w:rsidP="00D12E6F">
      <w:pPr>
        <w:pStyle w:val="NormalHanging12a"/>
      </w:pPr>
      <w:r w:rsidRPr="00781E11">
        <w:t>7.</w:t>
      </w:r>
      <w:r w:rsidRPr="00781E11">
        <w:tab/>
        <w:t>odnotowuje strategiczną rolę surowców krytycznych w transformacji energetycznej oraz celów europejskiego aktu w sprawie surowców krytycznych</w:t>
      </w:r>
      <w:r w:rsidR="00E92A31">
        <w:rPr>
          <w:rStyle w:val="FootnoteReference"/>
        </w:rPr>
        <w:footnoteReference w:id="14"/>
      </w:r>
      <w:r w:rsidRPr="00781E11">
        <w:t xml:space="preserve"> w zmniejszaniu zależności geopolitycznych i wzmacnianiu odporności łańcucha dostaw, a także apeluje o wspieranie w ramach polityki konkurencji konkurencyjnych rynków w całym łańcuchu wartości i inwestycji ogólnoeuropejskich;</w:t>
      </w:r>
    </w:p>
    <w:p w14:paraId="14878049" w14:textId="77777777" w:rsidR="00D12E6F" w:rsidRPr="00781E11" w:rsidRDefault="00D12E6F" w:rsidP="00D12E6F">
      <w:pPr>
        <w:pStyle w:val="NormalHanging12a"/>
      </w:pPr>
      <w:r w:rsidRPr="00781E11">
        <w:t>8.</w:t>
      </w:r>
      <w:r w:rsidRPr="00781E11">
        <w:tab/>
        <w:t xml:space="preserve">podkreśla kluczową rolę konkurencji w tworzeniu alternatyw na rynku cyfrowym oraz w zmniejszaniu zależności od dostawców spoza UE i ograniczaniu ich dominacji; zachęca do budowy kluczowej infrastruktury, która zwiększy autonomię i innowacyjność Europy – a do takiej infrastruktury zaliczają się m.in. usługi w chmurze, infrastruktura AI (łączność i ośrodki przetwarzania danych), infrastruktura rynku finansowego oraz odporne, </w:t>
      </w:r>
      <w:proofErr w:type="spellStart"/>
      <w:r w:rsidRPr="00781E11">
        <w:t>interoperacyjne</w:t>
      </w:r>
      <w:proofErr w:type="spellEnd"/>
      <w:r w:rsidRPr="00781E11">
        <w:t xml:space="preserve"> i konkurencyjne europejskie systemy płatności – w trosce o zapewnienie otwartości i </w:t>
      </w:r>
      <w:proofErr w:type="spellStart"/>
      <w:r w:rsidRPr="00781E11">
        <w:t>kontestowalności</w:t>
      </w:r>
      <w:proofErr w:type="spellEnd"/>
      <w:r w:rsidRPr="00781E11">
        <w:t xml:space="preserve"> rynków oraz zredukowanie strategicznych zależności; zauważa ewoluujące praktyki biznesowe i struktury rynkowe oraz potencjalne nowe formy szkodliwych </w:t>
      </w:r>
      <w:proofErr w:type="spellStart"/>
      <w:r w:rsidRPr="00781E11">
        <w:t>zachowań</w:t>
      </w:r>
      <w:proofErr w:type="spellEnd"/>
      <w:r w:rsidRPr="00781E11">
        <w:t>, takie jak cicha zmowa i zmowa algorytmiczna w sprawie cen, oraz podkreśla potrzebę dostosowania priorytetów w egzekwowaniu przepisów do tego zmieniającego się krajobrazu, w oparciu o analizę i dowody oparte na danych;</w:t>
      </w:r>
    </w:p>
    <w:p w14:paraId="2D512366" w14:textId="77777777" w:rsidR="00D12E6F" w:rsidRPr="00781E11" w:rsidRDefault="00D12E6F" w:rsidP="00D12E6F">
      <w:pPr>
        <w:pStyle w:val="NormalHanging12a"/>
      </w:pPr>
      <w:r w:rsidRPr="00781E11">
        <w:lastRenderedPageBreak/>
        <w:t>9.</w:t>
      </w:r>
      <w:r w:rsidRPr="00781E11">
        <w:tab/>
        <w:t>apeluje o zapewnienie równych warunków działania w sektorach strategicznych oraz o wykorzystywanie przez UE wszystkich dostępnych narzędzi, w tym rozporządzenia w sprawie subsydiów zagranicznych, przepisów dotyczących zamówień publicznych i solidnych ram przeglądu łączenia przedsiębiorstw unijnych, aby zapewnić przedsiębiorstwom możliwość konkurowania na podstawie kryteriów merytorycznych oraz aby zagraniczne subsydia nie dawały przewagi uczestnikom rynku z państw spoza UE; podkreśla wagę wzmocnienia odporności, dywersyfikacji i bezpieczeństwa europejskich łańcuchów dostaw w sektorach strategicznych, propagujących w stosownych przypadkach europejskie zdolności i rozwiązania, bez uszczerbku dla otwartych rynków;</w:t>
      </w:r>
    </w:p>
    <w:p w14:paraId="1CC7C058" w14:textId="77777777" w:rsidR="00D12E6F" w:rsidRPr="00781E11" w:rsidRDefault="00D12E6F" w:rsidP="00D12E6F">
      <w:pPr>
        <w:pStyle w:val="NormalHanging12a"/>
      </w:pPr>
      <w:r w:rsidRPr="00781E11">
        <w:t>10.</w:t>
      </w:r>
      <w:r w:rsidRPr="00781E11">
        <w:tab/>
        <w:t>podkreśla, że organy ochrony konkurencji potrzebują bardziej dostępnych danych, aby skutecznie egzekwować prawo konkurencji; podkreśla znaczenie sprawniejszego gromadzenia danych, ułatwiania krajowym organom ochrony konkurencji dostępu do danych dotyczących zamówień publicznych oraz wzmocnienia mechanizmów wykrywania nadużyć finansowych w ramach egzekwowania przez te organy polityki konkurencji; wzywa ponadto organy ochrony konkurencji do promowania uproszczonych procedur, do zwiększenia przejrzystości i do ułatwienia dostępu do rynku nowo powstającym MŚP;</w:t>
      </w:r>
    </w:p>
    <w:p w14:paraId="362AC3F7" w14:textId="77777777" w:rsidR="00D12E6F" w:rsidRPr="00781E11" w:rsidRDefault="00D12E6F" w:rsidP="00D12E6F">
      <w:pPr>
        <w:pStyle w:val="NormalHanging12a"/>
      </w:pPr>
      <w:r w:rsidRPr="00781E11">
        <w:t>11.</w:t>
      </w:r>
      <w:r w:rsidRPr="00781E11">
        <w:tab/>
        <w:t>zaznacza, jak istotne dla finansowania dużych projektów strategicznych UE są ważne projekty stanowiące przedmiot wspólnego europejskiego zainteresowania (IPCEI); wzywa Komisję, aby usprawniła i uprościła procedury zgłaszania projektów IPCEI, gdyż są uciążliwe, zwłaszcza dla MŚP, a także zagwarantowała przewidywalność, ustanowiła jasne i przewidywalne kryteria dopuszczalności oraz zwiększyła przejrzystość i pewność prawa w całym procesie oceny;</w:t>
      </w:r>
    </w:p>
    <w:p w14:paraId="21ACA5F6" w14:textId="77777777" w:rsidR="00D12E6F" w:rsidRPr="00781E11" w:rsidRDefault="00D12E6F" w:rsidP="00D12E6F">
      <w:pPr>
        <w:pStyle w:val="NormalHanging12a"/>
      </w:pPr>
      <w:r w:rsidRPr="00781E11">
        <w:t>12.</w:t>
      </w:r>
      <w:r w:rsidRPr="00781E11">
        <w:tab/>
        <w:t>z zadowoleniem przyjmuje egzekwowanie FSR będącego narzędziem niezbędnym do stworzenia równych warunków działania i do wyeliminowania zakłóceń na rynku spowodowanych przez zagraniczne subsydia; z zadowoleniem przyjmuje wytyczne dotyczące FSR; stwierdza, że pomoc państwa niedozwolona na mocy traktatów UE nie powinna być również dozwolona ze strony państw spoza UE; apeluje o rygorystyczną ocenę zakłóceń konkurencji na podstawie FSR oraz o odpowiednie monitorowanie bezpośrednich inwestycji zagranicznych równolegle ze stosowaniem tradycyjnych instrumentów ochrony handlu; wzywa Komisję do ściślejszego egzekwowania FSR w odniesieniu do platform internetowych i platform handlowych mających siedzibę w państwach spoza UE; wzywa Komisję do dopilnowania, aby MŚP oraz mniejsze transakcje nie były w nieproporcjonalnym stopniu obciążone obowiązkami nałożonymi rozporządzeniem FSR;</w:t>
      </w:r>
    </w:p>
    <w:p w14:paraId="77678FED" w14:textId="77777777" w:rsidR="00D12E6F" w:rsidRPr="00781E11" w:rsidRDefault="00D12E6F" w:rsidP="00D12E6F">
      <w:pPr>
        <w:pStyle w:val="NormalHanging12a"/>
      </w:pPr>
      <w:r w:rsidRPr="00781E11">
        <w:t>13.</w:t>
      </w:r>
      <w:r w:rsidRPr="00781E11">
        <w:tab/>
        <w:t>podkreśla, że zgodnie z najnowszym badaniem Eurobarometr i z powyborczym badaniem Eurobarometr z 2024 r. Europejczycy oczekują, że Unia priorytetowo potraktuje inflację, rosnące ceny i koszty utrzymania; podkreśla, że zapewnienie uczciwej i efektywnej konkurencji jest ważnym elementem w stawianiu czoła tym wyzwaniom i w związku z tym powinno pozostać priorytetem polityki konkurencji;</w:t>
      </w:r>
    </w:p>
    <w:p w14:paraId="5B0974D3" w14:textId="77777777" w:rsidR="00D12E6F" w:rsidRPr="00781E11" w:rsidRDefault="00D12E6F" w:rsidP="00D12E6F">
      <w:pPr>
        <w:pStyle w:val="NormalHanging12a"/>
      </w:pPr>
      <w:r w:rsidRPr="00781E11">
        <w:t>14.</w:t>
      </w:r>
      <w:r w:rsidRPr="00781E11">
        <w:tab/>
        <w:t xml:space="preserve">podkreśla, że rygorystyczne i spójne egzekwowanie polityki konkurencji przyczynia się do wzmocnienia spójności gospodarczej, społecznej i terytorialnej w całej UE i w jej regionach najbardziej oddalonych; zauważa utrzymujące się różnice gospodarcze i infrastrukturalne między regionami śródlądowymi, wiejskimi, peryferyjnymi, najbardziej oddalonymi i wyspiarskimi oraz wzywa Komisję do uwzględniania wpływu </w:t>
      </w:r>
      <w:r w:rsidRPr="00781E11">
        <w:lastRenderedPageBreak/>
        <w:t>decyzji dotyczących konkurencji na różne terytoria, aby sprzyjać odpowiedniej polityce spójności towarzyszącej rozwojowi jednolitego rynku, jednocześnie dbając o jednolite stosowanie reguł konkurencji;</w:t>
      </w:r>
    </w:p>
    <w:p w14:paraId="14D3BB11" w14:textId="1B8FE05B" w:rsidR="00D12E6F" w:rsidRPr="00781E11" w:rsidRDefault="00D12E6F" w:rsidP="00D12E6F">
      <w:pPr>
        <w:pStyle w:val="NormalHanging12a"/>
      </w:pPr>
      <w:r w:rsidRPr="00781E11">
        <w:t>15.</w:t>
      </w:r>
      <w:r w:rsidRPr="00781E11">
        <w:tab/>
        <w:t>z zadowoleniem przyjmuje podpisanie umowy o współpracy w dziedzinie konkurencji między UE a Zjednoczonym Królestwem</w:t>
      </w:r>
      <w:r w:rsidR="00E92A31">
        <w:rPr>
          <w:rStyle w:val="FootnoteReference"/>
        </w:rPr>
        <w:footnoteReference w:id="15"/>
      </w:r>
      <w:r w:rsidRPr="00781E11">
        <w:t>, która stanowi kluczowy krok ku wzmocnieniu koordynacji między odpowiednimi organami ochrony konkurencji;</w:t>
      </w:r>
    </w:p>
    <w:p w14:paraId="19BC2AAF" w14:textId="77777777" w:rsidR="00D12E6F" w:rsidRPr="00781E11" w:rsidRDefault="00D12E6F" w:rsidP="00D12E6F">
      <w:pPr>
        <w:pStyle w:val="Normal12a"/>
      </w:pPr>
      <w:r w:rsidRPr="00781E11">
        <w:rPr>
          <w:b/>
          <w:i/>
        </w:rPr>
        <w:t>Bardziej niezależne i skuteczniejsze egzekwowanie reguł konkurencji w UE</w:t>
      </w:r>
    </w:p>
    <w:p w14:paraId="62BE3531" w14:textId="77777777" w:rsidR="00D12E6F" w:rsidRPr="00781E11" w:rsidRDefault="00D12E6F" w:rsidP="00D12E6F">
      <w:pPr>
        <w:pStyle w:val="NormalHanging12a"/>
      </w:pPr>
      <w:r w:rsidRPr="00781E11">
        <w:t>16.</w:t>
      </w:r>
      <w:r w:rsidRPr="00781E11">
        <w:tab/>
        <w:t>wzywa Komisję do zbadania możliwości zwiększenia niezależności w egzekwowaniu unijnych reguł konkurencji;</w:t>
      </w:r>
    </w:p>
    <w:p w14:paraId="360B8CCA" w14:textId="77777777" w:rsidR="00D12E6F" w:rsidRPr="00781E11" w:rsidRDefault="00D12E6F" w:rsidP="00D12E6F">
      <w:pPr>
        <w:pStyle w:val="NormalHanging12a"/>
      </w:pPr>
      <w:r w:rsidRPr="00781E11">
        <w:t>17.</w:t>
      </w:r>
      <w:r w:rsidRPr="00781E11">
        <w:tab/>
        <w:t>podkreśla, że wzmocnienie istniejących zdolności w zakresie egzekwowania prawa ma zasadnicze znaczenie w perspektywie krótkoterminowej; wzywa Komisję do pilnego zadbania o zapewnienie Dyrekcji Generalnej ds. Konkurencji wystarczających zasobów i fachowej wiedzy technicznej, aby mogła skutecznie egzekwować prawo ochrony konkurencji, akt o rynkach cyfrowych (DMA) i przepisy dotyczące łączenia przedsiębiorstw;</w:t>
      </w:r>
    </w:p>
    <w:p w14:paraId="7425021D" w14:textId="77777777" w:rsidR="00D12E6F" w:rsidRPr="00781E11" w:rsidRDefault="00D12E6F" w:rsidP="00D12E6F">
      <w:pPr>
        <w:pStyle w:val="NormalHanging12a"/>
      </w:pPr>
      <w:r w:rsidRPr="00781E11">
        <w:t>18.</w:t>
      </w:r>
      <w:r w:rsidRPr="00781E11">
        <w:tab/>
        <w:t>podkreśla, jak ważne jest, by egzekwowanie przepisów dotyczących konkurencji odbywało się w sposób bezstronny i niezależny politycznie; wzywa Komisję do przedstawienia oceny skutków dotyczącej zalet ustanowienia specjalnego europejskiego organu ochrony konkurencji, z uwzględnieniem zasady pomocniczości, właściwego rozdzielenia funkcji w zakresie konkurencji i funkcji regulacyjnych, demokratycznej rozliczalności przed Parlamentem oraz potencjalnych konsekwencji dla Europejskiej Sieci Konkurencji; podkreśla, że należycie liczny personel takiego organu powinien mieć odpowiednie kwalifikacje i szerokie uprawnienia;</w:t>
      </w:r>
    </w:p>
    <w:p w14:paraId="4ACEFF7B" w14:textId="77777777" w:rsidR="00D12E6F" w:rsidRPr="00781E11" w:rsidRDefault="00D12E6F" w:rsidP="00D12E6F">
      <w:pPr>
        <w:pStyle w:val="Normal12a"/>
      </w:pPr>
      <w:r w:rsidRPr="00781E11">
        <w:rPr>
          <w:b/>
          <w:i/>
        </w:rPr>
        <w:t>Konkurencja w epoce cyfrowej i egzekwowanie DMA w obliczu globalnych wyzwań</w:t>
      </w:r>
    </w:p>
    <w:p w14:paraId="022BEFB9" w14:textId="77777777" w:rsidR="00D12E6F" w:rsidRPr="00781E11" w:rsidRDefault="00D12E6F" w:rsidP="00D12E6F">
      <w:pPr>
        <w:pStyle w:val="NormalHanging12a"/>
      </w:pPr>
      <w:r w:rsidRPr="00781E11">
        <w:t>19.</w:t>
      </w:r>
      <w:r w:rsidRPr="00781E11">
        <w:tab/>
        <w:t>wzywa Komisję, by w pełni egzekwowała unijne reguły konkurencji, w tym DMA, w sposób spójny, bezstronny i rzetelny pod względem prawnym, aby chronić autonomię regulacyjną Europy w obliczu nacisków politycznych; z zaniepokojeniem odnotowuje zewnętrzną presję związaną z DMA i ostrzega przed ingerencją zagraniczną;</w:t>
      </w:r>
    </w:p>
    <w:p w14:paraId="6A983E1B" w14:textId="77777777" w:rsidR="00D12E6F" w:rsidRPr="00781E11" w:rsidRDefault="00D12E6F" w:rsidP="00D12E6F">
      <w:pPr>
        <w:pStyle w:val="NormalHanging12a"/>
      </w:pPr>
      <w:r w:rsidRPr="00781E11">
        <w:t>20.</w:t>
      </w:r>
      <w:r w:rsidRPr="00781E11">
        <w:tab/>
        <w:t xml:space="preserve">podkreśla, że reguły te można skutecznie egzekwować tylko, jeżeli przepisy dotyczące nadużycia pozycji dominującej (art. 102 TFUE) i DMA będą się uzupełniały, łącząc podejścia ex </w:t>
      </w:r>
      <w:proofErr w:type="spellStart"/>
      <w:r w:rsidRPr="00781E11">
        <w:t>ante</w:t>
      </w:r>
      <w:proofErr w:type="spellEnd"/>
      <w:r w:rsidRPr="00781E11">
        <w:t xml:space="preserve"> i ex post; wzywa Komisję, by uprościła i lepiej formułowała unijne reguły konkurencji i prawo cyfrowe;</w:t>
      </w:r>
    </w:p>
    <w:p w14:paraId="6D9390F6" w14:textId="77777777" w:rsidR="00D12E6F" w:rsidRPr="00781E11" w:rsidRDefault="00D12E6F" w:rsidP="00D12E6F">
      <w:pPr>
        <w:pStyle w:val="NormalHanging12a"/>
      </w:pPr>
      <w:r w:rsidRPr="00781E11">
        <w:t>21.</w:t>
      </w:r>
      <w:r w:rsidRPr="00781E11">
        <w:tab/>
        <w:t xml:space="preserve">z zadowoleniem przyjmuje opublikowanie 28 kwietnia 2026 r. przez Komisję sprawozdania z przeglądu DMA; odnotowuje wniosek Komisji z tego pierwszego przeglądu DMA, że ten akt jest adekwatny do celów i na razie nie wymaga zmiany, chociaż określiła ona w nim konkretne obszary, na których trzeba będzie się skupić w przyszłości, a mianowicie AI i usługi przetwarzania w chmurze, a jednocześnie </w:t>
      </w:r>
      <w:r w:rsidRPr="00781E11">
        <w:lastRenderedPageBreak/>
        <w:t>podkreśliła, że DMA nie należy postrzegać w oderwaniu od narzędzi regulacyjnych mających na celu objęcie zakresem stosowania łańcucha wartości AI lub chmury obliczeniowej;</w:t>
      </w:r>
    </w:p>
    <w:p w14:paraId="512D2793" w14:textId="77777777" w:rsidR="00D12E6F" w:rsidRPr="00781E11" w:rsidRDefault="00D12E6F" w:rsidP="00D12E6F">
      <w:pPr>
        <w:pStyle w:val="NormalHanging12a"/>
      </w:pPr>
      <w:r w:rsidRPr="00781E11">
        <w:t>22.</w:t>
      </w:r>
      <w:r w:rsidRPr="00781E11">
        <w:tab/>
        <w:t>apeluje, aby proces przeglądu DMA, który ma się odbywać co trzy lata, był przejrzysty, oparty na dowodach, proporcjonalny, ukierunkowany i ambitny, a jednocześnie gwarantował stabilność regulacyjną i niepotrzebnie nie rozszerzał obowiązków uczestników rynku; nalega, aby w przeprowadzanym co trzy lata przeglądzie DMA systematycznie badać efektywność i praktyczny wpływ istniejących obowiązków, pewność prawa dla uczestników rynku, koszty przestrzegania przepisów, interakcję DMA z regulacjami sektorowymi oraz potrzebę ewentualnego dostosowania progów wyznaczania strażników dostępu w świetle rozwoju sytuacji rynkowej; wzywa Komisję do systematycznego uwzględniania MŚP w konsultacjach dotyczących przeglądu DMA;</w:t>
      </w:r>
    </w:p>
    <w:p w14:paraId="4C541622" w14:textId="4DFF39EC" w:rsidR="00D12E6F" w:rsidRPr="00781E11" w:rsidRDefault="00D12E6F" w:rsidP="00D12E6F">
      <w:pPr>
        <w:pStyle w:val="NormalHanging12a"/>
      </w:pPr>
      <w:r w:rsidRPr="00781E11">
        <w:t>23.</w:t>
      </w:r>
      <w:r w:rsidRPr="00781E11">
        <w:tab/>
      </w:r>
      <w:r w:rsidR="001B529C" w:rsidRPr="001B529C">
        <w:t xml:space="preserve">podkreśla, że rosnąca koncentracja usług w chmurze może osłabić konkurencję, innowacje i autonomię strategiczną UE; podkreśla, że praktyki takie jak sprzedaż łączona, rynki usług w chmurze i mechanizmy umowne, w tym zobowiązania dotyczące kredytów i wydatków, mogą wzmocnić uzależnienie od jednego dostawcy i ograniczyć możliwość zmiany dostawcy lub strategie wielochmurowe; podkreśla, że obowiązki dotyczące usług w chmurze wymagają aktualizacji; zauważa, że w następstwie badań rynku usług przetwarzania w chmurze, które rozpoczęto w listopadzie 2025 r., 25 czerwca 2026 r. Komisja opublikowała wstępne stanowisko, w którym oświadczyła, że Microsoft </w:t>
      </w:r>
      <w:proofErr w:type="spellStart"/>
      <w:r w:rsidR="001B529C" w:rsidRPr="001B529C">
        <w:t>Azure</w:t>
      </w:r>
      <w:proofErr w:type="spellEnd"/>
      <w:r w:rsidR="001B529C" w:rsidRPr="001B529C">
        <w:t xml:space="preserve"> i Amazon Web Services powinny zostać wyznaczone jako strażnicy dostępu dla usług przetwarzania w chmurze</w:t>
      </w:r>
      <w:r w:rsidR="001B529C">
        <w:rPr>
          <w:rStyle w:val="FootnoteReference"/>
        </w:rPr>
        <w:footnoteReference w:id="16"/>
      </w:r>
      <w:r w:rsidR="001B529C" w:rsidRPr="001B529C">
        <w:t>, przy czym nadal trwa badanie w celu oceny, czy DMA może skutecznie przeciwdziałać praktykom mogącym ograniczać konkurencyjność i uczciwość usług przetwarzania w chmurze</w:t>
      </w:r>
      <w:r w:rsidR="00E92A31">
        <w:rPr>
          <w:rStyle w:val="FootnoteReference"/>
        </w:rPr>
        <w:footnoteReference w:id="17"/>
      </w:r>
      <w:r w:rsidRPr="00781E11">
        <w:t>; wzywa Komisję do skorzystania z dochodzenia rynkowego dotyczącego usług w chmurze, aby dostosować obowiązki wynikające z DMA i sprawić, by skutecznie eliminowały one bariery uniemożliwiające użytkownikom zmianę dostawcy;</w:t>
      </w:r>
    </w:p>
    <w:p w14:paraId="50E1E720" w14:textId="77777777" w:rsidR="00D12E6F" w:rsidRPr="00781E11" w:rsidRDefault="00D12E6F" w:rsidP="00D12E6F">
      <w:pPr>
        <w:pStyle w:val="NormalHanging12a"/>
      </w:pPr>
      <w:r w:rsidRPr="00781E11">
        <w:t>24.</w:t>
      </w:r>
      <w:r w:rsidRPr="00781E11">
        <w:tab/>
        <w:t>przypomina, że egzekwowanie DMA nadal nie jest optymalne; popiera bardziej zdecydowane egzekwowanie DMA w odniesieniu do wszystkich uczestników rynku objętych jego zakresem, niezależnie od narodowości, i zachęca Komisję do zakończenia wszczętych dochodzeń w terminach przewidzianych w DMA; zauważa, że skuteczne egzekwowanie DMA wymaga odpowiednich i zrównoważonych zasobów; wzywa Komisję i władze budżetowe do dopilnowania, aby na egzekwowanie DMA przeznaczane były z budżetu UE odpowiednie i stałe zasoby; wzywa w związku z tym do zbadania rozwiązań z zakresu zrównoważonego finansowania przy jednoczesnym poszanowaniu równowagi instytucjonalnej, a w szczególności do zbadania możliwości wprowadzenia „opłaty z tytułu DMA”, podobnej do opłaty przewidzianej w DSA;</w:t>
      </w:r>
    </w:p>
    <w:p w14:paraId="056C8920" w14:textId="77777777" w:rsidR="00D12E6F" w:rsidRPr="00781E11" w:rsidRDefault="00D12E6F" w:rsidP="00D12E6F">
      <w:pPr>
        <w:pStyle w:val="NormalHanging12a"/>
      </w:pPr>
      <w:r w:rsidRPr="00781E11">
        <w:t>25.</w:t>
      </w:r>
      <w:r w:rsidRPr="00781E11">
        <w:tab/>
        <w:t xml:space="preserve">wzywa Komisję do pełnego i proaktywnego wykorzystywania wszystkich instrumentów egzekwowania przewidzianych w DMA, w tym dalszych badań rynkowych, postępowań w sprawie niewypełniania obowiązków, kontroli, środków tymczasowych, </w:t>
      </w:r>
      <w:r w:rsidRPr="00781E11">
        <w:lastRenderedPageBreak/>
        <w:t>grzywien i okresowych kar pieniężnych, aby zapobiec obchodzeniu przepisów i zapewnić skuteczne ich przestrzeganie;</w:t>
      </w:r>
    </w:p>
    <w:p w14:paraId="2FD54394" w14:textId="77777777" w:rsidR="00D12E6F" w:rsidRPr="00781E11" w:rsidRDefault="00D12E6F" w:rsidP="00D12E6F">
      <w:pPr>
        <w:pStyle w:val="NormalHanging12a"/>
      </w:pPr>
      <w:r w:rsidRPr="00781E11">
        <w:t>26.</w:t>
      </w:r>
      <w:r w:rsidRPr="00781E11">
        <w:tab/>
        <w:t>docenia istnienie podstawy prawnej dla środków zaradczych o charakterze strukturalnym przeciwko nadużywaniu pozycji dominującej na rynku; jest świadomy, że unijne reguły konkurencji stanowią, iż strukturalne środki zaradcze powinny być stosowane w ostateczności, czyli tylko wtedy, gdy środki behawioralne okażą się nieskuteczne, niemniej ubolewa nad niechęcią Komisji do rozwiązania problemu dominacji rynkowej za pomocą strukturalnych środków zaradczych;</w:t>
      </w:r>
    </w:p>
    <w:p w14:paraId="238E4C06" w14:textId="77777777" w:rsidR="00D12E6F" w:rsidRPr="00781E11" w:rsidRDefault="00D12E6F" w:rsidP="00D12E6F">
      <w:pPr>
        <w:pStyle w:val="NormalHanging12a"/>
      </w:pPr>
      <w:r w:rsidRPr="00781E11">
        <w:t>27.</w:t>
      </w:r>
      <w:r w:rsidRPr="00781E11">
        <w:tab/>
        <w:t xml:space="preserve">z zadowoleniem przyjmuje uznanie przez Komisję w pierwszym przeglądzie DMA, że wprowadzone przez </w:t>
      </w:r>
      <w:proofErr w:type="spellStart"/>
      <w:r w:rsidRPr="00781E11">
        <w:t>współprawodawców</w:t>
      </w:r>
      <w:proofErr w:type="spellEnd"/>
      <w:r w:rsidRPr="00781E11">
        <w:t xml:space="preserve"> narzędzia dostosowane do przyszłych wyzwań są kluczowe, jeżeli ramy przepisów mają umożliwiać reagowanie na zmiany sytuacji na rynkach i rozwój technologii; wzywa zatem Komisję, by egzekwowała DMA w sposób spójny i nieulegający dezaktualizacji w świetle rozwoju technologicznego, zajmując się odpowiednio wcześnie usługami opartymi na AI i infrastrukturą opartą na chmurze z zamiarem zapobieżenia nowym formom uzależnienia od jednego dostawcy, zamknięciu dostępu do rynku lub praktykom strażników dostępu, w tym tych, którzy kontrolują dane, zasoby obliczeniowe lub zintegrowane usługi ze szkodą dla nowych twórców AI i innowacyjnych podmiotów wchodzących na rynek;</w:t>
      </w:r>
    </w:p>
    <w:p w14:paraId="2507520E" w14:textId="77777777" w:rsidR="00D12E6F" w:rsidRPr="00781E11" w:rsidRDefault="00D12E6F" w:rsidP="00D12E6F">
      <w:pPr>
        <w:pStyle w:val="NormalHanging12a"/>
      </w:pPr>
      <w:r w:rsidRPr="00781E11">
        <w:t>28.</w:t>
      </w:r>
      <w:r w:rsidRPr="00781E11">
        <w:tab/>
        <w:t xml:space="preserve">z zadowoleniem przyjmuje fakt, że Komisja już monitoruje wdrażanie narzędzi AI w ramach wyznaczonych na podstawie DMA podstawowych usług platformowych; zauważa, że w ramach pierwszego przeglądu DMA Komisja poinformowała, że w odniesieniu do usług AI zaczęła zajmować się różnymi kwestiami dotyczącymi uczciwości i </w:t>
      </w:r>
      <w:proofErr w:type="spellStart"/>
      <w:r w:rsidRPr="00781E11">
        <w:t>kontestowalności</w:t>
      </w:r>
      <w:proofErr w:type="spellEnd"/>
      <w:r w:rsidRPr="00781E11">
        <w:t xml:space="preserve">, którym poświęcono wiele miejsca w konsultacjach publicznych, na przykład omówionemu w ramach dialogu regulacyjnego ze strażnikami dostępu zagwarantowaniu łatwej zmiany ustawień domyślnych oraz równego dostępu usług AI do systemów operacyjnych; zauważa, że w styczniu 2026 r. wszczęto dwa postępowania w sprawie określenia środków przeciw firmie </w:t>
      </w:r>
      <w:proofErr w:type="spellStart"/>
      <w:r w:rsidRPr="00781E11">
        <w:t>Alphabet</w:t>
      </w:r>
      <w:proofErr w:type="spellEnd"/>
      <w:r w:rsidRPr="00781E11">
        <w:t xml:space="preserve">, które dotyczą również kwestii AI w związku z interoperacyjnością i dostępem do danych wyszukiwania; wzywa Komisję do opracowania i stosowania nowych teorii szkody, aby zaradzić dalszemu umacnianiu się w tym sektorze zasiedziałych przedsiębiorstw, oraz do oceny, w ramach kolejnego przeglądu DMA, czy obecny wykaz podstawowych usług platformowych odpowiednio odzwierciedla realia rynkowe, w tym w obszarach takich jak modele AI, </w:t>
      </w:r>
      <w:proofErr w:type="spellStart"/>
      <w:r w:rsidRPr="00781E11">
        <w:t>chatboty</w:t>
      </w:r>
      <w:proofErr w:type="spellEnd"/>
      <w:r w:rsidRPr="00781E11">
        <w:t xml:space="preserve"> oparte na AI i usługi w chmurze, główne usługi wirtualnych asystentów i systemy operacyjne telewizji hybrydowej; wzywa Komisję do uwzględnienia w konsultacjach w ramach przeglądu DMA małych i średnich przedsiębiorstw, przedsiębiorstw typu start-</w:t>
      </w:r>
      <w:proofErr w:type="spellStart"/>
      <w:r w:rsidRPr="00781E11">
        <w:t>up</w:t>
      </w:r>
      <w:proofErr w:type="spellEnd"/>
      <w:r w:rsidRPr="00781E11">
        <w:t>, stowarzyszeń branżowych, ekspertów akademickich i organizacji konsumenckich ze wszystkich państw członkowskich;</w:t>
      </w:r>
    </w:p>
    <w:p w14:paraId="24E3AEB1" w14:textId="77777777" w:rsidR="00D12E6F" w:rsidRPr="00781E11" w:rsidRDefault="00D12E6F" w:rsidP="00D12E6F">
      <w:pPr>
        <w:pStyle w:val="NormalHanging12a"/>
      </w:pPr>
      <w:r w:rsidRPr="00781E11">
        <w:t>29.</w:t>
      </w:r>
      <w:r w:rsidRPr="00781E11">
        <w:tab/>
        <w:t xml:space="preserve">podkreśla, że wszyscy wyznaczeni strażnicy dostępu, niezależnie od narodowości lub pochodzenia, muszą przestrzegać DMA, oraz wzywa Komisję do konsekwentnego egzekwowania obowiązków wynikających z DMA; z zadowoleniem przyjmuje koordynację między Komisją a krajowymi organami ochrony konkurencji w zakresie </w:t>
      </w:r>
      <w:proofErr w:type="spellStart"/>
      <w:r w:rsidRPr="00781E11">
        <w:t>zachowań</w:t>
      </w:r>
      <w:proofErr w:type="spellEnd"/>
      <w:r w:rsidRPr="00781E11">
        <w:t xml:space="preserve"> związanych z DMA; wzywa Komisję, by podjęła zdecydowane działania w tym zakresie;</w:t>
      </w:r>
    </w:p>
    <w:p w14:paraId="4DB17A57" w14:textId="779361D7" w:rsidR="00D12E6F" w:rsidRPr="00781E11" w:rsidRDefault="00D12E6F" w:rsidP="00D12E6F">
      <w:pPr>
        <w:pStyle w:val="NormalHanging12a"/>
      </w:pPr>
      <w:r w:rsidRPr="00781E11">
        <w:lastRenderedPageBreak/>
        <w:t>30.</w:t>
      </w:r>
      <w:r w:rsidRPr="00781E11">
        <w:tab/>
        <w:t>wzywa Komisję do zbadania w kontekście wdrażania dyrektywy o jednolitym rynku cyfrowym</w:t>
      </w:r>
      <w:r w:rsidR="00E92A31">
        <w:rPr>
          <w:rStyle w:val="FootnoteReference"/>
        </w:rPr>
        <w:footnoteReference w:id="18"/>
      </w:r>
      <w:r w:rsidRPr="00781E11">
        <w:t xml:space="preserve"> potencjalnych nadużyć ze strony strażników dostępu w świetle DMA w ich negocjacjach z wydawcami prasowymi, a w szczególności do zbadania, czy takie negocjacje są zgodne z obowiązkami FRAND (dostęp na sprawiedliwych, rozsądnych i niedyskryminujących warunkach) zapewniającymi sprawiedliwe wynagrodzenie, przejrzyste warunki i niedyskryminacyjny dostęp do odbiorców internetowych;</w:t>
      </w:r>
    </w:p>
    <w:p w14:paraId="2CAF44BB" w14:textId="77777777" w:rsidR="00D12E6F" w:rsidRPr="00781E11" w:rsidRDefault="00D12E6F" w:rsidP="00D12E6F">
      <w:pPr>
        <w:pStyle w:val="NormalHanging12a"/>
      </w:pPr>
      <w:r w:rsidRPr="00781E11">
        <w:t>31.</w:t>
      </w:r>
      <w:r w:rsidRPr="00781E11">
        <w:tab/>
        <w:t>wzywa Komisję do pełnego wykorzystania art. 13 DMA do przeciwdziałania wszelkim przypadkom obchodzenia przez strażników dostępu ich obowiązków wynikających z art. 5 i 6 DMA;</w:t>
      </w:r>
    </w:p>
    <w:p w14:paraId="5AEC8DB4" w14:textId="77777777" w:rsidR="00D12E6F" w:rsidRPr="00781E11" w:rsidRDefault="00D12E6F" w:rsidP="00D12E6F">
      <w:pPr>
        <w:pStyle w:val="Normal12a"/>
      </w:pPr>
      <w:r w:rsidRPr="00781E11">
        <w:rPr>
          <w:b/>
          <w:i/>
        </w:rPr>
        <w:t>Ochrona konkurencji</w:t>
      </w:r>
    </w:p>
    <w:p w14:paraId="40050F14" w14:textId="5D02B62F" w:rsidR="00D12E6F" w:rsidRPr="00781E11" w:rsidRDefault="00D12E6F" w:rsidP="00D12E6F">
      <w:pPr>
        <w:pStyle w:val="NormalHanging12a"/>
      </w:pPr>
      <w:r w:rsidRPr="00781E11">
        <w:t>32.</w:t>
      </w:r>
      <w:r w:rsidRPr="00781E11">
        <w:tab/>
        <w:t>wzywa Komisję do odpowiedniego stosowania środków tymczasowych, by powstrzymywać praktyki szkodliwe dla konkurencji, zwłaszcza na dynamicznie zmieniających się rynkach cyfrowych; apeluje do Komisji, by zaktualizowała rozporządzenie (WE) 1/2003</w:t>
      </w:r>
      <w:r w:rsidR="00E92A31">
        <w:rPr>
          <w:rStyle w:val="FootnoteReference"/>
        </w:rPr>
        <w:footnoteReference w:id="19"/>
      </w:r>
      <w:r w:rsidRPr="00781E11">
        <w:t xml:space="preserve"> i rozporządzenie Komisji (WE) 773/2004</w:t>
      </w:r>
      <w:r w:rsidR="00E92A31">
        <w:rPr>
          <w:rStyle w:val="FootnoteReference"/>
        </w:rPr>
        <w:footnoteReference w:id="20"/>
      </w:r>
      <w:r w:rsidRPr="00781E11">
        <w:t>, aby poprawić skuteczność, pewność prawa i proporcjonalność egzekwowania unijnych przepisów antymonopolowych; popiera doprecyzowane ramy środków tymczasowych w przypadkach poważnej i nieodwracalnej szkody dla konkurencji, wraz z odpowiednimi gwarancjami sprawiedliwości proceduralnej;</w:t>
      </w:r>
    </w:p>
    <w:p w14:paraId="1D204032" w14:textId="77777777" w:rsidR="00D12E6F" w:rsidRPr="00781E11" w:rsidRDefault="00D12E6F" w:rsidP="00D12E6F">
      <w:pPr>
        <w:pStyle w:val="NormalHanging12a"/>
      </w:pPr>
      <w:r w:rsidRPr="00781E11">
        <w:t>33.</w:t>
      </w:r>
      <w:r w:rsidRPr="00781E11">
        <w:tab/>
        <w:t>wzywa Komisję do zajęcia się nadmiernie długimi dochodzeniami antymonopolowymi; apeluje o wprowadzenie wiążących terminów proceduralnych w dochodzeniach antymonopolowych, aby zapobiec nieuzasadnionym opóźnieniom, które szkodzą pewności prawa i prawu do obrony;</w:t>
      </w:r>
    </w:p>
    <w:p w14:paraId="794B6E0A" w14:textId="77777777" w:rsidR="00D12E6F" w:rsidRPr="00781E11" w:rsidRDefault="00D12E6F" w:rsidP="00D12E6F">
      <w:pPr>
        <w:pStyle w:val="NormalHanging12a"/>
      </w:pPr>
      <w:r w:rsidRPr="00781E11">
        <w:t>34.</w:t>
      </w:r>
      <w:r w:rsidRPr="00781E11">
        <w:tab/>
        <w:t>wzywa Komisję do przeprowadzenia kompleksowego badania na temat odstraszającego skutku nakładanych przez nią grzywien; podkreśla, że kary muszą być wystarczająco wysokie, aby przewyższały niezgodne z prawem korzyści gospodarcze uzyskane w wyniku naruszenia;</w:t>
      </w:r>
    </w:p>
    <w:p w14:paraId="5DC97875" w14:textId="3215B297" w:rsidR="00D12E6F" w:rsidRPr="00781E11" w:rsidRDefault="00D12E6F" w:rsidP="00D12E6F">
      <w:pPr>
        <w:pStyle w:val="NormalHanging12a"/>
      </w:pPr>
      <w:r w:rsidRPr="00781E11">
        <w:t>35.</w:t>
      </w:r>
      <w:r w:rsidRPr="00781E11">
        <w:tab/>
        <w:t xml:space="preserve">podkreśla znaczenie skutecznych powództw o odszkodowanie jako uzupełnienia publicznego egzekwowania przepisów antymonopolowych, gdyż powództwa takie zapewniają ofiarom naruszeń art. 101 i 102 TFUE możliwość uzyskania pełnego odszkodowania; wzywa Komisję i państwa członkowskie do zapewnienia skutecznego wdrożenia dyrektywy w sprawie dochodzenia roszczeń odszkodowawczych z tytułu </w:t>
      </w:r>
      <w:r w:rsidRPr="00781E11">
        <w:lastRenderedPageBreak/>
        <w:t>naruszenia prawa konkurencji</w:t>
      </w:r>
      <w:r w:rsidR="00E92A31">
        <w:rPr>
          <w:rStyle w:val="FootnoteReference"/>
        </w:rPr>
        <w:footnoteReference w:id="21"/>
      </w:r>
      <w:r w:rsidRPr="00781E11">
        <w:t xml:space="preserve"> oraz do usunięcia pozostałych barier w egzekwowaniu prawa na drodze prywatnoprawnej;</w:t>
      </w:r>
    </w:p>
    <w:p w14:paraId="151F000A" w14:textId="69941AA3" w:rsidR="00D12E6F" w:rsidRPr="00781E11" w:rsidRDefault="00D12E6F" w:rsidP="00D12E6F">
      <w:pPr>
        <w:pStyle w:val="NormalHanging12a"/>
      </w:pPr>
      <w:r w:rsidRPr="00781E11">
        <w:t>36.</w:t>
      </w:r>
      <w:r w:rsidRPr="00781E11">
        <w:tab/>
        <w:t>potwierdza potrzebę ścisłej i skutecznej współpracy między Komisją a krajowymi organami ochrony konkurencji w ramach Europejskiej Sieci Konkurencji, a także z odpowiednimi zainteresowanymi stronami z sektora prywatnego i publicznego oraz organizacjami konsumenckimi; podkreśla, że krajowe organy ochrony konkurencji muszą pozostać niezależne politycznie i dysponować odpowiednimi zasobami oraz że dyrektywa ECN+</w:t>
      </w:r>
      <w:r w:rsidR="00E92A31">
        <w:rPr>
          <w:rStyle w:val="FootnoteReference"/>
        </w:rPr>
        <w:footnoteReference w:id="22"/>
      </w:r>
      <w:r w:rsidRPr="00781E11">
        <w:t xml:space="preserve"> powinna zostać w pełni i spójnie przetransponowana i wdrożona we wszystkich państwach członkowskich; apeluje o większą konwergencję standardów egzekwowania przepisów, terminową wymianę informacji i jasny podział kompetencji, aby uniknąć powielania postępowań; podkreśla, że Europejska Sieć Konkurencji musi przyjąć w pełni zintegrowaną formę współpracy, aby zwiększyć oszczędność kosztową i poprawić rozpatrywanie aspektów transgranicznych, w tym poprzez umożliwienie wspólnych dochodzeń i wspólnego podejmowania decyzji; wzywa Europejską Sieć Konkurencji do dalszego wspierania przedsiębiorstw, zwłaszcza MŚP, w stosowaniu reguł konkurencji;</w:t>
      </w:r>
    </w:p>
    <w:p w14:paraId="615149CF" w14:textId="77777777" w:rsidR="00D12E6F" w:rsidRPr="00781E11" w:rsidRDefault="00D12E6F" w:rsidP="00D12E6F">
      <w:pPr>
        <w:pStyle w:val="NormalHanging12a"/>
      </w:pPr>
      <w:r w:rsidRPr="00781E11">
        <w:t>37.</w:t>
      </w:r>
      <w:r w:rsidRPr="00781E11">
        <w:tab/>
        <w:t xml:space="preserve">wzywa Komisję i krajowe organy ochrony konkurencji do ustanowienia łatwo dostępnych i przyjaznych dla MŚP mechanizmów składania skarg dotyczących praktyk </w:t>
      </w:r>
      <w:proofErr w:type="spellStart"/>
      <w:r w:rsidRPr="00781E11">
        <w:t>antykonkurencyjnych</w:t>
      </w:r>
      <w:proofErr w:type="spellEnd"/>
      <w:r w:rsidRPr="00781E11">
        <w:t>, które to mechanizmy zapewnią szybkie i skuteczne rozpatrywanie spraw;</w:t>
      </w:r>
    </w:p>
    <w:p w14:paraId="068983A9" w14:textId="79290746" w:rsidR="00D12E6F" w:rsidRPr="00781E11" w:rsidRDefault="00D12E6F" w:rsidP="00D12E6F">
      <w:pPr>
        <w:pStyle w:val="NormalHanging12a"/>
      </w:pPr>
      <w:r w:rsidRPr="00781E11">
        <w:t>38.</w:t>
      </w:r>
      <w:r w:rsidRPr="00781E11">
        <w:tab/>
        <w:t xml:space="preserve">odnotowuje dochodzenia toczące się przeciw przedsiębiorstwom spoza UE, w tym postępowanie przygotowawcze Komisji w sprawie opłat w systemach Visa i Mastercard; wzywa Komisję do dopilnowania, by rynek płatności pozostał konkurencyjny, przejrzysty i dostępny dla konsumentów i przedsiębiorstw; podkreśla potrzebę przeglądu rozporządzenia w sprawie opłat </w:t>
      </w:r>
      <w:proofErr w:type="spellStart"/>
      <w:r w:rsidRPr="00781E11">
        <w:t>interchange</w:t>
      </w:r>
      <w:proofErr w:type="spellEnd"/>
      <w:r w:rsidR="00E92A31">
        <w:rPr>
          <w:rStyle w:val="FootnoteReference"/>
        </w:rPr>
        <w:footnoteReference w:id="23"/>
      </w:r>
      <w:r w:rsidRPr="00781E11">
        <w:t>, by ocenić jego skuteczność w rozwiązywaniu problemu rosnących opłat; wzywa Komisję do zakończenia bez zbędnej zwłoki trwających dochodzeń w sektorze płatności; podkreśla, że cyfrowe euro stanowi pierwszorzędną okazję do zmniejszenia naszego nadmiernego uzależnienia od systemów kart płatniczych spoza UE oraz do wzmocnienia konkurencji i strategicznej autonomii UE w sektorze płatności, a także może pomóc w stworzeniu bardziej konkurencyjnych warunków cenowych przedsiębiorstwom, w szczególności MŚP;</w:t>
      </w:r>
    </w:p>
    <w:p w14:paraId="648CAEBA" w14:textId="499FE83F" w:rsidR="00D12E6F" w:rsidRPr="00781E11" w:rsidRDefault="00D12E6F" w:rsidP="00D12E6F">
      <w:pPr>
        <w:pStyle w:val="NormalHanging12a"/>
      </w:pPr>
      <w:r w:rsidRPr="00781E11">
        <w:lastRenderedPageBreak/>
        <w:t>39.</w:t>
      </w:r>
      <w:r w:rsidRPr="00781E11">
        <w:tab/>
        <w:t>podkreśla znaczenie konkurencji w sektorze bankowym i wagę dokończenia budowy unii bankowej; wzywa Komisję do wykorzystania wszystkich dostępnych instrumentów, by zapewnić uczciwą konkurencję i monitorować tendencje w sektorze bankowym w okresach wysokiej inflacji; podkreśla znaczenie i pilny charakter przyszłego sprawozdania Komisji na temat konkurencyjności unijnego sektora bankowego i oczekuje, że Komisja przyjmie to sprawozdanie do lipca 2026 r.; ponadto z zadowoleniem przyjmuje zbliżającą się ocenę funkcjonowania dyrektywy 2002/87/WE</w:t>
      </w:r>
      <w:r w:rsidR="00E92A31">
        <w:rPr>
          <w:rStyle w:val="FootnoteReference"/>
        </w:rPr>
        <w:footnoteReference w:id="24"/>
      </w:r>
      <w:r w:rsidRPr="00781E11">
        <w:t xml:space="preserve"> i dyrektywy Wypłacalność II</w:t>
      </w:r>
      <w:r w:rsidR="00E92A31">
        <w:rPr>
          <w:rStyle w:val="FootnoteReference"/>
        </w:rPr>
        <w:footnoteReference w:id="25"/>
      </w:r>
      <w:r w:rsidRPr="00781E11">
        <w:t xml:space="preserve"> pod kątem aspektów związanych z równymi warunkami działania dla uczestników rynku ubezpieczeniowego i bankowego;</w:t>
      </w:r>
    </w:p>
    <w:p w14:paraId="04180897" w14:textId="77777777" w:rsidR="00D12E6F" w:rsidRPr="00781E11" w:rsidRDefault="00D12E6F" w:rsidP="00D12E6F">
      <w:pPr>
        <w:pStyle w:val="NormalHanging12a"/>
      </w:pPr>
      <w:r w:rsidRPr="00781E11">
        <w:t>40.</w:t>
      </w:r>
      <w:r w:rsidRPr="00781E11">
        <w:tab/>
        <w:t>zwraca uwagę na istnienie oligopoli w świadczeniu niektórych usług, które mają kluczowe znaczenie dla uczestników rynków finansowych UE, takich jak agregatorzy rynku i dostawcy usług łączności, charakteryzujących się ograniczoną liczbą dostawców, poważnymi trudnościami ze zmianą jednego dostawcy na innego lub asymetryczną siłą cenową z korzyścią dla dostawcy, co ostatecznie zawyża koszty dla inwestorów; zauważa ponadto, że trzy największe agencje ratingowe i cztery największe przedsiębiorstwa na rynku audytu nadal mają ponad 90 % udziału w rynku; wzywa Komisję do zbadania istniejących oligopoli i podjęcia odpowiednich środków z korzyścią dla konkurencji w UE;</w:t>
      </w:r>
    </w:p>
    <w:p w14:paraId="290E355D" w14:textId="77777777" w:rsidR="00D12E6F" w:rsidRPr="00781E11" w:rsidRDefault="00D12E6F" w:rsidP="00D12E6F">
      <w:pPr>
        <w:pStyle w:val="NormalHanging12a"/>
      </w:pPr>
      <w:r w:rsidRPr="00781E11">
        <w:t>41.</w:t>
      </w:r>
      <w:r w:rsidRPr="00781E11">
        <w:tab/>
        <w:t>przypomina, że Europejski Bank Centralny zauważył, iż wciąż na wysokim poziomie utrzymują się ceny żywności, co dotyka w szczególności konsumentów znajdujących się w trudnej sytuacji; wyraża zaniepokojenie dużą koncentracją rynku na niektórych poziomach łańcucha dostaw produktów rolnych i spożywczych; wzywa Komisję do oceny skali i wpływu sojuszy zakupowych oraz do dalszej analizy ich wpływu nie tylko na ceny, ale także na zdolność rolników i producentów rolno-spożywczych do dostarczania konsumentom zdrowych, bezpiecznych i zrównoważonych produktów; wzywa Komisję do zbadania, czy potrzebne są dodatkowe wytyczne w sprawie stosowania art. 102 TFUE w kwestii nadużyć, w tym wygórowanych lub nieuczciwych cen, aby zwiększyć pewność prawa i skuteczność egzekwowania przepisów na wysoce skoncentrowanych rynkach konsumenckich;</w:t>
      </w:r>
    </w:p>
    <w:p w14:paraId="21220695" w14:textId="77777777" w:rsidR="00D12E6F" w:rsidRPr="00781E11" w:rsidRDefault="00D12E6F" w:rsidP="00D12E6F">
      <w:pPr>
        <w:pStyle w:val="Normal12a"/>
      </w:pPr>
      <w:r w:rsidRPr="00781E11">
        <w:rPr>
          <w:b/>
          <w:i/>
        </w:rPr>
        <w:t>Kontrola połączeń przedsiębiorstw</w:t>
      </w:r>
    </w:p>
    <w:p w14:paraId="316334C8" w14:textId="77777777" w:rsidR="00D12E6F" w:rsidRPr="00781E11" w:rsidRDefault="00D12E6F" w:rsidP="00D12E6F">
      <w:pPr>
        <w:pStyle w:val="NormalHanging12a"/>
      </w:pPr>
      <w:r w:rsidRPr="00781E11">
        <w:t>42.</w:t>
      </w:r>
      <w:r w:rsidRPr="00781E11">
        <w:tab/>
        <w:t xml:space="preserve">podkreśla, że w wielu kluczowych obszarach strategicznych brakuje dużych europejskich przedsiębiorstw zdolnych do konkurowania na arenie międzynarodowej; uważa zwiększenie skali działalności na jednolitym rynku UE za strategiczną konieczność, by zmobilizować inwestycje, pobudzić konkurencyjność, inwestować w innowacje i umożliwić unijnym przedsiębiorstwom skuteczne konkurowanie na rynkach </w:t>
      </w:r>
      <w:r w:rsidRPr="00781E11">
        <w:lastRenderedPageBreak/>
        <w:t xml:space="preserve">światowych, jak podkreślono w sprawozdaniu </w:t>
      </w:r>
      <w:proofErr w:type="spellStart"/>
      <w:r w:rsidRPr="00781E11">
        <w:t>Letty</w:t>
      </w:r>
      <w:proofErr w:type="spellEnd"/>
      <w:r w:rsidRPr="00781E11">
        <w:t>; podkreśla, że ukończenie tworzenia jednolitego rynku i usunięcie wewnętrznych barier pozostają kluczowymi priorytetami w tym zakresie; zauważa, że bariery strukturalne utrudniające zwiększenie skali działalności w UE mogą prowadzić do przejmowania innowacyjnych przedsiębiorstw unijnych przez podmioty spoza UE, co może mieć negatywny wpływ na długoterminową konkurencję i zdolności innowacyjne w UE; uważa zatem, że przy kontroli połączeń przedsiębiorstw należy w pełni uwzględniać zdolność przedsiębiorstw unijnych do inwestowania w innowacje;</w:t>
      </w:r>
    </w:p>
    <w:p w14:paraId="45ECAE67" w14:textId="77777777" w:rsidR="00D12E6F" w:rsidRPr="00781E11" w:rsidRDefault="00D12E6F" w:rsidP="00D12E6F">
      <w:pPr>
        <w:pStyle w:val="NormalHanging12a"/>
      </w:pPr>
      <w:r w:rsidRPr="00781E11">
        <w:t>43.</w:t>
      </w:r>
      <w:r w:rsidRPr="00781E11">
        <w:tab/>
        <w:t>uważa, że polityka konkurencji nie powinna stwarzać niepotrzebnych barier przedsiębiorstwom, które potrzebują zwiększyć skalę działalności, aby konkurować w skali globalnej, a jednocześnie zauważa, że nie wszystkie przedsiębiorstwa w UE potrzebują zwiększenia skali działalności; podkreśla, że UE dobrze służy jakże ważna więź między dużymi i małymi przedsiębiorstwami; uważa, że konkurencyjność powinna wynikać przede wszystkim z uczciwej konkurencji, rygorystycznego egzekwowania przepisów dotyczących ochrony konkurencji i pogłębienia jednolitego rynku, które to elementy stanowią podstawę społecznej gospodarki rynkowej UE i pozostają prawdziwą siłą napędową innowacji;</w:t>
      </w:r>
    </w:p>
    <w:p w14:paraId="23EB85C7" w14:textId="77777777" w:rsidR="00D12E6F" w:rsidRPr="00781E11" w:rsidRDefault="00D12E6F" w:rsidP="00D12E6F">
      <w:pPr>
        <w:pStyle w:val="NormalHanging12a"/>
      </w:pPr>
      <w:r w:rsidRPr="00781E11">
        <w:t>44.</w:t>
      </w:r>
      <w:r w:rsidRPr="00781E11">
        <w:tab/>
        <w:t>wzywa Komisję do prowadzenia dynamicznej polityki dotyczącej łączenia przedsiębiorstw, w oparciu o ocenę ekonomiczną i prawną, w pełni analizującej w ocenie konkurencji aspekt dobrobytu konsumentów, oraz do rozważania szerszych skutków gospodarczych połączeń, dostosowania tej polityki do nowych realiów rynkowych, w tym do ekosystemów cyfrowych, AI, sektora energetyki i sektora obronności, a także do analizowania skutków koncentracji w perspektywie długoterminowej, z zastosowaniem perspektywicznego podejścia; zachęca Komisję do dalszego monitorowania zmian władzy rynkowej w Europie, w tym wpływu połączeń na zrównoważony rozwój, innowacje i długoterminową odporność;</w:t>
      </w:r>
    </w:p>
    <w:p w14:paraId="1D77ED66" w14:textId="77777777" w:rsidR="00D12E6F" w:rsidRPr="00781E11" w:rsidRDefault="00D12E6F" w:rsidP="00D12E6F">
      <w:pPr>
        <w:pStyle w:val="NormalHanging12a"/>
      </w:pPr>
      <w:r w:rsidRPr="00781E11">
        <w:t>45.</w:t>
      </w:r>
      <w:r w:rsidRPr="00781E11">
        <w:tab/>
        <w:t xml:space="preserve">apeluje o ambitny przegląd wytycznych UE w sprawie połączeń przedsiębiorstw, by lepiej dostosować je do nowych realiów rynku i unijnych priorytetów w zakresie wspierania bardziej odpornej i konkurencyjnej Europy, a jednocześnie utrzymać wysoki poziom dobrobytu konsumentów; podkreśla, że kontrola połączeń przedsiębiorstw, wciąż oparta na analizie konkurencji i chroniąca skuteczną konkurencję na rynkach krajowych i w obrębie jednolitego rynku, powinna poddawać ocenie ogólnoeuropejskie połączenia w sposób perspektywiczny i dbać o to, aby każda konsolidacja tworząca „czempionów UE” zwiększała dobrobyt konsumentów, </w:t>
      </w:r>
      <w:proofErr w:type="spellStart"/>
      <w:r w:rsidRPr="00781E11">
        <w:t>kontestowalność</w:t>
      </w:r>
      <w:proofErr w:type="spellEnd"/>
      <w:r w:rsidRPr="00781E11">
        <w:t xml:space="preserve"> rynku i długoterminową odporność, zwłaszcza w kluczowych sektorach, takich jak telekomunikacja, bankowość, płatności, obronność i energetyka; apeluje, aby nowe wytyczne dotyczące kontroli połączeń zapewniały przedsiębiorstwom pewność prawa w zakresie tworzenia ogólnoeuropejskich podmiotów sprzyjających prokonkurencyjnemu zwiększaniu skali, a jednocześnie ograniczały krajowe uprawnienia do interwencji, w tym prawo weta, do absolutnie niezbędnych i proporcjonalnych przypadków;</w:t>
      </w:r>
    </w:p>
    <w:p w14:paraId="1CDB2E2F" w14:textId="77777777" w:rsidR="00D12E6F" w:rsidRPr="00781E11" w:rsidRDefault="00D12E6F" w:rsidP="00D12E6F">
      <w:pPr>
        <w:pStyle w:val="NormalHanging12a"/>
      </w:pPr>
      <w:r w:rsidRPr="00781E11">
        <w:t>46.</w:t>
      </w:r>
      <w:r w:rsidRPr="00781E11">
        <w:tab/>
        <w:t xml:space="preserve">wzywa Komisję do przyjęcia perspektywicznego i dynamicznego podejścia do połączeń, uwzględniającego przyrost wydajności, w tym na przykład korzyści skali i korzyści w zakresie zrównoważonego rozwoju, na jak najwcześniejszym etapie procedury, przy jednoczesnym zapewnieniu przejrzystości i przewidywalności oraz umożliwieniu przedsiębiorstwom zawierania sojuszy, gdy przyczyniają się one do innowacji, odporności na zmianę klimatu i bezpieczeństwa, a także podejścia odzwierciedlającego stosunek do oceny władzy rynkowej i realiów sektorowych, który </w:t>
      </w:r>
      <w:r w:rsidRPr="00781E11">
        <w:lastRenderedPageBreak/>
        <w:t>wykracza poza ceny i udziały w rynku oraz obejmuje wpływ na płace i warunki zatrudnienia;</w:t>
      </w:r>
    </w:p>
    <w:p w14:paraId="1F878988" w14:textId="3803E403" w:rsidR="00D12E6F" w:rsidRPr="00781E11" w:rsidRDefault="00D12E6F" w:rsidP="00D12E6F">
      <w:pPr>
        <w:pStyle w:val="NormalHanging12a"/>
      </w:pPr>
      <w:r w:rsidRPr="00781E11">
        <w:t>47.</w:t>
      </w:r>
      <w:r w:rsidRPr="00781E11">
        <w:tab/>
        <w:t xml:space="preserve">przypomina, że konkurencja chroni możliwość wyboru dla konsumentów, różnorodność rynku i przystępność cen; odnotowuje decyzję akcjonariuszy Warner Bros. Discovery z </w:t>
      </w:r>
      <w:r w:rsidR="00E92A31">
        <w:t xml:space="preserve">dnia </w:t>
      </w:r>
      <w:r w:rsidRPr="00781E11">
        <w:t xml:space="preserve">23 kwietnia 2026 r. o zatwierdzeniu umowy o połączeniu z </w:t>
      </w:r>
      <w:proofErr w:type="spellStart"/>
      <w:r w:rsidRPr="00781E11">
        <w:t>Paramount</w:t>
      </w:r>
      <w:proofErr w:type="spellEnd"/>
      <w:r w:rsidRPr="00781E11">
        <w:t xml:space="preserve"> </w:t>
      </w:r>
      <w:proofErr w:type="spellStart"/>
      <w:r w:rsidRPr="00781E11">
        <w:t>Skydance</w:t>
      </w:r>
      <w:proofErr w:type="spellEnd"/>
      <w:r w:rsidRPr="00781E11">
        <w:t>; wzywa Komisję do stosowania rygorystycznej kontroli połączeń w sektorze audiowizualnym i medialnym, do monitorowania wpływu konsolidacji rynku na jednolitym rynku i do umożliwiania podmiotom z UE zwiększenia skali działalności;</w:t>
      </w:r>
    </w:p>
    <w:p w14:paraId="2DB3F2AF" w14:textId="77777777" w:rsidR="00D12E6F" w:rsidRPr="00781E11" w:rsidRDefault="00D12E6F" w:rsidP="00D12E6F">
      <w:pPr>
        <w:pStyle w:val="NormalHanging12a"/>
      </w:pPr>
      <w:r w:rsidRPr="00781E11">
        <w:t>48.</w:t>
      </w:r>
      <w:r w:rsidRPr="00781E11">
        <w:tab/>
        <w:t xml:space="preserve">zauważa, że od 2000 r. platformy internetowe objęte zakresem stosowania DMA nabyły prawie 700 przedsiębiorstw, a Komisji zgłoszono tylko 19 takich transakcji, ponieważ większość z nich nie przekraczała opartych na obrocie progów powodujących obowiązek zgłoszenia; wzywa Komisję, by wykrywała zabójcze przejęcia (tj. takie, gdy przedsiębiorstwo przejmuje innowacyjne przedsiębiorstwo, by pozbyć się potencjalnej konkurencji) oraz by dostosowała przepisy, aby zapobiegać takim przejęciom, szczególnie w sektorze cyfrowym, w branży AI, w sektorze farmaceutycznym i innych sektorach strategicznych; powtarza, że w razie przeglądu rozporządzenia w sprawie kontroli łączenia przedsiębiorstw należy do niego dodać podstawę prawną dotyczącą jednolitego rynku, aby w pełni zaangażować </w:t>
      </w:r>
      <w:proofErr w:type="spellStart"/>
      <w:r w:rsidRPr="00781E11">
        <w:t>współprawodawców</w:t>
      </w:r>
      <w:proofErr w:type="spellEnd"/>
      <w:r w:rsidRPr="00781E11">
        <w:t>, podobnie jak w przypadku przeglądu DMA; wzywa państwa członkowskie do nadania krajowym organom ochrony konkurencji uprawnień interwencyjnych (jeżeli jeszcze ich nie mają), by mogły kontrolować połączenia i przejęcia, a jednocześnie do zapewnienia pewności prawa i unikania nadmiernych obciążeń dla MŚP i przedsiębiorstw typu start-</w:t>
      </w:r>
      <w:proofErr w:type="spellStart"/>
      <w:r w:rsidRPr="00781E11">
        <w:t>up</w:t>
      </w:r>
      <w:proofErr w:type="spellEnd"/>
      <w:r w:rsidRPr="00781E11">
        <w:t>;</w:t>
      </w:r>
    </w:p>
    <w:p w14:paraId="6B71F9F7" w14:textId="77777777" w:rsidR="00D12E6F" w:rsidRPr="00781E11" w:rsidRDefault="00D12E6F" w:rsidP="00D12E6F">
      <w:pPr>
        <w:pStyle w:val="NormalHanging12a"/>
      </w:pPr>
      <w:r w:rsidRPr="00781E11">
        <w:t>49.</w:t>
      </w:r>
      <w:r w:rsidRPr="00781E11">
        <w:tab/>
        <w:t>zwraca uwagę na tendencję wzrostową w europejskim sporcie dotyczącą inwestycji zagranicznych i struktur własności obejmujących wiele klubów, a także na wzrost dynamicznego ustalania cen biletów, oraz wzywa Komisję do uwzględnienia wpływu tej sytuacji przy wspieraniu działań na rzecz ochrony integralności finansowej i równowagi konkurencyjnej europejskiego sportu; wzywa Komisję i państwa członkowskie, aby rozważyły wszystkie warianty regulacyjne, w tym wprowadzenie w akcie w sprawie sprawiedliwości cyfrowej zakazu dynamicznego ustalania cen wydarzeń sportowych i kulturalnych na żywo, z myślą o ochronie konsumentów oraz utrzymaniu społecznej i publicznej wartości sportu i kultury;</w:t>
      </w:r>
    </w:p>
    <w:p w14:paraId="0E8F6322" w14:textId="77777777" w:rsidR="00D12E6F" w:rsidRPr="00781E11" w:rsidRDefault="00D12E6F" w:rsidP="00D12E6F">
      <w:pPr>
        <w:pStyle w:val="Normal12a"/>
      </w:pPr>
      <w:r w:rsidRPr="00781E11">
        <w:rPr>
          <w:b/>
          <w:i/>
        </w:rPr>
        <w:t>Pomoc państwa</w:t>
      </w:r>
    </w:p>
    <w:p w14:paraId="2DDAC022" w14:textId="77777777" w:rsidR="00D12E6F" w:rsidRPr="00781E11" w:rsidRDefault="00D12E6F" w:rsidP="00D12E6F">
      <w:pPr>
        <w:pStyle w:val="NormalHanging12a"/>
      </w:pPr>
      <w:r w:rsidRPr="00781E11">
        <w:t>50.</w:t>
      </w:r>
      <w:r w:rsidRPr="00781E11">
        <w:tab/>
        <w:t>podkreśla potrzebę dokładnej analizy zasad pomocy państwa, zwłaszcza w przypadku przedsiębiorstw działających w sektorach strategicznych, takich jak energetyka, technologie i innowacje; podkreśla, jak ważne jest zapewnienie skuteczności pomocy państwa w rolnictwie, logistyce i transporcie; odnotowuje rozbieżności między państwami członkowskimi w ich zdolnościach fiskalnych, ostrzega, że fragmentaryczna pomoc państwa stwarza nierówne warunki działania, i wzywa Komisję do monitorowania tego typu skutków; uważa, że wszelka przyznawana pomoc państwa powinna być zgodna z prawem i zasadami UE, w tym z celami polityki środowiskowej i społecznej UE;</w:t>
      </w:r>
    </w:p>
    <w:p w14:paraId="3C099558" w14:textId="77777777" w:rsidR="00D12E6F" w:rsidRPr="00781E11" w:rsidRDefault="00D12E6F" w:rsidP="00D12E6F">
      <w:pPr>
        <w:pStyle w:val="NormalHanging12a"/>
      </w:pPr>
      <w:r w:rsidRPr="00781E11">
        <w:t>51.</w:t>
      </w:r>
      <w:r w:rsidRPr="00781E11">
        <w:tab/>
        <w:t xml:space="preserve">z zadowoleniem przyjmuje ramy pomocy państwa na potrzeby Paktu dla czystego przemysłu (CISAF); apeluje, by CISAF wdrożono w ukierunkowany i proporcjonalny sposób, który jak najmniej obciąży państwa członkowskie, zapobiegnie prześciganiu się w udzielaniu dotacji, będzie chronił integralność rynku wewnętrznego oraz </w:t>
      </w:r>
      <w:r w:rsidRPr="00781E11">
        <w:lastRenderedPageBreak/>
        <w:t>zagwarantuje solidne zabezpieczenia w zakresie przejrzystości, proporcjonalności i skuteczności środowiskowej;</w:t>
      </w:r>
    </w:p>
    <w:p w14:paraId="56B32543" w14:textId="77777777" w:rsidR="00D12E6F" w:rsidRPr="00781E11" w:rsidRDefault="00D12E6F" w:rsidP="00D12E6F">
      <w:pPr>
        <w:pStyle w:val="NormalHanging12a"/>
      </w:pPr>
      <w:r w:rsidRPr="00781E11">
        <w:t>52.</w:t>
      </w:r>
      <w:r w:rsidRPr="00781E11">
        <w:tab/>
        <w:t>przypomina, że tymczasowa, ukierunkowana pomoc państwa może być odpowiednia w czasach kryzysu; ponownie podkreśla ważną rolę ram pomocy państwa na potrzeby Paktu dla czystego przemysłu we wspieraniu wrażliwych sektorów w kontekście szybko rosnących cen paliw w związku z obecną sytuacją geopolityczną; odnotowuje jednak ustalenia Europejskiego Trybunału Obrachunkowego (sprawozdanie specjalne 21/2024), w których wskazano braki w monitorowaniu przez Komisję pomocy państwa w czasie kryzysu, i zgodnie z zaleceniami Europejskiego Trybunału Obrachunkowego wzywa Komisję do ściślejszego monitorowania zgłoszeń pomocy państwa oraz do poprawy sprawozdawczości w zakresie pomocy państwa i przejrzystości;</w:t>
      </w:r>
    </w:p>
    <w:p w14:paraId="31A96271" w14:textId="77777777" w:rsidR="00D12E6F" w:rsidRPr="00781E11" w:rsidRDefault="00D12E6F" w:rsidP="00D12E6F">
      <w:pPr>
        <w:pStyle w:val="NormalHanging12a"/>
      </w:pPr>
      <w:r w:rsidRPr="00781E11">
        <w:t>53.</w:t>
      </w:r>
      <w:r w:rsidRPr="00781E11">
        <w:tab/>
        <w:t>zauważa, że ponad trzy czwarte pomocy państwa koncentruje się tylko w dwóch państwach członkowskich, co wskazuje na ryzyko fragmentacji i nierównych warunków działania na rynku wewnętrznym;</w:t>
      </w:r>
    </w:p>
    <w:p w14:paraId="4A32607E" w14:textId="77777777" w:rsidR="00D12E6F" w:rsidRPr="00781E11" w:rsidRDefault="00D12E6F" w:rsidP="00D12E6F">
      <w:pPr>
        <w:pStyle w:val="NormalHanging12a"/>
      </w:pPr>
      <w:r w:rsidRPr="00781E11">
        <w:t>54.</w:t>
      </w:r>
      <w:r w:rsidRPr="00781E11">
        <w:tab/>
        <w:t>podkreśla rolę pomocy państwa jako narzędzia zmniejszania dysproporcji gospodarczych między najbardziej rozwiniętymi unijnymi regionami i wyspami, obszarami śródlądowymi, regionami najbardziej oddalonymi, obszarami znajdującymi się w niekorzystnej sytuacji gospodarczej oraz wszystkimi częściami UE, na które mają wpływ naturalne ograniczenia; apeluje o większą elastyczność i mniej ograniczeń w zakresie pomocy państwa dla unijnych regionów wyspiarskich i regionów znajdujących się w niekorzystnej sytuacji;</w:t>
      </w:r>
    </w:p>
    <w:p w14:paraId="09AC9AA4" w14:textId="317C19FD" w:rsidR="00D12E6F" w:rsidRPr="00781E11" w:rsidRDefault="00D12E6F" w:rsidP="00D12E6F">
      <w:pPr>
        <w:pStyle w:val="NormalHanging12a"/>
      </w:pPr>
      <w:r w:rsidRPr="00781E11">
        <w:t>55.</w:t>
      </w:r>
      <w:r w:rsidRPr="00781E11">
        <w:tab/>
        <w:t xml:space="preserve">oczekuje, że przegląd ogólnego rozporządzenia w sprawie </w:t>
      </w:r>
      <w:proofErr w:type="spellStart"/>
      <w:r w:rsidRPr="00781E11">
        <w:t>wyłączeń</w:t>
      </w:r>
      <w:proofErr w:type="spellEnd"/>
      <w:r w:rsidRPr="00781E11">
        <w:t xml:space="preserve"> grupowych</w:t>
      </w:r>
      <w:r w:rsidR="00E92A31">
        <w:rPr>
          <w:rStyle w:val="FootnoteReference"/>
        </w:rPr>
        <w:footnoteReference w:id="26"/>
      </w:r>
      <w:r w:rsidRPr="00781E11">
        <w:t xml:space="preserve"> rozwiąże obecne problemy związane z definicją „przedsiębiorstwa znajdującego się w trudnej sytuacji” oraz unowocześni i uprości zasady pomocy państwa, by ograniczyć biurokrację i zwiększyć konkurencyjność UE; z zadowoleniem przyjmuje rozpoczęcie konsultacji publicznych w celu zebrania informacji na temat zakresu i zawartości przeglądu;</w:t>
      </w:r>
    </w:p>
    <w:p w14:paraId="3DB54964" w14:textId="77777777" w:rsidR="00D12E6F" w:rsidRPr="00781E11" w:rsidRDefault="00D12E6F" w:rsidP="00D12E6F">
      <w:pPr>
        <w:pStyle w:val="NormalHanging12a"/>
      </w:pPr>
      <w:r w:rsidRPr="00781E11">
        <w:t>56.</w:t>
      </w:r>
      <w:r w:rsidRPr="00781E11">
        <w:tab/>
        <w:t>z zadowoleniem przyjmuje uchwalenie zmienionej decyzji w sprawie UOIG, by umożliwić państwom członkowskim wspieranie projektów na rzecz godziwych, zrównoważonych, energooszczędnych, sprzyjających włączeniu społecznemu i przystępnych cenowo mieszkań, również dla gospodarstw domowych o średnich dochodach; wzywa Komisję do monitorowania wdrażania zmienionej decyzji w sprawie UOIG oraz do zbadania, czy progi i warunki są wystarczająco elastyczne, aby zaspokoić potrzeby państw członkowskich; apeluje o uproszczenie procedur zgłaszania środków pomocy państwa związanych z UOIG, gdyż nie stwarzają one znacznego zagrożenia dla konkurencji;</w:t>
      </w:r>
    </w:p>
    <w:p w14:paraId="6ECD4390" w14:textId="77777777" w:rsidR="00D12E6F" w:rsidRPr="00781E11" w:rsidRDefault="00D12E6F" w:rsidP="00D12E6F">
      <w:pPr>
        <w:pStyle w:val="NormalHanging12a"/>
      </w:pPr>
      <w:r w:rsidRPr="00781E11">
        <w:t>57.</w:t>
      </w:r>
      <w:r w:rsidRPr="00781E11">
        <w:tab/>
        <w:t>zwraca się do Komisji o ocenę wpływu koncentracji rynku w sektorze nieruchomości i w sektorach powiązanych, takich jak budownictwo i zarządzanie nieruchomościami, w celu dopilnowania, aby efektywna konkurencja pomagała ograniczyć ceny i poprawić dostęp do mieszkań;</w:t>
      </w:r>
    </w:p>
    <w:p w14:paraId="53A5DB08" w14:textId="154886B1" w:rsidR="00D12E6F" w:rsidRPr="00781E11" w:rsidRDefault="00D12E6F" w:rsidP="00D12E6F">
      <w:pPr>
        <w:pStyle w:val="NormalHanging12a"/>
      </w:pPr>
      <w:r w:rsidRPr="00781E11">
        <w:lastRenderedPageBreak/>
        <w:t>58.</w:t>
      </w:r>
      <w:r w:rsidRPr="00781E11">
        <w:tab/>
        <w:t xml:space="preserve">dostrzega zakłócenia uczciwej konkurencji spowodowane agresywnym planowaniem podatkowym i wynikające z systemów podatkowych, w tym z umów podatkowych, ponieważ mogą one hamować innowacje i zagrażać </w:t>
      </w:r>
      <w:proofErr w:type="spellStart"/>
      <w:r w:rsidRPr="00781E11">
        <w:t>kontestowalności</w:t>
      </w:r>
      <w:proofErr w:type="spellEnd"/>
      <w:r w:rsidRPr="00781E11">
        <w:t xml:space="preserve"> rynków, zwłaszcza dla MŚP; z zadowoleniem przyjmuje zalecenie Komisji z 14 lipca 2020 r.</w:t>
      </w:r>
      <w:r w:rsidR="00E92A31">
        <w:rPr>
          <w:rStyle w:val="FootnoteReference"/>
        </w:rPr>
        <w:footnoteReference w:id="27"/>
      </w:r>
      <w:r w:rsidRPr="00781E11">
        <w:t>, aby nie udzielać wsparcia finansowego przedsiębiorstwom mającym powiązania z rajami podatkowymi, a jednocześnie chronić uczciwych podatników; wzywa do wykluczenia z przyznawania pomocy państwa przedsiębiorstw mających siedzibę w krajach wymienionych w przyjętym przez Radę unijnym wykazie jurysdykcji niechętnych współpracy do celów podatkowych i zwraca się do Komisji o ocenę, czy obecne ramy przyczyniają się do większych wysiłków na rzecz zwalczania agresywnego planowania podatkowego i zjawiska rajów podatkowych;</w:t>
      </w:r>
    </w:p>
    <w:p w14:paraId="1CD09527" w14:textId="77777777" w:rsidR="00D12E6F" w:rsidRPr="00781E11" w:rsidRDefault="00D12E6F" w:rsidP="00D12E6F">
      <w:pPr>
        <w:pStyle w:val="Normal12a"/>
      </w:pPr>
      <w:r w:rsidRPr="00781E11">
        <w:rPr>
          <w:b/>
          <w:i/>
        </w:rPr>
        <w:t xml:space="preserve">Rola Parlamentu </w:t>
      </w:r>
    </w:p>
    <w:p w14:paraId="08F6CB71" w14:textId="77777777" w:rsidR="00D12E6F" w:rsidRPr="00781E11" w:rsidRDefault="00D12E6F" w:rsidP="00D12E6F">
      <w:pPr>
        <w:pStyle w:val="NormalHanging12a"/>
      </w:pPr>
      <w:r w:rsidRPr="00781E11">
        <w:t>59.</w:t>
      </w:r>
      <w:r w:rsidRPr="00781E11">
        <w:tab/>
        <w:t>ubolewa nad brakiem kierowanych do niego informacji na temat przeglądu i wdrażania reguł konkurencji oraz podkreśla, że Parlament powinien być należycie zaangażowany w kształtowanie polityki konkurencji; podkreśla ponadto, że konieczna jest szczerość wobec Parlamentu w kwestii rozmów z państwami spoza UE, jeśli mogą one wpłynąć na egzekwowanie DMA;</w:t>
      </w:r>
    </w:p>
    <w:p w14:paraId="7EE77275" w14:textId="77777777" w:rsidR="00D12E6F" w:rsidRPr="00781E11" w:rsidRDefault="00D12E6F" w:rsidP="00D12E6F">
      <w:pPr>
        <w:pStyle w:val="NormalHanging12a"/>
      </w:pPr>
      <w:r w:rsidRPr="00781E11">
        <w:t>60.</w:t>
      </w:r>
      <w:r w:rsidRPr="00781E11">
        <w:tab/>
        <w:t>apeluje w tym kontekście o zorganizowany i regularny dialog między Komisją a Parlamentem na temat polityki konkurencji, w tym na temat przeglądu i wdrażania reguł konkurencji; wzywa Komisję do dostarczania właściwej komisji Parlamentu w stosownym czasie wyczerpujących informacji na temat istotnych decyzji wykonawczych, wniosków ustawodawczych i najważniejszych instrumentów „miękkiego prawa”; apeluje o zawarcie porozumienia międzyinstytucjonalnego w celu sformalizowania roli Parlamentu w nadzorze nad polityką konkurencji, w tym zasięgania jego opinii przy ustalaniu priorytetów na potrzeby wytycznych i ram;</w:t>
      </w:r>
    </w:p>
    <w:p w14:paraId="101EEC7E" w14:textId="77777777" w:rsidR="00D12E6F" w:rsidRPr="00781E11" w:rsidRDefault="00D12E6F" w:rsidP="00D12E6F">
      <w:pPr>
        <w:pStyle w:val="NormalHanging12a"/>
      </w:pPr>
      <w:r w:rsidRPr="00781E11">
        <w:t>61.</w:t>
      </w:r>
      <w:r w:rsidRPr="00781E11">
        <w:tab/>
        <w:t>przestrzega przed nadmiernym poleganiem na instrumentach miękkiego prawa, takich jak wytyczne i tymczasowe ramy, w których Parlament uczestniczy w ograniczonym stopniu; zachęca Radę Europejską do przyjmowania na podstawie art. 48 ust. 7 akapit drugi Traktatu o Unii Europejskiej decyzji przewidujących przyjęcie aktów ustawodawczych w dziedzinie polityki konkurencji zgodnie ze zwykłą procedurą ustawodawczą;</w:t>
      </w:r>
    </w:p>
    <w:p w14:paraId="0D63462A" w14:textId="77777777" w:rsidR="00D12E6F" w:rsidRPr="00781E11" w:rsidRDefault="00D12E6F" w:rsidP="00D12E6F">
      <w:pPr>
        <w:pStyle w:val="NormalHanging12a"/>
      </w:pPr>
      <w:r w:rsidRPr="00781E11">
        <w:t>62.</w:t>
      </w:r>
      <w:r w:rsidRPr="00781E11">
        <w:tab/>
        <w:t>zachęca do wymiany najlepszych praktyk na forach międzynarodowych, takich jak Międzynarodowa Sieć Konkurencji (ICN) oraz Komitet Organizacji Współpracy Gospodarczej i Rozwoju ds. Konkurencji; wzywa Komisję, aby dążyła do stałego dialogu i współpracy na szczeblu międzynarodowym, w tym za pośrednictwem umów o współpracy drugiej generacji, które umożliwiają skuteczniejszą wymianę informacji między organami ochrony konkurencji, oraz ubolewa, że w przeszłości nie dążono do tego w wystarczającym stopniu; wzywa Komisję do opracowania strategii na rzecz odgrywania przez UE na szczeblu międzynarodowym wiodącej roli w promowaniu skutecznej konkurencji;</w:t>
      </w:r>
    </w:p>
    <w:p w14:paraId="34876910" w14:textId="77777777" w:rsidR="00D12E6F" w:rsidRPr="00781E11" w:rsidRDefault="00D12E6F" w:rsidP="00D12E6F">
      <w:pPr>
        <w:pStyle w:val="NormalCenter12a"/>
      </w:pPr>
      <w:r w:rsidRPr="00781E11">
        <w:lastRenderedPageBreak/>
        <w:t>°</w:t>
      </w:r>
    </w:p>
    <w:p w14:paraId="49D6604E" w14:textId="77777777" w:rsidR="00D12E6F" w:rsidRPr="00781E11" w:rsidRDefault="00D12E6F" w:rsidP="00D12E6F">
      <w:pPr>
        <w:pStyle w:val="NormalCenter12a"/>
      </w:pPr>
      <w:r w:rsidRPr="00781E11">
        <w:t>°</w:t>
      </w:r>
      <w:r w:rsidRPr="00781E11">
        <w:tab/>
        <w:t>°</w:t>
      </w:r>
    </w:p>
    <w:p w14:paraId="403973D7" w14:textId="4646984C" w:rsidR="00781E11" w:rsidRPr="00781E11" w:rsidRDefault="00D12E6F" w:rsidP="00781E11">
      <w:pPr>
        <w:pStyle w:val="NormalHanging12a"/>
      </w:pPr>
      <w:r w:rsidRPr="00781E11">
        <w:t>63.</w:t>
      </w:r>
      <w:r w:rsidRPr="00781E11">
        <w:tab/>
        <w:t>zobowiązuje swoją przewodniczącą do przekazania niniejszej rezolucji Radzie i Komisji.</w:t>
      </w:r>
    </w:p>
    <w:p w14:paraId="58771E6C" w14:textId="04ADC5B3" w:rsidR="00E365E1" w:rsidRPr="00781E11" w:rsidRDefault="00E365E1" w:rsidP="004D2CE3"/>
    <w:sectPr w:rsidR="00E365E1" w:rsidRPr="00781E11" w:rsidSect="00781E1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6C2A52" w14:textId="77777777" w:rsidR="004D2CE3" w:rsidRPr="00781E11" w:rsidRDefault="004D2CE3">
      <w:r w:rsidRPr="00781E11">
        <w:separator/>
      </w:r>
    </w:p>
  </w:endnote>
  <w:endnote w:type="continuationSeparator" w:id="0">
    <w:p w14:paraId="0539A53C" w14:textId="77777777" w:rsidR="004D2CE3" w:rsidRPr="00781E11" w:rsidRDefault="004D2CE3">
      <w:r w:rsidRPr="00781E1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0CDBC" w14:textId="77777777" w:rsidR="00064002" w:rsidRPr="00781E1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569C0C" w14:textId="77777777" w:rsidR="00064002" w:rsidRPr="00781E1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873A4" w14:textId="77777777" w:rsidR="00064002" w:rsidRPr="00781E1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C0F0BC" w14:textId="77777777" w:rsidR="004D2CE3" w:rsidRPr="00781E11" w:rsidRDefault="004D2CE3">
      <w:r w:rsidRPr="00781E11">
        <w:separator/>
      </w:r>
    </w:p>
  </w:footnote>
  <w:footnote w:type="continuationSeparator" w:id="0">
    <w:p w14:paraId="41705215" w14:textId="77777777" w:rsidR="004D2CE3" w:rsidRPr="00781E11" w:rsidRDefault="004D2CE3">
      <w:r w:rsidRPr="00781E11">
        <w:continuationSeparator/>
      </w:r>
    </w:p>
  </w:footnote>
  <w:footnote w:id="1">
    <w:p w14:paraId="76A18A68" w14:textId="64A567C2" w:rsidR="00E92A31" w:rsidRPr="00781E11" w:rsidRDefault="00E92A31" w:rsidP="00781E11">
      <w:pPr>
        <w:pStyle w:val="FootnoteText"/>
        <w:ind w:left="567" w:hanging="567"/>
        <w:rPr>
          <w:sz w:val="24"/>
          <w:lang w:val="pl-PL"/>
        </w:rPr>
      </w:pPr>
      <w:r>
        <w:rPr>
          <w:rStyle w:val="FootnoteReference"/>
        </w:rPr>
        <w:footnoteRef/>
      </w:r>
      <w:r w:rsidRPr="00781E11">
        <w:rPr>
          <w:sz w:val="24"/>
          <w:lang w:val="pl-PL"/>
        </w:rPr>
        <w:t xml:space="preserve"> </w:t>
      </w:r>
      <w:r w:rsidRPr="00781E11">
        <w:rPr>
          <w:sz w:val="24"/>
          <w:lang w:val="pl-PL"/>
        </w:rPr>
        <w:tab/>
        <w:t xml:space="preserve">Dz.U. L 265 z 12.10.2022, s. 1, ELI: </w:t>
      </w:r>
      <w:hyperlink r:id="rId1" w:tgtFrame="http://data.europa.eu/eli/reg/2022/1925/oj" w:history="1">
        <w:r w:rsidRPr="00781E11">
          <w:rPr>
            <w:rStyle w:val="Hyperlink"/>
            <w:sz w:val="24"/>
            <w:lang w:val="pl-PL"/>
          </w:rPr>
          <w:t>http://data.europa.eu/eli/reg/2022/1925/oj</w:t>
        </w:r>
      </w:hyperlink>
      <w:r w:rsidRPr="00781E11">
        <w:rPr>
          <w:sz w:val="24"/>
          <w:lang w:val="pl-PL"/>
        </w:rPr>
        <w:t>.</w:t>
      </w:r>
    </w:p>
  </w:footnote>
  <w:footnote w:id="2">
    <w:p w14:paraId="3DFF9E57" w14:textId="5B681499" w:rsidR="00E92A31" w:rsidRPr="00781E11" w:rsidRDefault="00E92A31" w:rsidP="00781E11">
      <w:pPr>
        <w:pStyle w:val="FootnoteText"/>
        <w:ind w:left="567" w:hanging="567"/>
        <w:rPr>
          <w:sz w:val="24"/>
          <w:lang w:val="pl-PL"/>
        </w:rPr>
      </w:pPr>
      <w:r>
        <w:rPr>
          <w:rStyle w:val="FootnoteReference"/>
        </w:rPr>
        <w:footnoteRef/>
      </w:r>
      <w:r w:rsidRPr="00781E11">
        <w:rPr>
          <w:sz w:val="24"/>
          <w:lang w:val="pl-PL"/>
        </w:rPr>
        <w:t xml:space="preserve"> </w:t>
      </w:r>
      <w:r w:rsidRPr="00781E11">
        <w:rPr>
          <w:sz w:val="24"/>
          <w:lang w:val="pl-PL"/>
        </w:rPr>
        <w:tab/>
        <w:t xml:space="preserve">Dz.U. L 277 z 27.10.2022, s. 1, ELI: </w:t>
      </w:r>
      <w:hyperlink r:id="rId2" w:tgtFrame="http://data.europa.eu/eli/reg/2022/2065/oj" w:history="1">
        <w:r w:rsidRPr="00781E11">
          <w:rPr>
            <w:rStyle w:val="Hyperlink"/>
            <w:sz w:val="24"/>
            <w:lang w:val="pl-PL"/>
          </w:rPr>
          <w:t>http://data.europa.eu/eli/reg/2022/2065/oj</w:t>
        </w:r>
      </w:hyperlink>
      <w:r w:rsidRPr="00781E11">
        <w:rPr>
          <w:sz w:val="24"/>
          <w:lang w:val="pl-PL"/>
        </w:rPr>
        <w:t>.</w:t>
      </w:r>
    </w:p>
  </w:footnote>
  <w:footnote w:id="3">
    <w:p w14:paraId="18C14A30" w14:textId="285B29F7" w:rsidR="00E92A31" w:rsidRPr="00781E11" w:rsidRDefault="00E92A31" w:rsidP="00781E11">
      <w:pPr>
        <w:pStyle w:val="FootnoteText"/>
        <w:ind w:left="567" w:hanging="567"/>
        <w:rPr>
          <w:sz w:val="24"/>
          <w:lang w:val="pl-PL"/>
        </w:rPr>
      </w:pPr>
      <w:r>
        <w:rPr>
          <w:rStyle w:val="FootnoteReference"/>
        </w:rPr>
        <w:footnoteRef/>
      </w:r>
      <w:r w:rsidRPr="00781E11">
        <w:rPr>
          <w:sz w:val="24"/>
          <w:lang w:val="pl-PL"/>
        </w:rPr>
        <w:t xml:space="preserve"> </w:t>
      </w:r>
      <w:r w:rsidRPr="00781E11">
        <w:rPr>
          <w:sz w:val="24"/>
          <w:lang w:val="pl-PL"/>
        </w:rPr>
        <w:tab/>
        <w:t xml:space="preserve">Dz.U. L 24 z 29.1.2004, s. 1, ELI: </w:t>
      </w:r>
      <w:hyperlink r:id="rId3" w:tgtFrame="https://eur-lex.europa.eu/legal-content/PL/TXT/?uri=CELEX%3A32004R0139&amp;qid=1781794408115" w:history="1">
        <w:r w:rsidRPr="00781E11">
          <w:rPr>
            <w:rStyle w:val="Hyperlink"/>
            <w:sz w:val="24"/>
            <w:lang w:val="pl-PL"/>
          </w:rPr>
          <w:t>http://data.europa.eu/eli/reg/2004/139/oj.</w:t>
        </w:r>
      </w:hyperlink>
    </w:p>
  </w:footnote>
  <w:footnote w:id="4">
    <w:p w14:paraId="096CE161" w14:textId="7AF3CEB1" w:rsidR="00E92A31" w:rsidRPr="00781E11" w:rsidRDefault="00E92A31" w:rsidP="00781E11">
      <w:pPr>
        <w:pStyle w:val="FootnoteText"/>
        <w:ind w:left="567" w:hanging="567"/>
        <w:rPr>
          <w:sz w:val="24"/>
          <w:lang w:val="pl-PL"/>
        </w:rPr>
      </w:pPr>
      <w:r>
        <w:rPr>
          <w:rStyle w:val="FootnoteReference"/>
        </w:rPr>
        <w:footnoteRef/>
      </w:r>
      <w:r w:rsidRPr="00781E11">
        <w:rPr>
          <w:sz w:val="24"/>
          <w:lang w:val="pl-PL"/>
        </w:rPr>
        <w:t xml:space="preserve"> </w:t>
      </w:r>
      <w:r w:rsidRPr="00781E11">
        <w:rPr>
          <w:sz w:val="24"/>
          <w:lang w:val="pl-PL"/>
        </w:rPr>
        <w:tab/>
        <w:t>Dz.U. C 31 z 5.2.2004, s. 5.</w:t>
      </w:r>
    </w:p>
  </w:footnote>
  <w:footnote w:id="5">
    <w:p w14:paraId="418B13BC" w14:textId="0C895C8A" w:rsidR="00E92A31" w:rsidRPr="00781E11" w:rsidRDefault="00E92A31" w:rsidP="00781E11">
      <w:pPr>
        <w:pStyle w:val="FootnoteText"/>
        <w:ind w:left="567" w:hanging="567"/>
        <w:rPr>
          <w:sz w:val="24"/>
          <w:lang w:val="pl-PL"/>
        </w:rPr>
      </w:pPr>
      <w:r>
        <w:rPr>
          <w:rStyle w:val="FootnoteReference"/>
        </w:rPr>
        <w:footnoteRef/>
      </w:r>
      <w:r w:rsidRPr="00781E11">
        <w:rPr>
          <w:sz w:val="24"/>
          <w:lang w:val="pl-PL"/>
        </w:rPr>
        <w:t xml:space="preserve"> </w:t>
      </w:r>
      <w:r w:rsidRPr="00781E11">
        <w:rPr>
          <w:sz w:val="24"/>
          <w:lang w:val="pl-PL"/>
        </w:rPr>
        <w:tab/>
        <w:t>Dz.U. C 265 z 18.10.2008, s. 6.</w:t>
      </w:r>
    </w:p>
  </w:footnote>
  <w:footnote w:id="6">
    <w:p w14:paraId="5F4689CD" w14:textId="678DB067" w:rsidR="00E92A31" w:rsidRPr="00E92A31" w:rsidRDefault="00E92A31" w:rsidP="00781E11">
      <w:pPr>
        <w:pStyle w:val="FootnoteText"/>
        <w:ind w:left="567" w:hanging="567"/>
        <w:rPr>
          <w:sz w:val="24"/>
          <w:lang w:val="fi-FI"/>
        </w:rPr>
      </w:pPr>
      <w:r>
        <w:rPr>
          <w:rStyle w:val="FootnoteReference"/>
        </w:rPr>
        <w:footnoteRef/>
      </w:r>
      <w:r w:rsidRPr="00E92A31">
        <w:rPr>
          <w:sz w:val="24"/>
          <w:lang w:val="fi-FI"/>
        </w:rPr>
        <w:t xml:space="preserve"> </w:t>
      </w:r>
      <w:r w:rsidRPr="00E92A31">
        <w:rPr>
          <w:sz w:val="24"/>
          <w:lang w:val="fi-FI"/>
        </w:rPr>
        <w:tab/>
      </w:r>
      <w:proofErr w:type="spellStart"/>
      <w:r w:rsidRPr="00E92A31">
        <w:rPr>
          <w:sz w:val="24"/>
          <w:lang w:val="fi-FI"/>
        </w:rPr>
        <w:t>Dz.U</w:t>
      </w:r>
      <w:proofErr w:type="spellEnd"/>
      <w:r w:rsidRPr="00E92A31">
        <w:rPr>
          <w:sz w:val="24"/>
          <w:lang w:val="fi-FI"/>
        </w:rPr>
        <w:t xml:space="preserve">. C, C/2026/1472, 9.4.2026, ELI: </w:t>
      </w:r>
      <w:hyperlink r:id="rId4" w:tgtFrame="http://data.europa.eu/eli/C/2026/1472/oj" w:history="1">
        <w:r w:rsidRPr="00E92A31">
          <w:rPr>
            <w:rStyle w:val="Hyperlink"/>
            <w:sz w:val="24"/>
            <w:lang w:val="fi-FI"/>
          </w:rPr>
          <w:t>http://data.europa.eu/eli/C/2026/1472/oj</w:t>
        </w:r>
      </w:hyperlink>
      <w:r w:rsidRPr="00E92A31">
        <w:rPr>
          <w:sz w:val="24"/>
          <w:lang w:val="fi-FI"/>
        </w:rPr>
        <w:t>.</w:t>
      </w:r>
    </w:p>
  </w:footnote>
  <w:footnote w:id="7">
    <w:p w14:paraId="4A698D9D" w14:textId="4167F348" w:rsidR="00E92A31" w:rsidRPr="00781E11" w:rsidRDefault="00E92A31" w:rsidP="00781E11">
      <w:pPr>
        <w:pStyle w:val="FootnoteText"/>
        <w:ind w:left="567" w:hanging="567"/>
        <w:rPr>
          <w:sz w:val="24"/>
          <w:lang w:val="pl-PL"/>
        </w:rPr>
      </w:pPr>
      <w:r>
        <w:rPr>
          <w:rStyle w:val="FootnoteReference"/>
        </w:rPr>
        <w:footnoteRef/>
      </w:r>
      <w:r w:rsidRPr="00781E11">
        <w:rPr>
          <w:sz w:val="24"/>
          <w:lang w:val="pl-PL"/>
        </w:rPr>
        <w:t xml:space="preserve"> </w:t>
      </w:r>
      <w:r w:rsidRPr="00781E11">
        <w:rPr>
          <w:sz w:val="24"/>
          <w:lang w:val="pl-PL"/>
        </w:rPr>
        <w:tab/>
        <w:t>Komisja Europejska, Dyrekcja Generalna ds. Konkurencji, „</w:t>
      </w:r>
      <w:hyperlink r:id="rId5" w:tgtFrame="https://competition-policy.ec.europa.eu/document/download/53e9348d-4f11-46ef-9098-526e24313ee8_en?filename=kd0125000enn_ex-post_evaluation_antitrust_remedies_study_e-version.pdf" w:history="1">
        <w:r w:rsidRPr="00781E11">
          <w:rPr>
            <w:rStyle w:val="Hyperlink"/>
            <w:sz w:val="24"/>
            <w:lang w:val="pl-PL"/>
          </w:rPr>
          <w:t>Ewaluacja ex post stosowania i skuteczności środków zaradczych UE</w:t>
        </w:r>
      </w:hyperlink>
      <w:r w:rsidRPr="00781E11">
        <w:rPr>
          <w:sz w:val="24"/>
          <w:lang w:val="pl-PL"/>
        </w:rPr>
        <w:t>”, 2025 r.,</w:t>
      </w:r>
    </w:p>
  </w:footnote>
  <w:footnote w:id="8">
    <w:p w14:paraId="277F8CF6" w14:textId="32234865" w:rsidR="00E92A31" w:rsidRPr="00781E11" w:rsidRDefault="00E92A31" w:rsidP="00781E11">
      <w:pPr>
        <w:pStyle w:val="FootnoteText"/>
        <w:ind w:left="567" w:hanging="567"/>
        <w:rPr>
          <w:sz w:val="24"/>
          <w:lang w:val="pl-PL"/>
        </w:rPr>
      </w:pPr>
      <w:r>
        <w:rPr>
          <w:rStyle w:val="FootnoteReference"/>
        </w:rPr>
        <w:footnoteRef/>
      </w:r>
      <w:r w:rsidRPr="00781E11">
        <w:rPr>
          <w:sz w:val="24"/>
          <w:lang w:val="pl-PL"/>
        </w:rPr>
        <w:t xml:space="preserve"> </w:t>
      </w:r>
      <w:r w:rsidRPr="00781E11">
        <w:rPr>
          <w:sz w:val="24"/>
          <w:lang w:val="pl-PL"/>
        </w:rPr>
        <w:tab/>
        <w:t xml:space="preserve">Dz.U. L 330 z 23.12.2022, s. 1, ELI: </w:t>
      </w:r>
      <w:hyperlink r:id="rId6" w:tgtFrame="http://data.europa.eu/eli/reg/2022/2560/oj" w:history="1">
        <w:r w:rsidRPr="00781E11">
          <w:rPr>
            <w:rStyle w:val="Hyperlink"/>
            <w:sz w:val="24"/>
            <w:lang w:val="pl-PL"/>
          </w:rPr>
          <w:t>http://data.europa.eu/eli/reg/2022/2560/oj</w:t>
        </w:r>
      </w:hyperlink>
      <w:r w:rsidRPr="00781E11">
        <w:rPr>
          <w:sz w:val="24"/>
          <w:lang w:val="pl-PL"/>
        </w:rPr>
        <w:t>.</w:t>
      </w:r>
    </w:p>
  </w:footnote>
  <w:footnote w:id="9">
    <w:p w14:paraId="4026800B" w14:textId="53052407" w:rsidR="00E92A31" w:rsidRPr="00E92A31" w:rsidRDefault="00E92A31" w:rsidP="00781E11">
      <w:pPr>
        <w:pStyle w:val="FootnoteText"/>
        <w:ind w:left="567" w:hanging="567"/>
        <w:rPr>
          <w:sz w:val="24"/>
          <w:lang w:val="fi-FI"/>
        </w:rPr>
      </w:pPr>
      <w:r>
        <w:rPr>
          <w:rStyle w:val="FootnoteReference"/>
        </w:rPr>
        <w:footnoteRef/>
      </w:r>
      <w:r w:rsidRPr="00E92A31">
        <w:rPr>
          <w:sz w:val="24"/>
          <w:lang w:val="fi-FI"/>
        </w:rPr>
        <w:t xml:space="preserve"> </w:t>
      </w:r>
      <w:r w:rsidRPr="00E92A31">
        <w:rPr>
          <w:sz w:val="24"/>
          <w:lang w:val="fi-FI"/>
        </w:rPr>
        <w:tab/>
      </w:r>
      <w:proofErr w:type="spellStart"/>
      <w:r w:rsidRPr="00E92A31">
        <w:rPr>
          <w:sz w:val="24"/>
          <w:lang w:val="fi-FI"/>
        </w:rPr>
        <w:t>Dz.U</w:t>
      </w:r>
      <w:proofErr w:type="spellEnd"/>
      <w:r w:rsidRPr="00E92A31">
        <w:rPr>
          <w:sz w:val="24"/>
          <w:lang w:val="fi-FI"/>
        </w:rPr>
        <w:t xml:space="preserve">. C, C/2026/224, 13.1.2026, ELI: </w:t>
      </w:r>
      <w:r>
        <w:fldChar w:fldCharType="begin"/>
      </w:r>
      <w:r w:rsidRPr="001B529C">
        <w:rPr>
          <w:lang w:val="fi-FI"/>
        </w:rPr>
        <w:instrText>HYPERLINK "http://data.europa.eu/eli/C/2026/224/oj" \t "http://data.europa.eu/eli/C/2026/224/oj"</w:instrText>
      </w:r>
      <w:r>
        <w:fldChar w:fldCharType="separate"/>
      </w:r>
      <w:r w:rsidRPr="00E92A31">
        <w:rPr>
          <w:rStyle w:val="Hyperlink"/>
          <w:sz w:val="24"/>
          <w:lang w:val="fi-FI"/>
        </w:rPr>
        <w:t>http://data.europa.eu/eli/C/2026/224/oj</w:t>
      </w:r>
      <w:r>
        <w:fldChar w:fldCharType="end"/>
      </w:r>
      <w:r w:rsidRPr="00E92A31">
        <w:rPr>
          <w:sz w:val="24"/>
          <w:lang w:val="fi-FI"/>
        </w:rPr>
        <w:t>.</w:t>
      </w:r>
    </w:p>
  </w:footnote>
  <w:footnote w:id="10">
    <w:p w14:paraId="57280309" w14:textId="63CE0F40" w:rsidR="00E92A31" w:rsidRPr="00E92A31" w:rsidRDefault="00E92A31" w:rsidP="00781E11">
      <w:pPr>
        <w:pStyle w:val="FootnoteText"/>
        <w:ind w:left="567" w:hanging="567"/>
        <w:rPr>
          <w:sz w:val="24"/>
          <w:lang w:val="fi-FI"/>
        </w:rPr>
      </w:pPr>
      <w:r>
        <w:rPr>
          <w:rStyle w:val="FootnoteReference"/>
        </w:rPr>
        <w:footnoteRef/>
      </w:r>
      <w:r w:rsidRPr="00E92A31">
        <w:rPr>
          <w:sz w:val="24"/>
          <w:lang w:val="fi-FI"/>
        </w:rPr>
        <w:t xml:space="preserve"> </w:t>
      </w:r>
      <w:r w:rsidRPr="00E92A31">
        <w:rPr>
          <w:sz w:val="24"/>
          <w:lang w:val="fi-FI"/>
        </w:rPr>
        <w:tab/>
      </w:r>
      <w:proofErr w:type="spellStart"/>
      <w:r w:rsidRPr="00E92A31">
        <w:rPr>
          <w:sz w:val="24"/>
          <w:lang w:val="fi-FI"/>
        </w:rPr>
        <w:t>Dz.U</w:t>
      </w:r>
      <w:proofErr w:type="spellEnd"/>
      <w:r w:rsidRPr="00E92A31">
        <w:rPr>
          <w:sz w:val="24"/>
          <w:lang w:val="fi-FI"/>
        </w:rPr>
        <w:t xml:space="preserve">. C, C/2025/3602, 4.7.2025, ELI: </w:t>
      </w:r>
      <w:r>
        <w:fldChar w:fldCharType="begin"/>
      </w:r>
      <w:r w:rsidRPr="001B529C">
        <w:rPr>
          <w:lang w:val="fi-FI"/>
        </w:rPr>
        <w:instrText>HYPERLINK "http://data.europa.eu/eli/C/2025/3602/oj" \t "http://data.europa.eu/eli/C/2025/3602/oj"</w:instrText>
      </w:r>
      <w:r>
        <w:fldChar w:fldCharType="separate"/>
      </w:r>
      <w:r w:rsidRPr="00E92A31">
        <w:rPr>
          <w:rStyle w:val="Hyperlink"/>
          <w:sz w:val="24"/>
          <w:lang w:val="fi-FI"/>
        </w:rPr>
        <w:t>http://data.europa.eu/eli/C/2025/3602/oj</w:t>
      </w:r>
      <w:r>
        <w:fldChar w:fldCharType="end"/>
      </w:r>
      <w:r w:rsidRPr="00E92A31">
        <w:rPr>
          <w:sz w:val="24"/>
          <w:lang w:val="fi-FI"/>
        </w:rPr>
        <w:t>.</w:t>
      </w:r>
    </w:p>
  </w:footnote>
  <w:footnote w:id="11">
    <w:p w14:paraId="142ACA28" w14:textId="3A7DD03D" w:rsidR="00E92A31" w:rsidRPr="00E92A31" w:rsidRDefault="00E92A31" w:rsidP="00781E11">
      <w:pPr>
        <w:pStyle w:val="FootnoteText"/>
        <w:ind w:left="567" w:hanging="567"/>
        <w:rPr>
          <w:sz w:val="24"/>
          <w:lang w:val="fi-FI"/>
        </w:rPr>
      </w:pPr>
      <w:r>
        <w:rPr>
          <w:rStyle w:val="FootnoteReference"/>
        </w:rPr>
        <w:footnoteRef/>
      </w:r>
      <w:r w:rsidRPr="00E92A31">
        <w:rPr>
          <w:sz w:val="24"/>
          <w:lang w:val="fi-FI"/>
        </w:rPr>
        <w:t xml:space="preserve"> </w:t>
      </w:r>
      <w:r w:rsidRPr="00E92A31">
        <w:rPr>
          <w:sz w:val="24"/>
          <w:lang w:val="fi-FI"/>
        </w:rPr>
        <w:tab/>
      </w:r>
      <w:proofErr w:type="spellStart"/>
      <w:r w:rsidRPr="00E92A31">
        <w:rPr>
          <w:sz w:val="24"/>
          <w:lang w:val="fi-FI"/>
        </w:rPr>
        <w:t>Dz.U</w:t>
      </w:r>
      <w:proofErr w:type="spellEnd"/>
      <w:r w:rsidRPr="00E92A31">
        <w:rPr>
          <w:sz w:val="24"/>
          <w:lang w:val="fi-FI"/>
        </w:rPr>
        <w:t xml:space="preserve">. L, 2025/2630, 19.12.2025, ELI: </w:t>
      </w:r>
      <w:r>
        <w:fldChar w:fldCharType="begin"/>
      </w:r>
      <w:r w:rsidRPr="001B529C">
        <w:rPr>
          <w:lang w:val="fi-FI"/>
        </w:rPr>
        <w:instrText>HYPERLINK "http://data.europa.eu/eli/dec/2025/2630/oj" \t "http://data.europa.eu/eli/dec/2025/2630/oj"</w:instrText>
      </w:r>
      <w:r>
        <w:fldChar w:fldCharType="separate"/>
      </w:r>
      <w:r w:rsidRPr="00E92A31">
        <w:rPr>
          <w:rStyle w:val="Hyperlink"/>
          <w:sz w:val="24"/>
          <w:lang w:val="fi-FI"/>
        </w:rPr>
        <w:t>http://data.europa.eu/eli/dec/2025/2630/oj</w:t>
      </w:r>
      <w:r>
        <w:fldChar w:fldCharType="end"/>
      </w:r>
      <w:r w:rsidRPr="00E92A31">
        <w:rPr>
          <w:sz w:val="24"/>
          <w:lang w:val="fi-FI"/>
        </w:rPr>
        <w:t>.</w:t>
      </w:r>
    </w:p>
  </w:footnote>
  <w:footnote w:id="12">
    <w:p w14:paraId="74DED440" w14:textId="0052D455" w:rsidR="00E92A31" w:rsidRPr="00781E11" w:rsidRDefault="00E92A31" w:rsidP="00781E11">
      <w:pPr>
        <w:pStyle w:val="FootnoteText"/>
        <w:ind w:left="567" w:hanging="567"/>
        <w:rPr>
          <w:sz w:val="24"/>
          <w:lang w:val="pl-PL"/>
        </w:rPr>
      </w:pPr>
      <w:r>
        <w:rPr>
          <w:rStyle w:val="FootnoteReference"/>
        </w:rPr>
        <w:footnoteRef/>
      </w:r>
      <w:r w:rsidRPr="00781E11">
        <w:rPr>
          <w:sz w:val="24"/>
          <w:lang w:val="pl-PL"/>
        </w:rPr>
        <w:t xml:space="preserve"> </w:t>
      </w:r>
      <w:r w:rsidRPr="00781E11">
        <w:rPr>
          <w:sz w:val="24"/>
          <w:lang w:val="pl-PL"/>
        </w:rPr>
        <w:tab/>
        <w:t xml:space="preserve">Rozporządzenie delegowane Komisji (UE) 2021/2139 z dnia 4 czerwca 2021 r. uzupełniające rozporządzenie Parlamentu Europejskiego i Rady (UE) 2020/852 poprzez ustanowienie technicznych kryteriów kwalifikacji służących określeniu warunków, na jakich dana działalność gospodarcza kwalifikuje się jako wnosząca istotny wkład w łagodzenie zmian klimatu lub w adaptację do zmian klimatu, a także określeniu, czy ta działalność gospodarcza nie wyrządza poważnych szkód względem żadnego z pozostałych celów środowiskowych (Dz.U. L 442 z 9.12.2021, s. 1, ELI: </w:t>
      </w:r>
      <w:r>
        <w:fldChar w:fldCharType="begin"/>
      </w:r>
      <w:r w:rsidRPr="001B529C">
        <w:rPr>
          <w:lang w:val="pl-PL"/>
        </w:rPr>
        <w:instrText>HYPERLINK "http://data.europa.eu/eli/reg_del/2021/2139/oj" \t "http://data.europa.eu/eli/reg_del/2021/2139/oj"</w:instrText>
      </w:r>
      <w:r>
        <w:fldChar w:fldCharType="separate"/>
      </w:r>
      <w:r w:rsidRPr="00781E11">
        <w:rPr>
          <w:rStyle w:val="Hyperlink"/>
          <w:sz w:val="24"/>
          <w:lang w:val="pl-PL"/>
        </w:rPr>
        <w:t>http://data.europa.eu/eli/reg_del/2021/2139/oj).</w:t>
      </w:r>
      <w:r>
        <w:fldChar w:fldCharType="end"/>
      </w:r>
    </w:p>
  </w:footnote>
  <w:footnote w:id="13">
    <w:p w14:paraId="1763258A" w14:textId="5D4E714E" w:rsidR="00E92A31" w:rsidRPr="00781E11" w:rsidRDefault="00E92A31" w:rsidP="00781E11">
      <w:pPr>
        <w:pStyle w:val="FootnoteText"/>
        <w:ind w:left="567" w:hanging="567"/>
        <w:rPr>
          <w:sz w:val="24"/>
          <w:lang w:val="pl-PL"/>
        </w:rPr>
      </w:pPr>
      <w:r>
        <w:rPr>
          <w:rStyle w:val="FootnoteReference"/>
        </w:rPr>
        <w:footnoteRef/>
      </w:r>
      <w:r w:rsidRPr="00781E11">
        <w:rPr>
          <w:sz w:val="24"/>
          <w:lang w:val="pl-PL"/>
        </w:rPr>
        <w:t xml:space="preserve"> </w:t>
      </w:r>
      <w:r w:rsidRPr="00781E11">
        <w:rPr>
          <w:sz w:val="24"/>
          <w:lang w:val="pl-PL"/>
        </w:rPr>
        <w:tab/>
        <w:t xml:space="preserve">Rozporządzenie delegowane Komisji (UE) 2022/1214 z dnia 9 marca 2022 r. zmieniające rozporządzenie delegowane (UE) 2021/2139 w odniesieniu do działalności gospodarczej w niektórych sektorach energetycznych oraz rozporządzenie delegowane (UE) 2021/2178 w odniesieniu do publicznego ujawniania szczególnych informacji w odniesieniu do tych rodzajów działalności gospodarczej (Dz.U. L 188 z 15.7.2022, s. 1, ELI: </w:t>
      </w:r>
      <w:r>
        <w:fldChar w:fldCharType="begin"/>
      </w:r>
      <w:r w:rsidRPr="001B529C">
        <w:rPr>
          <w:lang w:val="pl-PL"/>
        </w:rPr>
        <w:instrText>HYPERLINK "http://data.europa.eu/eli/reg_del/2022/1214/oj" \t "http://data.europa.eu/eli/reg_del/2022/1214/oj"</w:instrText>
      </w:r>
      <w:r>
        <w:fldChar w:fldCharType="separate"/>
      </w:r>
      <w:r w:rsidRPr="00781E11">
        <w:rPr>
          <w:rStyle w:val="Hyperlink"/>
          <w:sz w:val="24"/>
          <w:lang w:val="pl-PL"/>
        </w:rPr>
        <w:t>http://data.europa.eu/eli/reg_del/2022/1214/oj).</w:t>
      </w:r>
      <w:r>
        <w:fldChar w:fldCharType="end"/>
      </w:r>
    </w:p>
  </w:footnote>
  <w:footnote w:id="14">
    <w:p w14:paraId="3A9D0B6D" w14:textId="4EBB1B96" w:rsidR="00E92A31" w:rsidRPr="00781E11" w:rsidRDefault="00E92A31" w:rsidP="00781E11">
      <w:pPr>
        <w:pStyle w:val="FootnoteText"/>
        <w:ind w:left="567" w:hanging="567"/>
        <w:rPr>
          <w:sz w:val="24"/>
          <w:lang w:val="pl-PL"/>
        </w:rPr>
      </w:pPr>
      <w:r>
        <w:rPr>
          <w:rStyle w:val="FootnoteReference"/>
        </w:rPr>
        <w:footnoteRef/>
      </w:r>
      <w:r w:rsidRPr="00781E11">
        <w:rPr>
          <w:sz w:val="24"/>
          <w:lang w:val="pl-PL"/>
        </w:rPr>
        <w:t xml:space="preserve"> </w:t>
      </w:r>
      <w:r w:rsidRPr="00781E11">
        <w:rPr>
          <w:sz w:val="24"/>
          <w:lang w:val="pl-PL"/>
        </w:rPr>
        <w:tab/>
        <w:t xml:space="preserve">Rozporządzenie Parlamentu Europejskiego i Rady (UE) 2024/1252 z dnia 11 kwietnia 2024 r. w sprawie ustanowienia ram na potrzeby zapewnienia bezpiecznych i zrównoważonych dostaw surowców krytycznych oraz zmiany rozporządzeń (UE) nr 168/2013, (UE) 2018/858, (UE) 2018/1724 i (UE) 2019/1020 (Dz.U. L, 2024/1252, 3.5.2024, ELI: </w:t>
      </w:r>
      <w:hyperlink r:id="rId7" w:tgtFrame="http://data.europa.eu/eli/reg/2024/1252/oj" w:history="1">
        <w:r w:rsidRPr="00781E11">
          <w:rPr>
            <w:rStyle w:val="Hyperlink"/>
            <w:sz w:val="24"/>
            <w:lang w:val="pl-PL"/>
          </w:rPr>
          <w:t>http://data.europa.eu/eli/reg/2024/1252/oj).</w:t>
        </w:r>
      </w:hyperlink>
    </w:p>
  </w:footnote>
  <w:footnote w:id="15">
    <w:p w14:paraId="5C9A03C7" w14:textId="5C682DED" w:rsidR="00E92A31" w:rsidRPr="00781E11" w:rsidRDefault="00E92A31" w:rsidP="00781E11">
      <w:pPr>
        <w:pStyle w:val="FootnoteText"/>
        <w:ind w:left="567" w:hanging="567"/>
        <w:rPr>
          <w:sz w:val="24"/>
          <w:lang w:val="pl-PL"/>
        </w:rPr>
      </w:pPr>
      <w:r>
        <w:rPr>
          <w:rStyle w:val="FootnoteReference"/>
        </w:rPr>
        <w:footnoteRef/>
      </w:r>
      <w:r w:rsidRPr="00781E11">
        <w:rPr>
          <w:sz w:val="24"/>
          <w:lang w:val="pl-PL"/>
        </w:rPr>
        <w:t xml:space="preserve"> </w:t>
      </w:r>
      <w:r w:rsidRPr="00781E11">
        <w:rPr>
          <w:sz w:val="24"/>
          <w:lang w:val="pl-PL"/>
        </w:rPr>
        <w:tab/>
        <w:t xml:space="preserve">Decyzja Rady (UE) 2025/2376 z dnia 4 listopada 2025 r. w sprawie podpisania, w imieniu Unii Europejskiej, Umowy między Unią Europejską a Zjednoczonym Królestwem Wielkiej Brytanii i Irlandii Północnej o współpracy w zakresie stosowania przepisów ich prawa konkurencji (Dz.U. L, 2025/2376, 24.11.2025, ELI: </w:t>
      </w:r>
      <w:r>
        <w:fldChar w:fldCharType="begin"/>
      </w:r>
      <w:r w:rsidRPr="001B529C">
        <w:rPr>
          <w:lang w:val="pl-PL"/>
        </w:rPr>
        <w:instrText>HYPERLINK "http://data.europa.eu/eli/dec/2025/2376/oj" \t "http://data.europa.eu/eli/dec/2025/2376/oj"</w:instrText>
      </w:r>
      <w:r>
        <w:fldChar w:fldCharType="separate"/>
      </w:r>
      <w:r w:rsidRPr="00781E11">
        <w:rPr>
          <w:rStyle w:val="Hyperlink"/>
          <w:sz w:val="24"/>
          <w:lang w:val="pl-PL"/>
        </w:rPr>
        <w:t>http://data.europa.eu/eli/dec/2025/2376/oj).</w:t>
      </w:r>
      <w:r>
        <w:fldChar w:fldCharType="end"/>
      </w:r>
    </w:p>
  </w:footnote>
  <w:footnote w:id="16">
    <w:p w14:paraId="535DE874" w14:textId="3BD176A3" w:rsidR="001B529C" w:rsidRPr="001B529C" w:rsidRDefault="001B529C">
      <w:pPr>
        <w:pStyle w:val="FootnoteText"/>
        <w:rPr>
          <w:lang w:val="pl-PL"/>
        </w:rPr>
      </w:pPr>
      <w:r>
        <w:rPr>
          <w:rStyle w:val="FootnoteReference"/>
        </w:rPr>
        <w:footnoteRef/>
      </w:r>
      <w:r w:rsidRPr="001B529C">
        <w:rPr>
          <w:lang w:val="pl-PL"/>
        </w:rPr>
        <w:t xml:space="preserve"> </w:t>
      </w:r>
      <w:r>
        <w:rPr>
          <w:lang w:val="pl-PL"/>
        </w:rPr>
        <w:tab/>
      </w:r>
      <w:r w:rsidRPr="001B529C">
        <w:rPr>
          <w:lang w:val="pl-PL"/>
        </w:rPr>
        <w:t>https://digital-strategy.ec.europa.eu/en/news/commission-reaches-preliminary-position-amazons-and-microsofts-market-leading-cloud-services-should.</w:t>
      </w:r>
    </w:p>
  </w:footnote>
  <w:footnote w:id="17">
    <w:p w14:paraId="28FBC302" w14:textId="69110DD7" w:rsidR="00E92A31" w:rsidRPr="00781E11" w:rsidRDefault="00E92A31" w:rsidP="00781E11">
      <w:pPr>
        <w:pStyle w:val="FootnoteText"/>
        <w:ind w:left="567" w:hanging="567"/>
        <w:rPr>
          <w:sz w:val="24"/>
          <w:lang w:val="pl-PL"/>
        </w:rPr>
      </w:pPr>
      <w:r>
        <w:rPr>
          <w:rStyle w:val="FootnoteReference"/>
        </w:rPr>
        <w:footnoteRef/>
      </w:r>
      <w:r w:rsidRPr="00781E11">
        <w:rPr>
          <w:sz w:val="24"/>
          <w:lang w:val="pl-PL"/>
        </w:rPr>
        <w:t xml:space="preserve"> </w:t>
      </w:r>
      <w:r w:rsidRPr="00781E11">
        <w:rPr>
          <w:sz w:val="24"/>
          <w:lang w:val="pl-PL"/>
        </w:rPr>
        <w:tab/>
        <w:t>Komisja Europejska, „Komisja rozpoczyna badania rynku usług przetwarzania w chmurze na podstawie aktu o rynkach cyfrowych”, strona internetowa Komisji Europejskiej, 18 listopada 2025 r.</w:t>
      </w:r>
    </w:p>
  </w:footnote>
  <w:footnote w:id="18">
    <w:p w14:paraId="742CD925" w14:textId="3F69BD9F" w:rsidR="00E92A31" w:rsidRPr="00781E11" w:rsidRDefault="00E92A31" w:rsidP="00781E11">
      <w:pPr>
        <w:pStyle w:val="FootnoteText"/>
        <w:ind w:left="567" w:hanging="567"/>
        <w:rPr>
          <w:sz w:val="24"/>
          <w:lang w:val="pl-PL"/>
        </w:rPr>
      </w:pPr>
      <w:r>
        <w:rPr>
          <w:rStyle w:val="FootnoteReference"/>
        </w:rPr>
        <w:footnoteRef/>
      </w:r>
      <w:r w:rsidRPr="00781E11">
        <w:rPr>
          <w:sz w:val="24"/>
          <w:lang w:val="pl-PL"/>
        </w:rPr>
        <w:t xml:space="preserve"> </w:t>
      </w:r>
      <w:r w:rsidRPr="00781E11">
        <w:rPr>
          <w:sz w:val="24"/>
          <w:lang w:val="pl-PL"/>
        </w:rPr>
        <w:tab/>
        <w:t xml:space="preserve">Dyrektywa Parlamentu Europejskiego i Rady (UE) 2019/790 z dnia 17 kwietnia 2019 r. w sprawie prawa autorskiego i praw pokrewnych na jednolitym rynku cyfrowym oraz zmiany dyrektyw 96/9/WE i 2001/29/WE (Dz.U. L 130 z 17.5.2019, s. 92, ELI: </w:t>
      </w:r>
      <w:hyperlink r:id="rId8" w:tgtFrame="http://data.europa.eu/eli/dir/2019/790/oj" w:history="1">
        <w:r w:rsidRPr="00781E11">
          <w:rPr>
            <w:rStyle w:val="Hyperlink"/>
            <w:sz w:val="24"/>
            <w:lang w:val="pl-PL"/>
          </w:rPr>
          <w:t>http://data.europa.eu/eli/dir/2019/790/oj).</w:t>
        </w:r>
      </w:hyperlink>
    </w:p>
  </w:footnote>
  <w:footnote w:id="19">
    <w:p w14:paraId="4D15F54F" w14:textId="0E8B97BA" w:rsidR="00E92A31" w:rsidRPr="00781E11" w:rsidRDefault="00E92A31" w:rsidP="00781E11">
      <w:pPr>
        <w:pStyle w:val="FootnoteText"/>
        <w:ind w:left="567" w:hanging="567"/>
        <w:rPr>
          <w:sz w:val="24"/>
          <w:lang w:val="pl-PL"/>
        </w:rPr>
      </w:pPr>
      <w:r>
        <w:rPr>
          <w:rStyle w:val="FootnoteReference"/>
        </w:rPr>
        <w:footnoteRef/>
      </w:r>
      <w:r w:rsidRPr="00781E11">
        <w:rPr>
          <w:sz w:val="24"/>
          <w:lang w:val="pl-PL"/>
        </w:rPr>
        <w:t xml:space="preserve"> </w:t>
      </w:r>
      <w:r w:rsidRPr="00781E11">
        <w:rPr>
          <w:sz w:val="24"/>
          <w:lang w:val="pl-PL"/>
        </w:rPr>
        <w:tab/>
        <w:t xml:space="preserve">Rozporządzenie Rady (WE) nr 1/2003 z dnia 16 grudnia 2002 r. w sprawie wprowadzenia w życie reguł konkurencji ustanowionych w art. 81 i 82 Traktatu (Dz.U. L 1 z 4.1.2003, s. 1, ELI: </w:t>
      </w:r>
      <w:hyperlink r:id="rId9" w:tgtFrame="http://data.europa.eu/eli/reg/2003/1/oj" w:history="1">
        <w:r w:rsidRPr="00781E11">
          <w:rPr>
            <w:rStyle w:val="Hyperlink"/>
            <w:sz w:val="24"/>
            <w:lang w:val="pl-PL"/>
          </w:rPr>
          <w:t>http://data.europa.eu/eli/reg/2003/1/oj).</w:t>
        </w:r>
      </w:hyperlink>
    </w:p>
  </w:footnote>
  <w:footnote w:id="20">
    <w:p w14:paraId="472E79C8" w14:textId="3B8365D9" w:rsidR="00E92A31" w:rsidRPr="00781E11" w:rsidRDefault="00E92A31" w:rsidP="00781E11">
      <w:pPr>
        <w:pStyle w:val="FootnoteText"/>
        <w:ind w:left="567" w:hanging="567"/>
        <w:rPr>
          <w:sz w:val="24"/>
          <w:lang w:val="pl-PL"/>
        </w:rPr>
      </w:pPr>
      <w:r>
        <w:rPr>
          <w:rStyle w:val="FootnoteReference"/>
        </w:rPr>
        <w:footnoteRef/>
      </w:r>
      <w:r w:rsidRPr="00781E11">
        <w:rPr>
          <w:sz w:val="24"/>
          <w:lang w:val="pl-PL"/>
        </w:rPr>
        <w:t xml:space="preserve"> </w:t>
      </w:r>
      <w:r w:rsidRPr="00781E11">
        <w:rPr>
          <w:sz w:val="24"/>
          <w:lang w:val="pl-PL"/>
        </w:rPr>
        <w:tab/>
        <w:t xml:space="preserve">Rozporządzenie Komisji (WE) nr 773/2004 z dnia 7 kwietnia 2004 r. odnoszące się do prowadzenia przez Komisję postępowań zgodnie z art. 81 i art. 82 Traktatu WE (Dz.U. L 123 z 27.4.2004, s. 18, ELI: </w:t>
      </w:r>
      <w:hyperlink r:id="rId10" w:tgtFrame="http://data.europa.eu/eli/reg/2004/773/oj" w:history="1">
        <w:r w:rsidRPr="00781E11">
          <w:rPr>
            <w:rStyle w:val="Hyperlink"/>
            <w:sz w:val="24"/>
            <w:lang w:val="pl-PL"/>
          </w:rPr>
          <w:t>http://data.europa.eu/eli/reg/2004/773/oj).</w:t>
        </w:r>
      </w:hyperlink>
    </w:p>
  </w:footnote>
  <w:footnote w:id="21">
    <w:p w14:paraId="4C714FF8" w14:textId="5C4CA3DE" w:rsidR="00E92A31" w:rsidRPr="00781E11" w:rsidRDefault="00E92A31" w:rsidP="00781E11">
      <w:pPr>
        <w:pStyle w:val="FootnoteText"/>
        <w:ind w:left="567" w:hanging="567"/>
        <w:rPr>
          <w:sz w:val="24"/>
          <w:lang w:val="pl-PL"/>
        </w:rPr>
      </w:pPr>
      <w:r>
        <w:rPr>
          <w:rStyle w:val="FootnoteReference"/>
        </w:rPr>
        <w:footnoteRef/>
      </w:r>
      <w:r w:rsidRPr="00781E11">
        <w:rPr>
          <w:sz w:val="24"/>
          <w:lang w:val="pl-PL"/>
        </w:rPr>
        <w:t xml:space="preserve"> </w:t>
      </w:r>
      <w:r w:rsidRPr="00781E11">
        <w:rPr>
          <w:sz w:val="24"/>
          <w:lang w:val="pl-PL"/>
        </w:rPr>
        <w:tab/>
        <w:t xml:space="preserve">Dyrektywa Parlamentu Europejskiego i Rady 2014/104/UE z dnia 26 listopada 2014 r. w sprawie niektórych przepisów regulujących dochodzenie roszczeń odszkodowawczych z tytułu naruszenia prawa konkurencji państw członkowskich i Unii Europejskiej, objęte przepisami prawa krajowego (Dz.U. L 349 z 5.12.2014, s. 1, ELI: </w:t>
      </w:r>
      <w:hyperlink r:id="rId11" w:tgtFrame="http://data.europa.eu/eli/dir/2014/104/oj" w:history="1">
        <w:r w:rsidRPr="00781E11">
          <w:rPr>
            <w:rStyle w:val="Hyperlink"/>
            <w:sz w:val="24"/>
            <w:lang w:val="pl-PL"/>
          </w:rPr>
          <w:t>http://data.europa.eu/eli/dir/2014/104/oj).</w:t>
        </w:r>
      </w:hyperlink>
    </w:p>
  </w:footnote>
  <w:footnote w:id="22">
    <w:p w14:paraId="500BA3B4" w14:textId="25DFBA41" w:rsidR="00E92A31" w:rsidRPr="00781E11" w:rsidRDefault="00E92A31" w:rsidP="00781E11">
      <w:pPr>
        <w:pStyle w:val="FootnoteText"/>
        <w:ind w:left="567" w:hanging="567"/>
        <w:rPr>
          <w:sz w:val="24"/>
          <w:lang w:val="pl-PL"/>
        </w:rPr>
      </w:pPr>
      <w:r>
        <w:rPr>
          <w:rStyle w:val="FootnoteReference"/>
        </w:rPr>
        <w:footnoteRef/>
      </w:r>
      <w:r w:rsidRPr="00781E11">
        <w:rPr>
          <w:sz w:val="24"/>
          <w:lang w:val="pl-PL"/>
        </w:rPr>
        <w:t xml:space="preserve"> </w:t>
      </w:r>
      <w:r w:rsidRPr="00781E11">
        <w:rPr>
          <w:sz w:val="24"/>
          <w:lang w:val="pl-PL"/>
        </w:rPr>
        <w:tab/>
        <w:t xml:space="preserve">Dyrektywa Parlamentu Europejskiego i Rady (UE) 2019/1 z dnia 11 grudnia 2018 r. mająca na celu nadanie organom ochrony konkurencji państw członkowskich uprawnień w celu skuteczniejszego egzekwowania prawa i zapewnienia należytego funkcjonowania rynku wewnętrznego (Dz.U. L 11 z 14.1.2019, s. 3, ELI: </w:t>
      </w:r>
      <w:hyperlink r:id="rId12" w:tgtFrame="http://data.europa.eu/eli/dir/2019/1/oj" w:history="1">
        <w:r w:rsidRPr="00781E11">
          <w:rPr>
            <w:rStyle w:val="Hyperlink"/>
            <w:sz w:val="24"/>
            <w:lang w:val="pl-PL"/>
          </w:rPr>
          <w:t>http://data.europa.eu/eli/dir/2019/1/oj).</w:t>
        </w:r>
      </w:hyperlink>
    </w:p>
  </w:footnote>
  <w:footnote w:id="23">
    <w:p w14:paraId="62FF59E8" w14:textId="119797E1" w:rsidR="00E92A31" w:rsidRPr="00781E11" w:rsidRDefault="00E92A31" w:rsidP="00781E11">
      <w:pPr>
        <w:pStyle w:val="FootnoteText"/>
        <w:ind w:left="567" w:hanging="567"/>
        <w:rPr>
          <w:sz w:val="24"/>
          <w:lang w:val="pl-PL"/>
        </w:rPr>
      </w:pPr>
      <w:r>
        <w:rPr>
          <w:rStyle w:val="FootnoteReference"/>
        </w:rPr>
        <w:footnoteRef/>
      </w:r>
      <w:r w:rsidRPr="00781E11">
        <w:rPr>
          <w:sz w:val="24"/>
          <w:lang w:val="pl-PL"/>
        </w:rPr>
        <w:t xml:space="preserve"> </w:t>
      </w:r>
      <w:r w:rsidRPr="00781E11">
        <w:rPr>
          <w:sz w:val="24"/>
          <w:lang w:val="pl-PL"/>
        </w:rPr>
        <w:tab/>
        <w:t xml:space="preserve">Rozporządzenie Parlamentu Europejskiego i Rady (UE) 2015/751 z dnia 29 kwietnia 2015 r. w sprawie opłat </w:t>
      </w:r>
      <w:proofErr w:type="spellStart"/>
      <w:r w:rsidRPr="00781E11">
        <w:rPr>
          <w:sz w:val="24"/>
          <w:lang w:val="pl-PL"/>
        </w:rPr>
        <w:t>interchange</w:t>
      </w:r>
      <w:proofErr w:type="spellEnd"/>
      <w:r w:rsidRPr="00781E11">
        <w:rPr>
          <w:sz w:val="24"/>
          <w:lang w:val="pl-PL"/>
        </w:rPr>
        <w:t xml:space="preserve"> w odniesieniu do transakcji płatniczych realizowanych w oparciu o kartę (Dz.U. L 123 z 19.5.2015, s. 1, ELI: </w:t>
      </w:r>
      <w:hyperlink r:id="rId13" w:tgtFrame="http://data.europa.eu/eli/reg/2015/751/oj" w:history="1">
        <w:r w:rsidRPr="00781E11">
          <w:rPr>
            <w:rStyle w:val="Hyperlink"/>
            <w:sz w:val="24"/>
            <w:lang w:val="pl-PL"/>
          </w:rPr>
          <w:t>http://data.europa.eu/eli/reg/2015/751/oj).</w:t>
        </w:r>
      </w:hyperlink>
    </w:p>
  </w:footnote>
  <w:footnote w:id="24">
    <w:p w14:paraId="24E89710" w14:textId="57B2D2FD" w:rsidR="00E92A31" w:rsidRPr="00781E11" w:rsidRDefault="00E92A31" w:rsidP="00781E11">
      <w:pPr>
        <w:pStyle w:val="FootnoteText"/>
        <w:ind w:left="567" w:hanging="567"/>
        <w:rPr>
          <w:sz w:val="24"/>
          <w:lang w:val="pl-PL"/>
        </w:rPr>
      </w:pPr>
      <w:r>
        <w:rPr>
          <w:rStyle w:val="FootnoteReference"/>
        </w:rPr>
        <w:footnoteRef/>
      </w:r>
      <w:r w:rsidRPr="00781E11">
        <w:rPr>
          <w:sz w:val="24"/>
          <w:lang w:val="pl-PL"/>
        </w:rPr>
        <w:t xml:space="preserve"> </w:t>
      </w:r>
      <w:r w:rsidRPr="00781E11">
        <w:rPr>
          <w:sz w:val="24"/>
          <w:lang w:val="pl-PL"/>
        </w:rPr>
        <w:tab/>
        <w:t xml:space="preserve">Dyrektywa 2002/87/WE Parlamentu Europejskiego i Rady z dnia 16 grudnia 2002 r. w sprawie dodatkowego nadzoru nad instytucjami kredytowymi, zakładami ubezpieczeń oraz przedsiębiorstwami inwestycyjnymi konglomeratu finansowego i zmieniająca dyrektywy Rady 73/239/EWG, 79/267/EWG, 92/49/EWG, 92/96/EWG, 93/6/EWG i 93/22/EWG oraz dyrektywy 98/78/WE i 2000/12/WE Parlamentu Europejskiego i Rady (Dz.U. L 35 z 11.2.2003, s. 1, ELI: </w:t>
      </w:r>
      <w:hyperlink r:id="rId14" w:tgtFrame="http://data.europa.eu/eli/dir/2002/87/oj" w:history="1">
        <w:r w:rsidRPr="00781E11">
          <w:rPr>
            <w:rStyle w:val="Hyperlink"/>
            <w:sz w:val="24"/>
            <w:lang w:val="pl-PL"/>
          </w:rPr>
          <w:t>http://data.europa.eu/eli/dir/2002/87/oj).</w:t>
        </w:r>
      </w:hyperlink>
    </w:p>
  </w:footnote>
  <w:footnote w:id="25">
    <w:p w14:paraId="1D1855CA" w14:textId="3421719E" w:rsidR="00E92A31" w:rsidRPr="00781E11" w:rsidRDefault="00E92A31" w:rsidP="00781E11">
      <w:pPr>
        <w:pStyle w:val="FootnoteText"/>
        <w:ind w:left="567" w:hanging="567"/>
        <w:rPr>
          <w:sz w:val="24"/>
          <w:lang w:val="pl-PL"/>
        </w:rPr>
      </w:pPr>
      <w:r>
        <w:rPr>
          <w:rStyle w:val="FootnoteReference"/>
        </w:rPr>
        <w:footnoteRef/>
      </w:r>
      <w:r w:rsidRPr="00781E11">
        <w:rPr>
          <w:sz w:val="24"/>
          <w:lang w:val="pl-PL"/>
        </w:rPr>
        <w:t xml:space="preserve"> </w:t>
      </w:r>
      <w:r w:rsidRPr="00781E11">
        <w:rPr>
          <w:sz w:val="24"/>
          <w:lang w:val="pl-PL"/>
        </w:rPr>
        <w:tab/>
        <w:t xml:space="preserve">Dyrektywa Parlamentu Europejskiego i Rady 2009/138/WE z dnia 25 listopada 2009 r. w sprawie podejmowania i prowadzenia działalności ubezpieczeniowej i reasekuracyjnej (Wypłacalność II) (Dz.U. L 335 z 17.12.2009, s. 1, ELI: </w:t>
      </w:r>
      <w:hyperlink r:id="rId15" w:tgtFrame="http://data.europa.eu/eli/dir/2009/138/oj" w:history="1">
        <w:r w:rsidRPr="00781E11">
          <w:rPr>
            <w:rStyle w:val="Hyperlink"/>
            <w:sz w:val="24"/>
            <w:lang w:val="pl-PL"/>
          </w:rPr>
          <w:t>http://data.europa.eu/eli/dir/2009/138/oj).</w:t>
        </w:r>
      </w:hyperlink>
    </w:p>
  </w:footnote>
  <w:footnote w:id="26">
    <w:p w14:paraId="0C4E4364" w14:textId="2157DEA1" w:rsidR="00E92A31" w:rsidRPr="00781E11" w:rsidRDefault="00E92A31" w:rsidP="00781E11">
      <w:pPr>
        <w:pStyle w:val="FootnoteText"/>
        <w:ind w:left="567" w:hanging="567"/>
        <w:rPr>
          <w:sz w:val="24"/>
          <w:lang w:val="pl-PL"/>
        </w:rPr>
      </w:pPr>
      <w:r>
        <w:rPr>
          <w:rStyle w:val="FootnoteReference"/>
        </w:rPr>
        <w:footnoteRef/>
      </w:r>
      <w:r w:rsidRPr="00781E11">
        <w:rPr>
          <w:sz w:val="24"/>
          <w:lang w:val="pl-PL"/>
        </w:rPr>
        <w:t xml:space="preserve"> </w:t>
      </w:r>
      <w:r w:rsidRPr="00781E11">
        <w:rPr>
          <w:sz w:val="24"/>
          <w:lang w:val="pl-PL"/>
        </w:rPr>
        <w:tab/>
        <w:t xml:space="preserve">Rozporządzenie Komisji (UE) nr 651/2014 z dnia 17 czerwca 2014 r. uznające niektóre rodzaje pomocy za zgodne z rynkiem wewnętrznym w zastosowaniu art. 107 i 108 Traktatu (Dz.U. L 187 z 26.6.2014, s. 1, ELI: </w:t>
      </w:r>
      <w:hyperlink r:id="rId16" w:tgtFrame="http://data.europa.eu/eli/reg/2014/651/oj" w:history="1">
        <w:r w:rsidRPr="00781E11">
          <w:rPr>
            <w:rStyle w:val="Hyperlink"/>
            <w:sz w:val="24"/>
            <w:lang w:val="pl-PL"/>
          </w:rPr>
          <w:t>http://data.europa.eu/eli/reg/2014/651/oj).</w:t>
        </w:r>
      </w:hyperlink>
    </w:p>
  </w:footnote>
  <w:footnote w:id="27">
    <w:p w14:paraId="2B77280F" w14:textId="077FFACB" w:rsidR="00E92A31" w:rsidRPr="00781E11" w:rsidRDefault="00E92A31" w:rsidP="00781E11">
      <w:pPr>
        <w:pStyle w:val="FootnoteText"/>
        <w:ind w:left="567" w:hanging="567"/>
        <w:rPr>
          <w:sz w:val="24"/>
          <w:lang w:val="pl-PL"/>
        </w:rPr>
      </w:pPr>
      <w:r>
        <w:rPr>
          <w:rStyle w:val="FootnoteReference"/>
        </w:rPr>
        <w:footnoteRef/>
      </w:r>
      <w:r w:rsidRPr="00781E11">
        <w:rPr>
          <w:sz w:val="24"/>
          <w:lang w:val="pl-PL"/>
        </w:rPr>
        <w:t xml:space="preserve"> </w:t>
      </w:r>
      <w:r w:rsidRPr="00781E11">
        <w:rPr>
          <w:sz w:val="24"/>
          <w:lang w:val="pl-PL"/>
        </w:rPr>
        <w:tab/>
        <w:t xml:space="preserve">Zalecenie Komisji (UE) 2020/1039 z dnia 14 lipca 2020 r. w sprawie uzależnienia państwowych środków wsparcia finansowego na rzecz przedsiębiorstw w Unii od braku powiązań z jurysdykcjami niechętnymi współpracy (Dz.U. L 227 z 16.7.2020, s. 76, ELI: </w:t>
      </w:r>
      <w:hyperlink r:id="rId17" w:tgtFrame="http://data.europa.eu/eli/reco/2020/1039/oj" w:history="1">
        <w:r w:rsidRPr="00781E11">
          <w:rPr>
            <w:rStyle w:val="Hyperlink"/>
            <w:sz w:val="24"/>
            <w:lang w:val="pl-PL"/>
          </w:rPr>
          <w:t>http://data.europa.eu/eli/reco/2020/1039/oj).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A2FC7F" w14:textId="77777777" w:rsidR="00064002" w:rsidRPr="00781E1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8618A0" w14:textId="77777777" w:rsidR="00064002" w:rsidRPr="00781E1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0AF1A5" w14:textId="77777777" w:rsidR="00064002" w:rsidRPr="00781E1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213687647">
    <w:abstractNumId w:val="9"/>
  </w:num>
  <w:num w:numId="2" w16cid:durableId="560940440">
    <w:abstractNumId w:val="9"/>
  </w:num>
  <w:num w:numId="3" w16cid:durableId="765463004">
    <w:abstractNumId w:val="7"/>
  </w:num>
  <w:num w:numId="4" w16cid:durableId="919370966">
    <w:abstractNumId w:val="7"/>
  </w:num>
  <w:num w:numId="5" w16cid:durableId="1583642729">
    <w:abstractNumId w:val="6"/>
  </w:num>
  <w:num w:numId="6" w16cid:durableId="1860970682">
    <w:abstractNumId w:val="6"/>
  </w:num>
  <w:num w:numId="7" w16cid:durableId="1690447536">
    <w:abstractNumId w:val="5"/>
  </w:num>
  <w:num w:numId="8" w16cid:durableId="1085105856">
    <w:abstractNumId w:val="5"/>
  </w:num>
  <w:num w:numId="9" w16cid:durableId="363672814">
    <w:abstractNumId w:val="4"/>
  </w:num>
  <w:num w:numId="10" w16cid:durableId="1798138992">
    <w:abstractNumId w:val="4"/>
  </w:num>
  <w:num w:numId="11" w16cid:durableId="1137795777">
    <w:abstractNumId w:val="8"/>
  </w:num>
  <w:num w:numId="12" w16cid:durableId="433130875">
    <w:abstractNumId w:val="8"/>
  </w:num>
  <w:num w:numId="13" w16cid:durableId="514853350">
    <w:abstractNumId w:val="3"/>
  </w:num>
  <w:num w:numId="14" w16cid:durableId="1419792236">
    <w:abstractNumId w:val="3"/>
  </w:num>
  <w:num w:numId="15" w16cid:durableId="252787326">
    <w:abstractNumId w:val="2"/>
  </w:num>
  <w:num w:numId="16" w16cid:durableId="663120624">
    <w:abstractNumId w:val="2"/>
  </w:num>
  <w:num w:numId="17" w16cid:durableId="1516070383">
    <w:abstractNumId w:val="1"/>
  </w:num>
  <w:num w:numId="18" w16cid:durableId="1750804638">
    <w:abstractNumId w:val="1"/>
  </w:num>
  <w:num w:numId="19" w16cid:durableId="629630320">
    <w:abstractNumId w:val="0"/>
  </w:num>
  <w:num w:numId="20" w16cid:durableId="701516525">
    <w:abstractNumId w:val="0"/>
  </w:num>
  <w:num w:numId="21" w16cid:durableId="293602316">
    <w:abstractNumId w:val="9"/>
  </w:num>
  <w:num w:numId="22" w16cid:durableId="31811516">
    <w:abstractNumId w:val="7"/>
  </w:num>
  <w:num w:numId="23" w16cid:durableId="1425032205">
    <w:abstractNumId w:val="6"/>
  </w:num>
  <w:num w:numId="24" w16cid:durableId="1765686010">
    <w:abstractNumId w:val="5"/>
  </w:num>
  <w:num w:numId="25" w16cid:durableId="1927879323">
    <w:abstractNumId w:val="4"/>
  </w:num>
  <w:num w:numId="26" w16cid:durableId="952327911">
    <w:abstractNumId w:val="8"/>
  </w:num>
  <w:num w:numId="27" w16cid:durableId="725295435">
    <w:abstractNumId w:val="3"/>
  </w:num>
  <w:num w:numId="28" w16cid:durableId="808782608">
    <w:abstractNumId w:val="2"/>
  </w:num>
  <w:num w:numId="29" w16cid:durableId="738215376">
    <w:abstractNumId w:val="1"/>
  </w:num>
  <w:num w:numId="30" w16cid:durableId="364795232">
    <w:abstractNumId w:val="0"/>
  </w:num>
  <w:num w:numId="31" w16cid:durableId="800922096">
    <w:abstractNumId w:val="9"/>
  </w:num>
  <w:num w:numId="32" w16cid:durableId="1128203436">
    <w:abstractNumId w:val="7"/>
  </w:num>
  <w:num w:numId="33" w16cid:durableId="1022707364">
    <w:abstractNumId w:val="6"/>
  </w:num>
  <w:num w:numId="34" w16cid:durableId="1845195456">
    <w:abstractNumId w:val="5"/>
  </w:num>
  <w:num w:numId="35" w16cid:durableId="1899516270">
    <w:abstractNumId w:val="4"/>
  </w:num>
  <w:num w:numId="36" w16cid:durableId="239339006">
    <w:abstractNumId w:val="8"/>
  </w:num>
  <w:num w:numId="37" w16cid:durableId="826096490">
    <w:abstractNumId w:val="3"/>
  </w:num>
  <w:num w:numId="38" w16cid:durableId="236135389">
    <w:abstractNumId w:val="2"/>
  </w:num>
  <w:num w:numId="39" w16cid:durableId="1524054360">
    <w:abstractNumId w:val="1"/>
  </w:num>
  <w:num w:numId="40" w16cid:durableId="859513357">
    <w:abstractNumId w:val="0"/>
  </w:num>
  <w:num w:numId="41" w16cid:durableId="2145728045">
    <w:abstractNumId w:val="10"/>
  </w:num>
  <w:num w:numId="42" w16cid:durableId="2126343068">
    <w:abstractNumId w:val="10"/>
  </w:num>
  <w:num w:numId="43" w16cid:durableId="1276131016">
    <w:abstractNumId w:val="10"/>
  </w:num>
  <w:num w:numId="44" w16cid:durableId="201576266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71/2026"/>
    <w:docVar w:name="dvlangue" w:val="PL"/>
    <w:docVar w:name="dvnumam" w:val="0"/>
    <w:docVar w:name="dvpe" w:val="779.796"/>
    <w:docVar w:name="dvrapporteur" w:val="Sprawozdawca: "/>
    <w:docVar w:name="dvstar" w:val="??"/>
    <w:docVar w:name="dvtitre" w:val="Rezolucja Parlamentu Europejskiego z dnia  2026 r. w sprawie polityki konkurencji – sprawozdanie roczne za 2025 r.(2025/2134(INI))"/>
  </w:docVars>
  <w:rsids>
    <w:rsidRoot w:val="004D2CE3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B529C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2CE3"/>
    <w:rsid w:val="0050519A"/>
    <w:rsid w:val="00505237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1E11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01C86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12E6F"/>
    <w:rsid w:val="00D56C11"/>
    <w:rsid w:val="00D834A0"/>
    <w:rsid w:val="00D872DF"/>
    <w:rsid w:val="00D91E21"/>
    <w:rsid w:val="00DA7FCD"/>
    <w:rsid w:val="00E365E1"/>
    <w:rsid w:val="00E820A4"/>
    <w:rsid w:val="00E92A31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E7B0CE"/>
  <w15:chartTrackingRefBased/>
  <w15:docId w15:val="{5A15B52C-2AC8-4C72-931E-2E88CD952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12a">
    <w:name w:val="Normal12a"/>
    <w:basedOn w:val="Normal"/>
    <w:rsid w:val="00D12E6F"/>
    <w:pPr>
      <w:widowControl/>
      <w:spacing w:after="240"/>
    </w:pPr>
    <w:rPr>
      <w:szCs w:val="24"/>
      <w:lang w:eastAsia="en-US"/>
    </w:rPr>
  </w:style>
  <w:style w:type="paragraph" w:customStyle="1" w:styleId="NormalHanging12a">
    <w:name w:val="NormalHanging12a"/>
    <w:basedOn w:val="Normal"/>
    <w:rsid w:val="00D12E6F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12">
    <w:name w:val="Normal12"/>
    <w:basedOn w:val="Normal"/>
    <w:rsid w:val="00D12E6F"/>
    <w:pPr>
      <w:spacing w:after="240"/>
    </w:pPr>
    <w:rPr>
      <w:szCs w:val="24"/>
      <w:lang w:eastAsia="en-US"/>
    </w:rPr>
  </w:style>
  <w:style w:type="paragraph" w:customStyle="1" w:styleId="NormalHanging">
    <w:name w:val="NormalHanging"/>
    <w:basedOn w:val="Normal"/>
    <w:rsid w:val="00D12E6F"/>
    <w:pPr>
      <w:spacing w:after="240"/>
      <w:ind w:left="566" w:hanging="566"/>
    </w:pPr>
    <w:rPr>
      <w:szCs w:val="24"/>
      <w:lang w:eastAsia="en-US"/>
    </w:rPr>
  </w:style>
  <w:style w:type="paragraph" w:customStyle="1" w:styleId="NormalCenter12a">
    <w:name w:val="NormalCenter12a"/>
    <w:basedOn w:val="Normal"/>
    <w:rsid w:val="00D12E6F"/>
    <w:pPr>
      <w:widowControl/>
      <w:spacing w:after="240"/>
      <w:jc w:val="center"/>
    </w:pPr>
    <w:rPr>
      <w:szCs w:val="24"/>
      <w:lang w:eastAsia="en-US"/>
    </w:rPr>
  </w:style>
  <w:style w:type="character" w:styleId="Hyperlink">
    <w:name w:val="Hyperlink"/>
    <w:basedOn w:val="DefaultParagraphFont"/>
    <w:rsid w:val="00D12E6F"/>
    <w:rPr>
      <w:color w:val="0000FF"/>
      <w:u w:val="single"/>
    </w:rPr>
  </w:style>
  <w:style w:type="paragraph" w:styleId="Revision">
    <w:name w:val="Revision"/>
    <w:hidden/>
    <w:uiPriority w:val="99"/>
    <w:semiHidden/>
    <w:rsid w:val="00E92A31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dir/2019/790/oj" TargetMode="External"/><Relationship Id="rId13" Type="http://schemas.openxmlformats.org/officeDocument/2006/relationships/hyperlink" Target="http://data.europa.eu/eli/reg/2015/751/oj" TargetMode="External"/><Relationship Id="rId3" Type="http://schemas.openxmlformats.org/officeDocument/2006/relationships/hyperlink" Target="https://eur-lex.europa.eu/legal-content/PL/TXT/?uri=CELEX%3A32004R0139&amp;qid=1781794408115" TargetMode="External"/><Relationship Id="rId7" Type="http://schemas.openxmlformats.org/officeDocument/2006/relationships/hyperlink" Target="http://data.europa.eu/eli/reg/2024/1252/oj" TargetMode="External"/><Relationship Id="rId12" Type="http://schemas.openxmlformats.org/officeDocument/2006/relationships/hyperlink" Target="http://data.europa.eu/eli/dir/2019/1/oj" TargetMode="External"/><Relationship Id="rId17" Type="http://schemas.openxmlformats.org/officeDocument/2006/relationships/hyperlink" Target="http://data.europa.eu/eli/reco/2020/1039/oj" TargetMode="External"/><Relationship Id="rId2" Type="http://schemas.openxmlformats.org/officeDocument/2006/relationships/hyperlink" Target="http://data.europa.eu/eli/reg/2022/2065/oj" TargetMode="External"/><Relationship Id="rId16" Type="http://schemas.openxmlformats.org/officeDocument/2006/relationships/hyperlink" Target="http://data.europa.eu/eli/reg/2014/651/oj" TargetMode="External"/><Relationship Id="rId1" Type="http://schemas.openxmlformats.org/officeDocument/2006/relationships/hyperlink" Target="http://data.europa.eu/eli/reg/2022/1925/oj" TargetMode="External"/><Relationship Id="rId6" Type="http://schemas.openxmlformats.org/officeDocument/2006/relationships/hyperlink" Target="http://data.europa.eu/eli/reg/2022/2560/oj" TargetMode="External"/><Relationship Id="rId11" Type="http://schemas.openxmlformats.org/officeDocument/2006/relationships/hyperlink" Target="http://data.europa.eu/eli/dir/2014/104/oj" TargetMode="External"/><Relationship Id="rId5" Type="http://schemas.openxmlformats.org/officeDocument/2006/relationships/hyperlink" Target="https://competition-policy.ec.europa.eu/document/download/53e9348d-4f11-46ef-9098-526e24313ee8_en?filename=kd0125000enn_ex-post_evaluation_antitrust_remedies_study_e-version.pdf" TargetMode="External"/><Relationship Id="rId15" Type="http://schemas.openxmlformats.org/officeDocument/2006/relationships/hyperlink" Target="http://data.europa.eu/eli/dir/2009/138/oj" TargetMode="External"/><Relationship Id="rId10" Type="http://schemas.openxmlformats.org/officeDocument/2006/relationships/hyperlink" Target="http://data.europa.eu/eli/reg/2004/773/oj" TargetMode="External"/><Relationship Id="rId4" Type="http://schemas.openxmlformats.org/officeDocument/2006/relationships/hyperlink" Target="http://data.europa.eu/eli/C/2026/1472/oj" TargetMode="External"/><Relationship Id="rId9" Type="http://schemas.openxmlformats.org/officeDocument/2006/relationships/hyperlink" Target="http://data.europa.eu/eli/reg/2003/1/oj" TargetMode="External"/><Relationship Id="rId14" Type="http://schemas.openxmlformats.org/officeDocument/2006/relationships/hyperlink" Target="http://data.europa.eu/eli/dir/2002/8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18</Pages>
  <Words>5938</Words>
  <Characters>41193</Characters>
  <Application>Microsoft Office Word</Application>
  <DocSecurity>0</DocSecurity>
  <Lines>343</Lines>
  <Paragraphs>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47037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ZALESKI Tomasz</cp:lastModifiedBy>
  <cp:revision>2</cp:revision>
  <cp:lastPrinted>2004-11-19T15:42:00Z</cp:lastPrinted>
  <dcterms:created xsi:type="dcterms:W3CDTF">2026-07-07T15:44:00Z</dcterms:created>
  <dcterms:modified xsi:type="dcterms:W3CDTF">2026-07-07T15:44:00Z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A10-0171/2026</vt:lpwstr>
  </property>
  <property fmtid="{D5CDD505-2E9C-101B-9397-08002B2CF9AE}" pid="4" name="&lt;Type&gt;">
    <vt:lpwstr>RR</vt:lpwstr>
  </property>
</Properties>
</file>