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17E6" w14:paraId="5308580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5D48E7" w14:textId="1276F691" w:rsidR="00751A4A" w:rsidRPr="009117E6" w:rsidRDefault="00E24D84" w:rsidP="0010095E">
            <w:pPr>
              <w:pStyle w:val="EPName"/>
            </w:pPr>
            <w:r w:rsidRPr="009117E6">
              <w:t>Европейски</w:t>
            </w:r>
            <w:r w:rsidR="00E67141" w:rsidRPr="009117E6">
              <w:t xml:space="preserve"> парламент</w:t>
            </w:r>
          </w:p>
          <w:p w14:paraId="4DC281B6" w14:textId="2C4A9E16" w:rsidR="00751A4A" w:rsidRPr="009117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17E6">
              <w:t>2024</w:t>
            </w:r>
            <w:r w:rsidR="00E24D84">
              <w:t> – </w:t>
            </w:r>
            <w:r w:rsidR="00817416" w:rsidRPr="009117E6">
              <w:t>202</w:t>
            </w:r>
            <w:r w:rsidRPr="009117E6">
              <w:t>9</w:t>
            </w:r>
          </w:p>
        </w:tc>
        <w:tc>
          <w:tcPr>
            <w:tcW w:w="2268" w:type="dxa"/>
            <w:shd w:val="clear" w:color="auto" w:fill="auto"/>
          </w:tcPr>
          <w:p w14:paraId="39F6FB02" w14:textId="77777777" w:rsidR="00751A4A" w:rsidRPr="009117E6" w:rsidRDefault="00187494" w:rsidP="0010095E">
            <w:pPr>
              <w:pStyle w:val="EPLogo"/>
            </w:pPr>
            <w:r w:rsidRPr="009117E6">
              <w:rPr>
                <w:noProof/>
                <w:lang w:eastAsia="ja-JP"/>
              </w:rPr>
              <w:drawing>
                <wp:inline distT="0" distB="0" distL="0" distR="0" wp14:anchorId="1D2B0AB7" wp14:editId="1746BE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264915" w14:textId="77777777" w:rsidR="00D058B8" w:rsidRPr="009117E6" w:rsidRDefault="00D058B8" w:rsidP="004C5D52">
      <w:pPr>
        <w:pStyle w:val="LineTop"/>
      </w:pPr>
    </w:p>
    <w:p w14:paraId="11CE6F1E" w14:textId="77777777" w:rsidR="00680577" w:rsidRPr="009117E6" w:rsidRDefault="00E67141" w:rsidP="00680577">
      <w:pPr>
        <w:pStyle w:val="EPBodyTA1"/>
      </w:pPr>
      <w:r w:rsidRPr="009117E6">
        <w:t>ПРИЕТИ ТЕКСТОВЕ</w:t>
      </w:r>
    </w:p>
    <w:p w14:paraId="37898620" w14:textId="77777777" w:rsidR="00D058B8" w:rsidRPr="009117E6" w:rsidRDefault="00D058B8" w:rsidP="00D058B8">
      <w:pPr>
        <w:pStyle w:val="LineBottom"/>
      </w:pPr>
    </w:p>
    <w:p w14:paraId="31EB5B42" w14:textId="316C667E" w:rsidR="00E67141" w:rsidRPr="009117E6" w:rsidRDefault="00E67141" w:rsidP="00E67141">
      <w:pPr>
        <w:pStyle w:val="ATHeading1"/>
      </w:pPr>
      <w:bookmarkStart w:id="0" w:name="TANumber"/>
      <w:r w:rsidRPr="009117E6">
        <w:t>P10_TA(2026)0</w:t>
      </w:r>
      <w:r w:rsidR="00502E0A">
        <w:t>248</w:t>
      </w:r>
      <w:bookmarkEnd w:id="0"/>
    </w:p>
    <w:p w14:paraId="2D18C074" w14:textId="77777777" w:rsidR="00E67141" w:rsidRPr="009117E6" w:rsidRDefault="00E67141" w:rsidP="00E67141">
      <w:pPr>
        <w:pStyle w:val="ATHeading2"/>
      </w:pPr>
      <w:bookmarkStart w:id="1" w:name="title"/>
      <w:r w:rsidRPr="009117E6">
        <w:t>Съгласувана данъчна рамка за финансовия сектор на ЕС</w:t>
      </w:r>
      <w:bookmarkEnd w:id="1"/>
    </w:p>
    <w:p w14:paraId="299BF4F0" w14:textId="77777777" w:rsidR="00E67141" w:rsidRPr="009117E6" w:rsidRDefault="00E67141" w:rsidP="00E67141">
      <w:pPr>
        <w:rPr>
          <w:i/>
          <w:vanish/>
        </w:rPr>
      </w:pPr>
      <w:r w:rsidRPr="009117E6">
        <w:rPr>
          <w:i/>
        </w:rPr>
        <w:fldChar w:fldCharType="begin"/>
      </w:r>
      <w:r w:rsidRPr="009117E6">
        <w:rPr>
          <w:i/>
        </w:rPr>
        <w:instrText xml:space="preserve"> TC"(</w:instrText>
      </w:r>
      <w:bookmarkStart w:id="2" w:name="DocNumber"/>
      <w:r w:rsidRPr="009117E6">
        <w:rPr>
          <w:i/>
        </w:rPr>
        <w:instrText>A10-0169/2026</w:instrText>
      </w:r>
      <w:bookmarkEnd w:id="2"/>
      <w:r w:rsidRPr="009117E6">
        <w:rPr>
          <w:i/>
        </w:rPr>
        <w:instrText xml:space="preserve"> - Докладчик: Матиас Еке)"\l3 \n&gt; \* MERGEFORMAT </w:instrText>
      </w:r>
      <w:r w:rsidRPr="009117E6">
        <w:rPr>
          <w:i/>
        </w:rPr>
        <w:fldChar w:fldCharType="end"/>
      </w:r>
    </w:p>
    <w:p w14:paraId="5F106A03" w14:textId="77777777" w:rsidR="00E67141" w:rsidRPr="009117E6" w:rsidRDefault="00E67141" w:rsidP="00E67141">
      <w:pPr>
        <w:rPr>
          <w:vanish/>
        </w:rPr>
      </w:pPr>
      <w:bookmarkStart w:id="3" w:name="Commission"/>
      <w:r w:rsidRPr="009117E6">
        <w:rPr>
          <w:vanish/>
        </w:rPr>
        <w:t>Комисия по икономически и парични въпроси</w:t>
      </w:r>
      <w:bookmarkEnd w:id="3"/>
    </w:p>
    <w:p w14:paraId="13BFD23B" w14:textId="77777777" w:rsidR="00E67141" w:rsidRPr="009117E6" w:rsidRDefault="00E67141" w:rsidP="00E67141">
      <w:pPr>
        <w:rPr>
          <w:vanish/>
        </w:rPr>
      </w:pPr>
      <w:bookmarkStart w:id="4" w:name="PE"/>
      <w:r w:rsidRPr="009117E6">
        <w:rPr>
          <w:vanish/>
        </w:rPr>
        <w:t>PE779.360</w:t>
      </w:r>
      <w:bookmarkEnd w:id="4"/>
    </w:p>
    <w:p w14:paraId="40F0CC71" w14:textId="5D629949" w:rsidR="00E67141" w:rsidRPr="009117E6" w:rsidRDefault="00E67141" w:rsidP="00E67141">
      <w:pPr>
        <w:pStyle w:val="ATHeading3"/>
      </w:pPr>
      <w:bookmarkStart w:id="5" w:name="Sujet"/>
      <w:r w:rsidRPr="009117E6">
        <w:t xml:space="preserve">Резолюция на Европейския парламент от </w:t>
      </w:r>
      <w:r w:rsidR="009B066A">
        <w:t>7 юли</w:t>
      </w:r>
      <w:r w:rsidR="009B066A" w:rsidRPr="009117E6">
        <w:t xml:space="preserve"> </w:t>
      </w:r>
      <w:r w:rsidRPr="009117E6">
        <w:t>2026 г. относно съгласувана данъчна рамка за финансовия сектор на ЕС</w:t>
      </w:r>
      <w:bookmarkEnd w:id="5"/>
      <w:r w:rsidRPr="009117E6">
        <w:t xml:space="preserve"> </w:t>
      </w:r>
      <w:bookmarkStart w:id="6" w:name="References"/>
      <w:r w:rsidRPr="009117E6">
        <w:t>(2024/2117(INI))</w:t>
      </w:r>
      <w:bookmarkEnd w:id="6"/>
    </w:p>
    <w:p w14:paraId="4E6786AE" w14:textId="77777777" w:rsidR="00E53F43" w:rsidRPr="00E24D84" w:rsidRDefault="00E53F43" w:rsidP="00E53F43">
      <w:pPr>
        <w:pStyle w:val="Normal12"/>
        <w:rPr>
          <w:i/>
          <w:iCs/>
        </w:rPr>
      </w:pPr>
      <w:r w:rsidRPr="00E24D84">
        <w:rPr>
          <w:i/>
          <w:iCs/>
        </w:rPr>
        <w:t>Европейският парламент,</w:t>
      </w:r>
    </w:p>
    <w:p w14:paraId="74A69368" w14:textId="77777777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>като взе предвид Договора за функционирането на Европейския съюз, и по-специално членове 113, 114 и 115 от него,</w:t>
      </w:r>
    </w:p>
    <w:p w14:paraId="3571EC0D" w14:textId="77777777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>като взе предвид предложението на Комисията от 28 септември 2011 г. за директива на Съвета относно обща система на данък върху финансовите сделки и за изменение на Директива 2008/7/ЕО (COM(2011)0594),</w:t>
      </w:r>
    </w:p>
    <w:p w14:paraId="6E797E85" w14:textId="77777777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>като взе предвид предложението на Комисията от 14 февруари 2013 г. за директива на Съвета за въвеждане на засилено сътрудничество в областта на данъка върху финансовите сделки (COM(2013)0071) (предложение за ДФС),</w:t>
      </w:r>
    </w:p>
    <w:p w14:paraId="45F79F50" w14:textId="77777777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>като взе предвид предложението на Комисията от 28 ноември 2007 г. за регламент на Съвета за установяването на мерки за прилагане на Директива 2006/112/ЕО относно общата система на данъка върху добавената стойност по отношение на третирането на застрахователните и финансовите услуги (COM(2007)0746),</w:t>
      </w:r>
    </w:p>
    <w:p w14:paraId="47A7A896" w14:textId="77777777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>като взе предвид предложението на Комисията от 28 ноември 2007 г. за директива на Съвета за изменение на Директива 2006/112/ЕО относно общата система на данъка върху добавената стойност по отношение на третирането на застрахователните и финансовите услуги (COM(2007)0747),</w:t>
      </w:r>
    </w:p>
    <w:p w14:paraId="05FB6B3F" w14:textId="77E8EB0F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>като взе предвид Регламент (ЕС) 2023/1114 на Европейския парламент и на Съвета от 31 май 2023 г. относно пазарите на криптоактиви и за изменение на регламенти (ЕС) № 1093/2010 и (ЕС) № 1095/2010 и на директиви 2013/36/ЕС и (ЕС) 2019/1937</w:t>
      </w:r>
      <w:r w:rsidR="009B066A">
        <w:rPr>
          <w:rStyle w:val="FootnoteReference"/>
        </w:rPr>
        <w:footnoteReference w:id="1"/>
      </w:r>
      <w:r w:rsidRPr="009117E6">
        <w:t>,</w:t>
      </w:r>
    </w:p>
    <w:p w14:paraId="194E00D1" w14:textId="77777777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>като взе предвид първоначалната оценка на въздействието на Комисията от 22 октомври 2020 г. относно преглед на правилата за ДДС за финансовите и застрахователните услуги,</w:t>
      </w:r>
    </w:p>
    <w:p w14:paraId="60821CDA" w14:textId="77777777" w:rsidR="00E53F43" w:rsidRPr="009117E6" w:rsidRDefault="00E53F43" w:rsidP="00E53F43">
      <w:pPr>
        <w:pStyle w:val="NormalHanging"/>
      </w:pPr>
      <w:r w:rsidRPr="009117E6">
        <w:lastRenderedPageBreak/>
        <w:t>–</w:t>
      </w:r>
      <w:r w:rsidRPr="009117E6">
        <w:tab/>
        <w:t>като взе предвид предложението на Комисията от 12 септември 2023 г. за създаване на система за данъчно облагане по главно управление за микро-, малките и средните предприятия и за изменение на Директива 2011/16/ЕС,</w:t>
      </w:r>
    </w:p>
    <w:p w14:paraId="7A99C99C" w14:textId="27176701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>като взе предвид Решение (ЕС, Евратом) 2020/2053 на Съвета от 14 декември 2020 г. относно системата на собствените ресурси на Европейския съюз и за отмяна на Решение 2014/335/ЕС, Евратом</w:t>
      </w:r>
      <w:r w:rsidR="009B066A">
        <w:rPr>
          <w:rStyle w:val="FootnoteReference"/>
        </w:rPr>
        <w:footnoteReference w:id="2"/>
      </w:r>
      <w:r w:rsidRPr="009117E6">
        <w:t>,</w:t>
      </w:r>
    </w:p>
    <w:p w14:paraId="78D84D85" w14:textId="77777777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>като взе предвид съобщението на Комисията от 22 декември 2021 г., озаглавено „Следващото поколение собствени ресурси за бюджета на ЕС“ (COM(2021)0566),</w:t>
      </w:r>
    </w:p>
    <w:p w14:paraId="1D22DE3B" w14:textId="0387BEAF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 xml:space="preserve">като взе предвид проучването, поискано от подкомисията по данъчни въпроси на Парламента, озаглавено </w:t>
      </w:r>
      <w:proofErr w:type="spellStart"/>
      <w:r w:rsidRPr="009117E6">
        <w:t>The</w:t>
      </w:r>
      <w:proofErr w:type="spellEnd"/>
      <w:r w:rsidRPr="009117E6">
        <w:t xml:space="preserve"> </w:t>
      </w:r>
      <w:proofErr w:type="spellStart"/>
      <w:r w:rsidRPr="009117E6">
        <w:t>taxation</w:t>
      </w:r>
      <w:proofErr w:type="spellEnd"/>
      <w:r w:rsidRPr="009117E6">
        <w:t xml:space="preserve"> </w:t>
      </w:r>
      <w:proofErr w:type="spellStart"/>
      <w:r w:rsidRPr="009117E6">
        <w:t>of</w:t>
      </w:r>
      <w:proofErr w:type="spellEnd"/>
      <w:r w:rsidRPr="009117E6">
        <w:t xml:space="preserve"> </w:t>
      </w:r>
      <w:proofErr w:type="spellStart"/>
      <w:r w:rsidRPr="009117E6">
        <w:t>the</w:t>
      </w:r>
      <w:proofErr w:type="spellEnd"/>
      <w:r w:rsidRPr="009117E6">
        <w:t xml:space="preserve"> </w:t>
      </w:r>
      <w:proofErr w:type="spellStart"/>
      <w:r w:rsidRPr="009117E6">
        <w:t>EU’s</w:t>
      </w:r>
      <w:proofErr w:type="spellEnd"/>
      <w:r w:rsidRPr="009117E6">
        <w:t xml:space="preserve"> </w:t>
      </w:r>
      <w:proofErr w:type="spellStart"/>
      <w:r w:rsidRPr="009117E6">
        <w:t>financial</w:t>
      </w:r>
      <w:proofErr w:type="spellEnd"/>
      <w:r w:rsidRPr="009117E6">
        <w:t xml:space="preserve"> </w:t>
      </w:r>
      <w:proofErr w:type="spellStart"/>
      <w:r w:rsidRPr="009117E6">
        <w:t>sector</w:t>
      </w:r>
      <w:proofErr w:type="spellEnd"/>
      <w:r w:rsidRPr="009117E6">
        <w:t xml:space="preserve"> (Данъчното облагане на финансовия сектор на ЕС), публикувано от Генерална дирекция по икономика, трансформация и промишленост на Парламента през юни 2025 г.</w:t>
      </w:r>
      <w:r w:rsidR="009B066A">
        <w:rPr>
          <w:rStyle w:val="FootnoteReference"/>
        </w:rPr>
        <w:footnoteReference w:id="3"/>
      </w:r>
      <w:r w:rsidRPr="009117E6">
        <w:t>,</w:t>
      </w:r>
    </w:p>
    <w:p w14:paraId="5DB43B19" w14:textId="77777777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>като взе предвид съдебната практика на Съда на Европейския съюз относно освобождаването от ДДС на финансовите и застрахователните услуги,</w:t>
      </w:r>
    </w:p>
    <w:p w14:paraId="664C1ABA" w14:textId="59219F3B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>като взе предвид Междуинституционалното споразумение от 16 декември 2020 г. между Европейския парламент, Съвета на Европейския съюз и Европейската комисия относно бюджетната дисциплина, сътрудничеството по бюджетни въпроси и доброто финансово управление и относно новите собствени ресурси, включително пътна карта за въвеждането на нови собствени ресурси</w:t>
      </w:r>
      <w:r w:rsidR="009B066A">
        <w:rPr>
          <w:rStyle w:val="FootnoteReference"/>
        </w:rPr>
        <w:footnoteReference w:id="4"/>
      </w:r>
      <w:r w:rsidRPr="009117E6">
        <w:t>,</w:t>
      </w:r>
    </w:p>
    <w:p w14:paraId="10AA39F3" w14:textId="5D7E8B72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>като взе предвид своята резолюция от 10 май 2023 г. относно собствените ресурси: ново начало за финансите на ЕС, ново начало за Европа</w:t>
      </w:r>
      <w:r w:rsidR="009B066A">
        <w:rPr>
          <w:rStyle w:val="FootnoteReference"/>
        </w:rPr>
        <w:footnoteReference w:id="5"/>
      </w:r>
      <w:r w:rsidRPr="009117E6">
        <w:t>,</w:t>
      </w:r>
    </w:p>
    <w:p w14:paraId="6D7DD3BA" w14:textId="77777777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 xml:space="preserve">като взе предвид доклада на Енрико Лета от април 2024 г., озаглавен </w:t>
      </w:r>
      <w:proofErr w:type="spellStart"/>
      <w:r w:rsidRPr="009117E6">
        <w:t>Much</w:t>
      </w:r>
      <w:proofErr w:type="spellEnd"/>
      <w:r w:rsidRPr="009117E6">
        <w:t xml:space="preserve"> </w:t>
      </w:r>
      <w:proofErr w:type="spellStart"/>
      <w:r w:rsidRPr="009117E6">
        <w:t>more</w:t>
      </w:r>
      <w:proofErr w:type="spellEnd"/>
      <w:r w:rsidRPr="009117E6">
        <w:t xml:space="preserve"> </w:t>
      </w:r>
      <w:proofErr w:type="spellStart"/>
      <w:r w:rsidRPr="009117E6">
        <w:t>than</w:t>
      </w:r>
      <w:proofErr w:type="spellEnd"/>
      <w:r w:rsidRPr="009117E6">
        <w:t xml:space="preserve"> a </w:t>
      </w:r>
      <w:proofErr w:type="spellStart"/>
      <w:r w:rsidRPr="009117E6">
        <w:t>market</w:t>
      </w:r>
      <w:proofErr w:type="spellEnd"/>
      <w:r w:rsidRPr="009117E6">
        <w:t xml:space="preserve"> – </w:t>
      </w:r>
      <w:proofErr w:type="spellStart"/>
      <w:r w:rsidRPr="009117E6">
        <w:t>Speed</w:t>
      </w:r>
      <w:proofErr w:type="spellEnd"/>
      <w:r w:rsidRPr="009117E6">
        <w:t xml:space="preserve">, </w:t>
      </w:r>
      <w:proofErr w:type="spellStart"/>
      <w:r w:rsidRPr="009117E6">
        <w:t>Security</w:t>
      </w:r>
      <w:proofErr w:type="spellEnd"/>
      <w:r w:rsidRPr="009117E6">
        <w:t xml:space="preserve">, </w:t>
      </w:r>
      <w:proofErr w:type="spellStart"/>
      <w:r w:rsidRPr="009117E6">
        <w:t>Solidarity</w:t>
      </w:r>
      <w:proofErr w:type="spellEnd"/>
      <w:r w:rsidRPr="009117E6">
        <w:t xml:space="preserve">: </w:t>
      </w:r>
      <w:proofErr w:type="spellStart"/>
      <w:r w:rsidRPr="009117E6">
        <w:t>Empowering</w:t>
      </w:r>
      <w:proofErr w:type="spellEnd"/>
      <w:r w:rsidRPr="009117E6">
        <w:t xml:space="preserve"> </w:t>
      </w:r>
      <w:proofErr w:type="spellStart"/>
      <w:r w:rsidRPr="009117E6">
        <w:t>the</w:t>
      </w:r>
      <w:proofErr w:type="spellEnd"/>
      <w:r w:rsidRPr="009117E6">
        <w:t xml:space="preserve"> </w:t>
      </w:r>
      <w:proofErr w:type="spellStart"/>
      <w:r w:rsidRPr="009117E6">
        <w:t>single</w:t>
      </w:r>
      <w:proofErr w:type="spellEnd"/>
      <w:r w:rsidRPr="009117E6">
        <w:t xml:space="preserve"> </w:t>
      </w:r>
      <w:proofErr w:type="spellStart"/>
      <w:r w:rsidRPr="009117E6">
        <w:t>market</w:t>
      </w:r>
      <w:proofErr w:type="spellEnd"/>
      <w:r w:rsidRPr="009117E6">
        <w:t xml:space="preserve"> </w:t>
      </w:r>
      <w:proofErr w:type="spellStart"/>
      <w:r w:rsidRPr="009117E6">
        <w:t>to</w:t>
      </w:r>
      <w:proofErr w:type="spellEnd"/>
      <w:r w:rsidRPr="009117E6">
        <w:t xml:space="preserve"> </w:t>
      </w:r>
      <w:proofErr w:type="spellStart"/>
      <w:r w:rsidRPr="009117E6">
        <w:t>deliver</w:t>
      </w:r>
      <w:proofErr w:type="spellEnd"/>
      <w:r w:rsidRPr="009117E6">
        <w:t xml:space="preserve"> a </w:t>
      </w:r>
      <w:proofErr w:type="spellStart"/>
      <w:r w:rsidRPr="009117E6">
        <w:t>sustainable</w:t>
      </w:r>
      <w:proofErr w:type="spellEnd"/>
      <w:r w:rsidRPr="009117E6">
        <w:t xml:space="preserve"> </w:t>
      </w:r>
      <w:proofErr w:type="spellStart"/>
      <w:r w:rsidRPr="009117E6">
        <w:t>future</w:t>
      </w:r>
      <w:proofErr w:type="spellEnd"/>
      <w:r w:rsidRPr="009117E6">
        <w:t xml:space="preserve"> </w:t>
      </w:r>
      <w:proofErr w:type="spellStart"/>
      <w:r w:rsidRPr="009117E6">
        <w:t>and</w:t>
      </w:r>
      <w:proofErr w:type="spellEnd"/>
      <w:r w:rsidRPr="009117E6">
        <w:t xml:space="preserve"> </w:t>
      </w:r>
      <w:proofErr w:type="spellStart"/>
      <w:r w:rsidRPr="009117E6">
        <w:t>prosperity</w:t>
      </w:r>
      <w:proofErr w:type="spellEnd"/>
      <w:r w:rsidRPr="009117E6">
        <w:t xml:space="preserve"> </w:t>
      </w:r>
      <w:proofErr w:type="spellStart"/>
      <w:r w:rsidRPr="009117E6">
        <w:t>for</w:t>
      </w:r>
      <w:proofErr w:type="spellEnd"/>
      <w:r w:rsidRPr="009117E6">
        <w:t xml:space="preserve"> </w:t>
      </w:r>
      <w:proofErr w:type="spellStart"/>
      <w:r w:rsidRPr="009117E6">
        <w:t>all</w:t>
      </w:r>
      <w:proofErr w:type="spellEnd"/>
      <w:r w:rsidRPr="009117E6">
        <w:t xml:space="preserve"> EU </w:t>
      </w:r>
      <w:proofErr w:type="spellStart"/>
      <w:r w:rsidRPr="009117E6">
        <w:t>citizens</w:t>
      </w:r>
      <w:proofErr w:type="spellEnd"/>
      <w:r w:rsidRPr="009117E6">
        <w:t xml:space="preserve"> (Нещо много повече от пазар – Бързина, сигурност, солидарност – Създаване възможности на единния пазар за постигане на устойчиво бъдеще и просперитет за всички граждани на ЕС) (доклада на Лета),</w:t>
      </w:r>
    </w:p>
    <w:p w14:paraId="0F30661B" w14:textId="77777777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 xml:space="preserve">като взе предвид доклада на Марио Драги от 9 септември 2024 г., озаглавен </w:t>
      </w:r>
      <w:proofErr w:type="spellStart"/>
      <w:r w:rsidRPr="009117E6">
        <w:t>The</w:t>
      </w:r>
      <w:proofErr w:type="spellEnd"/>
      <w:r w:rsidRPr="009117E6">
        <w:t xml:space="preserve"> </w:t>
      </w:r>
      <w:proofErr w:type="spellStart"/>
      <w:r w:rsidRPr="009117E6">
        <w:t>future</w:t>
      </w:r>
      <w:proofErr w:type="spellEnd"/>
      <w:r w:rsidRPr="009117E6">
        <w:t xml:space="preserve"> </w:t>
      </w:r>
      <w:proofErr w:type="spellStart"/>
      <w:r w:rsidRPr="009117E6">
        <w:t>of</w:t>
      </w:r>
      <w:proofErr w:type="spellEnd"/>
      <w:r w:rsidRPr="009117E6">
        <w:t xml:space="preserve"> </w:t>
      </w:r>
      <w:proofErr w:type="spellStart"/>
      <w:r w:rsidRPr="009117E6">
        <w:t>European</w:t>
      </w:r>
      <w:proofErr w:type="spellEnd"/>
      <w:r w:rsidRPr="009117E6">
        <w:t xml:space="preserve"> </w:t>
      </w:r>
      <w:proofErr w:type="spellStart"/>
      <w:r w:rsidRPr="009117E6">
        <w:t>competitiveness</w:t>
      </w:r>
      <w:proofErr w:type="spellEnd"/>
      <w:r w:rsidRPr="009117E6">
        <w:t xml:space="preserve"> (Бъдещето на европейската конкурентоспособност) (доклада на Драги),</w:t>
      </w:r>
    </w:p>
    <w:p w14:paraId="4EC9E410" w14:textId="77777777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>като взе предвид съобщението на Комисията, озаглавено „Съюз на спестяванията и инвестициите: Стратегия за насърчаване на благосъстоянието на гражданите и икономическата конкурентоспособност в ЕС“ (COM(2025)0124),</w:t>
      </w:r>
    </w:p>
    <w:p w14:paraId="323F13E1" w14:textId="231664E6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 xml:space="preserve">като взе предвид Препоръка (ЕС) 2025/2029 на Комисията от 30 септември 2025 г. </w:t>
      </w:r>
      <w:r w:rsidRPr="009117E6">
        <w:lastRenderedPageBreak/>
        <w:t>относно увеличаване на наличността на спестовно-инвестиционни сметки с опростено и благоприятно данъчно третиране</w:t>
      </w:r>
      <w:r w:rsidR="009B066A">
        <w:rPr>
          <w:rStyle w:val="FootnoteReference"/>
        </w:rPr>
        <w:footnoteReference w:id="6"/>
      </w:r>
      <w:r w:rsidRPr="009117E6">
        <w:t>,</w:t>
      </w:r>
    </w:p>
    <w:p w14:paraId="38EA5EF4" w14:textId="77777777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 xml:space="preserve">като взе предвид работния документ на Световната банка от май 2025 г., озаглавен VAT </w:t>
      </w:r>
      <w:proofErr w:type="spellStart"/>
      <w:r w:rsidRPr="009117E6">
        <w:t>Exemptions</w:t>
      </w:r>
      <w:proofErr w:type="spellEnd"/>
      <w:r w:rsidRPr="009117E6">
        <w:t xml:space="preserve">, </w:t>
      </w:r>
      <w:proofErr w:type="spellStart"/>
      <w:r w:rsidRPr="009117E6">
        <w:t>Embedded</w:t>
      </w:r>
      <w:proofErr w:type="spellEnd"/>
      <w:r w:rsidRPr="009117E6">
        <w:t xml:space="preserve"> </w:t>
      </w:r>
      <w:proofErr w:type="spellStart"/>
      <w:r w:rsidRPr="009117E6">
        <w:t>Tax</w:t>
      </w:r>
      <w:proofErr w:type="spellEnd"/>
      <w:r w:rsidRPr="009117E6">
        <w:t xml:space="preserve">, </w:t>
      </w:r>
      <w:proofErr w:type="spellStart"/>
      <w:r w:rsidRPr="009117E6">
        <w:t>and</w:t>
      </w:r>
      <w:proofErr w:type="spellEnd"/>
      <w:r w:rsidRPr="009117E6">
        <w:t xml:space="preserve"> </w:t>
      </w:r>
      <w:proofErr w:type="spellStart"/>
      <w:r w:rsidRPr="009117E6">
        <w:t>Unintended</w:t>
      </w:r>
      <w:proofErr w:type="spellEnd"/>
      <w:r w:rsidRPr="009117E6">
        <w:t xml:space="preserve"> </w:t>
      </w:r>
      <w:proofErr w:type="spellStart"/>
      <w:r w:rsidRPr="009117E6">
        <w:t>Consequences</w:t>
      </w:r>
      <w:proofErr w:type="spellEnd"/>
      <w:r w:rsidRPr="009117E6">
        <w:t xml:space="preserve"> (Освобождавания от ДДС, включени данъци и нежелани последици),</w:t>
      </w:r>
    </w:p>
    <w:p w14:paraId="124983AC" w14:textId="77777777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>като взе предвид член 55 от своя Правилник за дейността,</w:t>
      </w:r>
    </w:p>
    <w:p w14:paraId="294D0679" w14:textId="77777777" w:rsidR="00E53F43" w:rsidRPr="009117E6" w:rsidRDefault="00E53F43" w:rsidP="00E53F43">
      <w:pPr>
        <w:pStyle w:val="NormalHanging"/>
      </w:pPr>
      <w:r w:rsidRPr="009117E6">
        <w:t>–</w:t>
      </w:r>
      <w:r w:rsidRPr="009117E6">
        <w:tab/>
        <w:t>като взе предвид доклада на комисията по икономически и парични въпроси (A10-0169/2026),</w:t>
      </w:r>
    </w:p>
    <w:p w14:paraId="0AFE1126" w14:textId="77777777" w:rsidR="00E53F43" w:rsidRPr="009117E6" w:rsidRDefault="00E53F43" w:rsidP="00E53F43">
      <w:pPr>
        <w:pStyle w:val="NormalHanging"/>
      </w:pPr>
      <w:r w:rsidRPr="009117E6">
        <w:t>А.</w:t>
      </w:r>
      <w:r w:rsidRPr="009117E6">
        <w:tab/>
        <w:t>като има предвид, че в писмото на председателя на Комисията за определяне на ресора от 2024 г. до члена на Комисията, отговарящ за данъчното облагане, на Комисията е възложена задачата да набележи иновативни решения за данъчното облагане на финансовия сектор на ЕС в подкрепа на по-нататъшната интеграция на сектора, трансграничната дейност, цифровизацията и иновациите; като има предвид, че Комисията започна проучване относно данъчното облагане на финансовия сектор в ЕС;</w:t>
      </w:r>
    </w:p>
    <w:p w14:paraId="4FE49354" w14:textId="77777777" w:rsidR="00E53F43" w:rsidRPr="009117E6" w:rsidRDefault="00E53F43" w:rsidP="00E53F43">
      <w:pPr>
        <w:pStyle w:val="NormalHanging"/>
      </w:pPr>
      <w:r w:rsidRPr="009117E6">
        <w:t>Б.</w:t>
      </w:r>
      <w:r w:rsidRPr="009117E6">
        <w:tab/>
        <w:t xml:space="preserve">като има предвид, че финансовите услуги по принцип са освободени от данък добавена стойност (ДДС) в ЕС; като има предвид, че финансовите институции не могат да приспадат ДДС, начисляван върху входящите им ресурси, поради това освобождаване и това води до т.нар. „проблем с </w:t>
      </w:r>
      <w:proofErr w:type="spellStart"/>
      <w:r w:rsidRPr="009117E6">
        <w:t>неподлежащия</w:t>
      </w:r>
      <w:proofErr w:type="spellEnd"/>
      <w:r w:rsidRPr="009117E6">
        <w:t xml:space="preserve"> на приспадане ДДС“; като има предвид, че това освобождаване би могло да създаде липса на прозрачност, да увеличи разходите за потребителите и да доведе до допълнителни разходи за финансовите институции, да повлияе на решенията за организиране и възлагане на дейности на външни изпълнители и да доведе до неблагоприятно конкурентно положение за по-малките, цифровите и трансграничните доставчици на услуги;</w:t>
      </w:r>
    </w:p>
    <w:p w14:paraId="0EF4E405" w14:textId="77777777" w:rsidR="00E53F43" w:rsidRPr="009117E6" w:rsidRDefault="00E53F43" w:rsidP="00E53F43">
      <w:pPr>
        <w:pStyle w:val="NormalHanging"/>
      </w:pPr>
      <w:r w:rsidRPr="009117E6">
        <w:t>В.</w:t>
      </w:r>
      <w:r w:rsidRPr="009117E6">
        <w:tab/>
        <w:t>като има предвид, че възможността финансовите институции да изберат да начисляват ДДС не се предоставя последователно в държавите членки, което води до допълнителна административна сложност;</w:t>
      </w:r>
    </w:p>
    <w:p w14:paraId="63DC59DF" w14:textId="77777777" w:rsidR="00E53F43" w:rsidRPr="009117E6" w:rsidRDefault="00E53F43" w:rsidP="00E53F43">
      <w:pPr>
        <w:pStyle w:val="NormalHanging"/>
      </w:pPr>
      <w:r w:rsidRPr="009117E6">
        <w:t>Г.</w:t>
      </w:r>
      <w:r w:rsidRPr="009117E6">
        <w:tab/>
        <w:t>като има предвид, че освобождаването от ДДС датира от 1977 г., когато данъчното облагане на такива финансови услуги е създавало значителни технически и административни трудности; като има предвид, че сега би могло да се предприемат действия по отношение на първоначалната техническа обосновка за освобождаването от ДДС благодарение на технологичния и цифровия напредък и напредъка в областта на надзора, включително обработка на данни в реално време и подобрени изисквания за докладване;</w:t>
      </w:r>
    </w:p>
    <w:p w14:paraId="1770B9D9" w14:textId="77777777" w:rsidR="00E53F43" w:rsidRPr="009117E6" w:rsidRDefault="00E53F43" w:rsidP="00E53F43">
      <w:pPr>
        <w:pStyle w:val="NormalHanging"/>
      </w:pPr>
      <w:r w:rsidRPr="009117E6">
        <w:t>Д.</w:t>
      </w:r>
      <w:r w:rsidRPr="009117E6">
        <w:tab/>
        <w:t xml:space="preserve">като има предвид, че редица юрисдикции по света преразгледаха подобни освобождавания или въведоха алтернативни форми на данъчно облагане на финансовите услуги, за да се справят с нежеланите фискални и конкурентни последици от </w:t>
      </w:r>
      <w:proofErr w:type="spellStart"/>
      <w:r w:rsidRPr="009117E6">
        <w:t>неподлежащия</w:t>
      </w:r>
      <w:proofErr w:type="spellEnd"/>
      <w:r w:rsidRPr="009117E6">
        <w:t xml:space="preserve"> на възстановяване ДДС и да продължат да гарантират справедлив и стабилен принос на финансовия сектор към публичните приходи;</w:t>
      </w:r>
    </w:p>
    <w:p w14:paraId="5A967AA5" w14:textId="77777777" w:rsidR="00E53F43" w:rsidRPr="009117E6" w:rsidRDefault="00E53F43" w:rsidP="00E53F43">
      <w:pPr>
        <w:pStyle w:val="NormalHanging"/>
      </w:pPr>
      <w:r w:rsidRPr="009117E6">
        <w:lastRenderedPageBreak/>
        <w:t>Е.</w:t>
      </w:r>
      <w:r w:rsidRPr="009117E6">
        <w:tab/>
        <w:t>като има предвид, че както в доклада на Лета, така и в доклада на Драги се подчертава, че разпокъсаността на данъчното облагане в рамките на единния пазар, включително административните и фискалните пречки, възпрепятства икономическия растеж, търговията и трансграничната стопанска дейност; като има предвид, че вътрешните пречки в ЕС на практика налагат мито от почти 100% върху финансовите услуги;  като има предвид, че според Драги тези препятствия и регулаторни пречки са много по-вредни за икономическия растеж от всички мита, които САЩ биха могли да наложат;</w:t>
      </w:r>
    </w:p>
    <w:p w14:paraId="59EBEA5A" w14:textId="77777777" w:rsidR="00E53F43" w:rsidRPr="009117E6" w:rsidRDefault="00E53F43" w:rsidP="00E53F43">
      <w:pPr>
        <w:pStyle w:val="NormalHanging"/>
      </w:pPr>
      <w:r w:rsidRPr="009117E6">
        <w:t>Ж.</w:t>
      </w:r>
      <w:r w:rsidRPr="009117E6">
        <w:tab/>
        <w:t>като има предвид, че по данни на Евростат финансовият сектор е значителен компонент на икономиката на ЕС, който генерира около 0,9 трилиона евро добавена стойност през 2022 г., осигурява заетост на почти 5 милиона души и отчита нетен оборот от приблизително 2,4 трилиона евро; като има предвид, че секторът допринася за публичните финанси чрез корпоративното данъчно облагане, данъците върху заплатите и специфичните за сектора налози; като има предвид, че финансовият сектор на ЕС играе централна роля за финансирането на реалната икономика, като подкрепя иновациите и улеснява инвестициите;</w:t>
      </w:r>
    </w:p>
    <w:p w14:paraId="4A8A5370" w14:textId="38E82A87" w:rsidR="00E53F43" w:rsidRPr="009117E6" w:rsidRDefault="00E53F43" w:rsidP="00E53F43">
      <w:pPr>
        <w:pStyle w:val="NormalHanging"/>
      </w:pPr>
      <w:r w:rsidRPr="009117E6">
        <w:t>З.</w:t>
      </w:r>
      <w:r w:rsidRPr="009117E6">
        <w:tab/>
        <w:t>като има предвид, че неотдавнашните инициативи, като например Директива 2025/50 на Съвета от 10 декември 2024 г. за по-бързи и по-сигурни данъчни облекчения за надвзети данъци при източника</w:t>
      </w:r>
      <w:r w:rsidR="009B066A">
        <w:rPr>
          <w:rStyle w:val="FootnoteReference"/>
        </w:rPr>
        <w:footnoteReference w:id="7"/>
      </w:r>
      <w:r w:rsidRPr="009117E6">
        <w:t xml:space="preserve"> (Директивата FASTER), постигнаха значителен напредък в намаляването на административната тежест и улесняването на трансграничната икономическа дейност в ЕС, като подобни усилия следва да продължат с цел по-нататъшно укрепване на интеграцията и ефективността на единния пазар;</w:t>
      </w:r>
    </w:p>
    <w:p w14:paraId="37AFDA3D" w14:textId="66AB29E8" w:rsidR="00E53F43" w:rsidRPr="009117E6" w:rsidRDefault="00E53F43" w:rsidP="00E53F43">
      <w:pPr>
        <w:pStyle w:val="NormalHanging"/>
      </w:pPr>
      <w:r w:rsidRPr="009117E6">
        <w:t>И.</w:t>
      </w:r>
      <w:r w:rsidRPr="009117E6">
        <w:tab/>
        <w:t>като има предвид, че Съветът отложи вземането на решение относно предложението на Комисията за директива за създаване на система за данъчно облагане по главно управление за микро-, малките и средните предприятия и за изменение на Директива 2011/16/ЕС, а Парламентът вече одобри законодателна резолюция на 10 април 2024 г.</w:t>
      </w:r>
      <w:r w:rsidR="009B066A">
        <w:rPr>
          <w:rStyle w:val="FootnoteReference"/>
        </w:rPr>
        <w:footnoteReference w:id="8"/>
      </w:r>
      <w:r w:rsidRPr="009117E6">
        <w:t>;</w:t>
      </w:r>
    </w:p>
    <w:p w14:paraId="705414DF" w14:textId="77777777" w:rsidR="00E53F43" w:rsidRPr="009117E6" w:rsidRDefault="00E53F43" w:rsidP="00E53F43">
      <w:pPr>
        <w:pStyle w:val="NormalHanging"/>
      </w:pPr>
      <w:r w:rsidRPr="009117E6">
        <w:t>Й.</w:t>
      </w:r>
      <w:r w:rsidRPr="009117E6">
        <w:tab/>
        <w:t>като има предвид, че с бъдещите инициативи следва да се намали разпокъсаността на единния пазар и да се засили конкурентоспособността, като се гарантира съгласувана, предвидима и неутрална данъчна рамка за финансовите услуги и същевременно се вземат предвид разнообразните бизнес модели и данъчните взаимодействия в целия финансов сектор на ЕС;</w:t>
      </w:r>
    </w:p>
    <w:p w14:paraId="64B1B07C" w14:textId="77777777" w:rsidR="00E53F43" w:rsidRPr="009117E6" w:rsidRDefault="00E53F43" w:rsidP="00E53F43">
      <w:pPr>
        <w:pStyle w:val="NormalHanging"/>
      </w:pPr>
      <w:r w:rsidRPr="009117E6">
        <w:t>К.</w:t>
      </w:r>
      <w:r w:rsidRPr="009117E6">
        <w:tab/>
        <w:t xml:space="preserve">като има предвид, че данъчното облагане на финансовите услуги в ЕС продължава да бъде силно разпокъсано, с различаващи се национални подходи към данъците върху застрахователните премии, данъците върху финансовите сделки (ДФС), данъците върху банките, данъците върху финансовата дейност и други данъци, основани на печалбата; като има предвид, че тази разпокъсаност създава правна несигурност и сложност, води до изкривяване на пазара, насърчава </w:t>
      </w:r>
      <w:r w:rsidRPr="009117E6">
        <w:lastRenderedPageBreak/>
        <w:t>избягването на данъци и намалява конкурентоспособността на ЕС;</w:t>
      </w:r>
    </w:p>
    <w:p w14:paraId="0FCC8075" w14:textId="77777777" w:rsidR="00E53F43" w:rsidRPr="009117E6" w:rsidRDefault="00E53F43" w:rsidP="00E53F43">
      <w:pPr>
        <w:pStyle w:val="NormalHanging"/>
      </w:pPr>
      <w:r w:rsidRPr="009117E6">
        <w:t>Л.</w:t>
      </w:r>
      <w:r w:rsidRPr="009117E6">
        <w:tab/>
        <w:t xml:space="preserve">като има предвид, че съюзът на спестяванията и инвестициите (ССИ) изисква по-силни стимули за хората, за да спестяват и инвестират на европейските капиталови пазари; като има предвид, че завършването на ССИ изисква всеобхватен подход спрямо финансовата стабилност, пазарната интеграция и защитата на инвеститорите; като има предвид, че гарантирането на справедливия принос на финансовия сектор към публичните финанси, на </w:t>
      </w:r>
      <w:proofErr w:type="spellStart"/>
      <w:r w:rsidRPr="009117E6">
        <w:t>интернализирането</w:t>
      </w:r>
      <w:proofErr w:type="spellEnd"/>
      <w:r w:rsidRPr="009117E6">
        <w:t xml:space="preserve"> на създаваните от него рискове и на подкрепата за дългосрочните устойчиви инвестиции е от съществено значение за успеха на ССИ и доверието в него;</w:t>
      </w:r>
    </w:p>
    <w:p w14:paraId="3368C233" w14:textId="77777777" w:rsidR="00E53F43" w:rsidRPr="009117E6" w:rsidRDefault="00E53F43" w:rsidP="00E53F43">
      <w:pPr>
        <w:pStyle w:val="NormalHanging"/>
      </w:pPr>
      <w:r w:rsidRPr="009117E6">
        <w:t>М.</w:t>
      </w:r>
      <w:r w:rsidRPr="009117E6">
        <w:tab/>
        <w:t>като има предвид, че ДФС и данъците върху банките бяха обсъдени след финансовата криза през 2008 г. и 2009 г.; като има предвид, че тези мерки имаха за цел да компенсират разходите, свързани с кризата;</w:t>
      </w:r>
    </w:p>
    <w:p w14:paraId="54EEF31F" w14:textId="77777777" w:rsidR="00E53F43" w:rsidRPr="009117E6" w:rsidRDefault="00E53F43" w:rsidP="00E53F43">
      <w:pPr>
        <w:pStyle w:val="NormalHanging"/>
      </w:pPr>
      <w:r w:rsidRPr="009117E6">
        <w:t>Н.</w:t>
      </w:r>
      <w:r w:rsidRPr="009117E6">
        <w:tab/>
        <w:t>като има предвид, че понастоящем най-малко седем държави членки налагат ДФС; като има предвид, че тези държави членки не са координирали своите ДФС по отношение на обхвата, размера или прилагането; като има предвид, че не е постигнато споразумение за ДФС в целия ЕС въпреки редицата законодателни предложения на Комисията от 2011 г. насам;</w:t>
      </w:r>
    </w:p>
    <w:p w14:paraId="6DF1C8DF" w14:textId="77777777" w:rsidR="00E53F43" w:rsidRPr="009117E6" w:rsidRDefault="00E53F43" w:rsidP="00E53F43">
      <w:pPr>
        <w:pStyle w:val="NormalHanging"/>
      </w:pPr>
      <w:r w:rsidRPr="009117E6">
        <w:t>О.</w:t>
      </w:r>
      <w:r w:rsidRPr="009117E6">
        <w:tab/>
        <w:t>като има предвид, че Парламентът последователно подкрепя въвеждането на ДФС в целия ЕС, включително като възможен собствен ресурс, последно в своята резолюция от май 2023 г.; като има предвид, че в работната си програма за 2026 г. Комисията предложи да оттегли предишното си предложение за ДФС поради липсата на консенсус сред държавите членки и факта, че не е постигнато съгласие;</w:t>
      </w:r>
    </w:p>
    <w:p w14:paraId="6FB40054" w14:textId="77777777" w:rsidR="00E53F43" w:rsidRPr="009117E6" w:rsidRDefault="00E53F43" w:rsidP="00E53F43">
      <w:pPr>
        <w:pStyle w:val="NormalHanging"/>
      </w:pPr>
      <w:r w:rsidRPr="009117E6">
        <w:t>П.</w:t>
      </w:r>
      <w:r w:rsidRPr="009117E6">
        <w:tab/>
        <w:t>като има предвид, че държавите членки продължават да въвеждат временни данъци върху извънредните приходи или налози за солидарност върху печалбите на банките, за да се справят с извънредните увеличения на рентабилността, обусловени от паричната политика;</w:t>
      </w:r>
    </w:p>
    <w:p w14:paraId="677D9751" w14:textId="77777777" w:rsidR="00E53F43" w:rsidRPr="009117E6" w:rsidRDefault="00E53F43" w:rsidP="00E53F43">
      <w:pPr>
        <w:pStyle w:val="Normal12a"/>
      </w:pPr>
      <w:r w:rsidRPr="009117E6">
        <w:rPr>
          <w:b/>
          <w:i/>
        </w:rPr>
        <w:t>Преодоляване на разпокъсаността на данъчното облагане в рамките на финансовия сектор и повишаване на неговата конкурентоспособност</w:t>
      </w:r>
    </w:p>
    <w:p w14:paraId="5822E18E" w14:textId="30A5F50E" w:rsidR="00E53F43" w:rsidRPr="009117E6" w:rsidRDefault="00E53F43" w:rsidP="00E53F43">
      <w:pPr>
        <w:pStyle w:val="NormalHanging12a"/>
      </w:pPr>
      <w:r w:rsidRPr="009117E6">
        <w:t>1.</w:t>
      </w:r>
      <w:r w:rsidRPr="009117E6">
        <w:tab/>
        <w:t xml:space="preserve">отбелязва, че </w:t>
      </w:r>
      <w:r w:rsidR="00502E0A" w:rsidRPr="00502E0A">
        <w:t xml:space="preserve">след голямата финансова криза </w:t>
      </w:r>
      <w:r w:rsidRPr="009117E6">
        <w:t>държавите членки са въвели 91 секторни данъка за данъчно облагане на финансовия сектор, което води до силно разпокъсана данъчна среда; отбелязва, че тази разпокъсана данъчна среда създава допълнителни оперативни и административни разходи и увеличава структурните пречки пред трансграничното разрастване на доставчиците на финансови услуги, като по този начин отслабва финансовия сектор на ЕС и неговия инвестиционен капацитет и подкопава целите на ССИ и банковия съюз;</w:t>
      </w:r>
    </w:p>
    <w:p w14:paraId="5BB1D8B5" w14:textId="1BBE33C6" w:rsidR="00E53F43" w:rsidRPr="009117E6" w:rsidRDefault="00E53F43" w:rsidP="00502E0A">
      <w:pPr>
        <w:pStyle w:val="NormalHanging12a"/>
      </w:pPr>
      <w:r w:rsidRPr="009117E6">
        <w:t>2.</w:t>
      </w:r>
      <w:r w:rsidRPr="009117E6">
        <w:tab/>
        <w:t>отбелязва, че различията в националните данъчни режими отразяват избора на вътрешни политики; отбелязва продължаващата работа на международно равнище по отношение на прехвърлянето на печалби; призовава за засилена координация на равнището на ЕС, включително при прилагането на Директивата за втория стълб, строги правила за борба с избягването на данъци и изисквания за прозрачност, особено в областта на публичното отчитане по държави;</w:t>
      </w:r>
    </w:p>
    <w:p w14:paraId="50D36E12" w14:textId="6AD4EF3F" w:rsidR="00E53F43" w:rsidRPr="009117E6" w:rsidRDefault="00750A11" w:rsidP="00E53F43">
      <w:pPr>
        <w:pStyle w:val="NormalHanging12a"/>
      </w:pPr>
      <w:r>
        <w:lastRenderedPageBreak/>
        <w:t>3</w:t>
      </w:r>
      <w:r w:rsidR="00E53F43" w:rsidRPr="009117E6">
        <w:t>.</w:t>
      </w:r>
      <w:r w:rsidR="00E53F43" w:rsidRPr="009117E6">
        <w:tab/>
        <w:t>отбелязва, че разпокъсаността на националните данъчни режими увеличава риска от трансгранично двойно данъчно облагане и поради административната и правната сложност може да възпрепятства растежа на финансовия сектор на ЕС и да представлява спънка пред по-задълбочената интеграция на финансовите пазари на ЕС; подчертава, че избягването на двойното данъчно облагане и намаляването на административната тежест следва да продължат да бъдат от решаващо значение; подчертава обаче, че усилията за опростяване не трябва да водят до дерегулиране или надпревара за достигане на най-ниски равнища на данъчните стандарти;</w:t>
      </w:r>
    </w:p>
    <w:p w14:paraId="5A328BF8" w14:textId="05EB2632" w:rsidR="00E53F43" w:rsidRPr="009117E6" w:rsidRDefault="00750A11" w:rsidP="00E53F43">
      <w:pPr>
        <w:pStyle w:val="NormalHanging12a"/>
      </w:pPr>
      <w:r>
        <w:t>4</w:t>
      </w:r>
      <w:r w:rsidR="00E53F43" w:rsidRPr="009117E6">
        <w:t>.</w:t>
      </w:r>
      <w:r w:rsidR="00E53F43" w:rsidRPr="009117E6">
        <w:tab/>
        <w:t>подчертава, че различията в националните процедури за удържане на данък при източника създават административна тежест и пречки пред трансграничните инвестиции, както се потвърждава в стратегията на Комисията за ССИ; приветства приемането на Директивата FASTER; призовава за по-нататъшен напредък в посока към по-координирана и амбициозна рамка;</w:t>
      </w:r>
    </w:p>
    <w:p w14:paraId="6030845B" w14:textId="29250BA1" w:rsidR="00E53F43" w:rsidRPr="009117E6" w:rsidRDefault="00750A11" w:rsidP="00E53F43">
      <w:pPr>
        <w:pStyle w:val="NormalHanging12a"/>
      </w:pPr>
      <w:r>
        <w:t>5</w:t>
      </w:r>
      <w:r w:rsidR="00E53F43" w:rsidRPr="009117E6">
        <w:t>.</w:t>
      </w:r>
      <w:r w:rsidR="00E53F43" w:rsidRPr="009117E6">
        <w:tab/>
        <w:t>призовава Съвета да вземе решение относно предложението на Комисията за директива на Съвета за създаване на система за данъчно облагане по главно управление за микро-, малките и средните предприятия и за изменение на Директива 2011/16/ЕС, като надлежно вземе предвид законодателната резолюция на Европейския парламент от 10 април 2024 г.;</w:t>
      </w:r>
    </w:p>
    <w:p w14:paraId="40527A0A" w14:textId="0D3BF390" w:rsidR="00E53F43" w:rsidRPr="009117E6" w:rsidRDefault="00750A11" w:rsidP="00E53F43">
      <w:pPr>
        <w:pStyle w:val="NormalHanging12a"/>
      </w:pPr>
      <w:r>
        <w:t>6</w:t>
      </w:r>
      <w:r w:rsidR="00E53F43" w:rsidRPr="009117E6">
        <w:t>.</w:t>
      </w:r>
      <w:r w:rsidR="00E53F43" w:rsidRPr="009117E6">
        <w:tab/>
        <w:t xml:space="preserve">освен това отбелязва, че действащите данъчни правила не са напълно в крак с появата на нови финансови продукти и пазарни инфраструктури; изтъква, че тази разпокъсаност бързо става все по-тревожна с успеха на </w:t>
      </w:r>
      <w:proofErr w:type="spellStart"/>
      <w:r w:rsidR="00E53F43" w:rsidRPr="009117E6">
        <w:t>необанките</w:t>
      </w:r>
      <w:proofErr w:type="spellEnd"/>
      <w:r w:rsidR="00E53F43" w:rsidRPr="009117E6">
        <w:t xml:space="preserve">, като например изцяло цифровизираните банки, банките конкуренти или </w:t>
      </w:r>
      <w:proofErr w:type="spellStart"/>
      <w:r w:rsidR="00E53F43" w:rsidRPr="009117E6">
        <w:t>финансовотехнологичните</w:t>
      </w:r>
      <w:proofErr w:type="spellEnd"/>
      <w:r w:rsidR="00E53F43" w:rsidRPr="009117E6">
        <w:t xml:space="preserve"> банки; отбелязва значителното увеличение на дела на трансграничните депозити, държани от тези банки, през последните шест години; подчертава, че различията в данъчните правила между банките и небанковите субекти могат да създадат нарушения;</w:t>
      </w:r>
    </w:p>
    <w:p w14:paraId="3720A973" w14:textId="7F7C7A3E" w:rsidR="00E53F43" w:rsidRPr="009117E6" w:rsidRDefault="00750A11" w:rsidP="00E53F43">
      <w:pPr>
        <w:pStyle w:val="NormalHanging12a"/>
      </w:pPr>
      <w:r>
        <w:t>7</w:t>
      </w:r>
      <w:r w:rsidR="00E53F43" w:rsidRPr="009117E6">
        <w:t>.</w:t>
      </w:r>
      <w:r w:rsidR="00E53F43" w:rsidRPr="009117E6">
        <w:tab/>
        <w:t xml:space="preserve">изтъква, че недостатъчните данни за ефективната данъчна тежест във финансовия сектор на ЕС възпрепятстват изготвянето на политики, основани на доказателства, и оценката на въздействията на политиките върху поведението на пазара, конкуренцията и финансовата стабилност; подчертава необходимостта от подобряване на прозрачността и </w:t>
      </w:r>
      <w:r w:rsidR="00502E0A" w:rsidRPr="00502E0A">
        <w:t xml:space="preserve">по-добро използване на съществуващите </w:t>
      </w:r>
      <w:r w:rsidR="00E53F43" w:rsidRPr="009117E6">
        <w:t>данни като предварително условие за съгласувана реформа на данъчното облагане на финансовия сектор;</w:t>
      </w:r>
    </w:p>
    <w:p w14:paraId="7B11761E" w14:textId="656A9AA0" w:rsidR="00E53F43" w:rsidRPr="009117E6" w:rsidRDefault="00750A11" w:rsidP="00E53F43">
      <w:pPr>
        <w:pStyle w:val="NormalHanging12a"/>
      </w:pPr>
      <w:r>
        <w:t>8</w:t>
      </w:r>
      <w:r w:rsidR="00E53F43" w:rsidRPr="009117E6">
        <w:t>.</w:t>
      </w:r>
      <w:r w:rsidR="00E53F43" w:rsidRPr="009117E6">
        <w:tab/>
        <w:t>подчертава, че премахването на данъчните пречки пред трансграничните инвестиции чрез съгласувани правила на равнището на ЕС би намалило разходите за привеждане в съответствие, би подобрило пазарната ефективност, би повишило правната яснота за трансграничните капиталови потоци и би засилило конкурентоспособността на финансовите услуги в ЕС, като същевременно би ограничило отклоненията от данъчно облагане и агресивното данъчно планиране; подчертава необходимостта от съгласуван набор от правила за финансовия сектор на ЕС, като същевременно се зачитат данъчният суверенитет на държавите членки и принципът на субсидиарност; подчертава, че данъчното облагане на финансовите услуги следва да спомогне за поддържане на конкурентоспособността на финансовия сектор;</w:t>
      </w:r>
    </w:p>
    <w:p w14:paraId="67ED58D4" w14:textId="45BAE0F0" w:rsidR="00E53F43" w:rsidRPr="009117E6" w:rsidRDefault="00750A11" w:rsidP="00E53F43">
      <w:pPr>
        <w:pStyle w:val="NormalHanging12a"/>
      </w:pPr>
      <w:r>
        <w:lastRenderedPageBreak/>
        <w:t>9</w:t>
      </w:r>
      <w:r w:rsidR="00E53F43" w:rsidRPr="009117E6">
        <w:t>.</w:t>
      </w:r>
      <w:r w:rsidR="00E53F43" w:rsidRPr="009117E6">
        <w:tab/>
        <w:t>отбелязва, че според Европейския макроикономически доклад на Комисията за 2026 г.</w:t>
      </w:r>
      <w:r w:rsidR="009B066A">
        <w:rPr>
          <w:rStyle w:val="FootnoteReference"/>
        </w:rPr>
        <w:footnoteReference w:id="9"/>
      </w:r>
      <w:r w:rsidR="00E53F43" w:rsidRPr="009117E6">
        <w:t xml:space="preserve"> процентът на спестяванията на домакинствата в ЕС остава доста над средния за държавите от Организацията за икономическо сътрудничество и развитие; изразява съжаление, че около една трета от тези спестявания се инвестират извън ЕС, което показва недостатъците на финансовата рамка на ЕС по отношение на задържането на инвестициите; призовава Комисията да прецени как данъчните мерки могат да насърчават инвестициите да се насочат към ЕС; подчертава значението на възпирането на финансовите потоци към държави от списъка на ЕС на юрисдикциите, </w:t>
      </w:r>
      <w:proofErr w:type="spellStart"/>
      <w:r w:rsidR="00E53F43" w:rsidRPr="009117E6">
        <w:t>неоказващи</w:t>
      </w:r>
      <w:proofErr w:type="spellEnd"/>
      <w:r w:rsidR="00E53F43" w:rsidRPr="009117E6">
        <w:t xml:space="preserve"> съдействие за данъчни цели;</w:t>
      </w:r>
    </w:p>
    <w:p w14:paraId="1775A7A4" w14:textId="04A985A4" w:rsidR="00E53F43" w:rsidRPr="009117E6" w:rsidRDefault="00750A11" w:rsidP="00E53F43">
      <w:pPr>
        <w:pStyle w:val="NormalHanging12a"/>
      </w:pPr>
      <w:r>
        <w:t>10</w:t>
      </w:r>
      <w:r w:rsidR="00E53F43" w:rsidRPr="009117E6">
        <w:t>.</w:t>
      </w:r>
      <w:r w:rsidR="00E53F43" w:rsidRPr="009117E6">
        <w:tab/>
        <w:t>подчертава, че е важно да се постигне напредък по отношение на ССИ, за да се мобилизират спестявания за продуктивни инвестиции; счита, че намаляването на данъчната разпокъсаност и подобряването на каналите за трансгранични инвестиции са от ключово значение, за да се мобилизират европейските спестявания с оглед на инвестиции в рамките на ЕС;</w:t>
      </w:r>
    </w:p>
    <w:p w14:paraId="17AD0444" w14:textId="76788EA6" w:rsidR="00E53F43" w:rsidRPr="009117E6" w:rsidRDefault="00750A11" w:rsidP="00E53F43">
      <w:pPr>
        <w:pStyle w:val="NormalHanging12a"/>
      </w:pPr>
      <w:r>
        <w:t>11</w:t>
      </w:r>
      <w:r w:rsidR="00E53F43" w:rsidRPr="009117E6">
        <w:t>.</w:t>
      </w:r>
      <w:r w:rsidR="00E53F43" w:rsidRPr="009117E6">
        <w:tab/>
        <w:t>подчертава, че наред с целите на ССИ следва да бъде разработена данъчна рамка за финансовите услуги, насочена към повишаване на ефективността, преодоляване на нарушенията на пазара и насърчаване на инвестициите и дългосрочния растеж, като същевременно се гарантира балансиран подход, който отразява и по-широки икономически и социални съображения;</w:t>
      </w:r>
    </w:p>
    <w:p w14:paraId="63895554" w14:textId="0A0562FE" w:rsidR="00E53F43" w:rsidRPr="009117E6" w:rsidRDefault="00750A11" w:rsidP="00E53F43">
      <w:pPr>
        <w:pStyle w:val="NormalHanging12a"/>
      </w:pPr>
      <w:r>
        <w:t>12</w:t>
      </w:r>
      <w:r w:rsidR="00E53F43" w:rsidRPr="009117E6">
        <w:t>.</w:t>
      </w:r>
      <w:r w:rsidR="00E53F43" w:rsidRPr="009117E6">
        <w:tab/>
        <w:t>отбелязва, че данъчното облагане на финансовия сектор следва да се ръководи от принципите на простота, неутралност, справедливост, икономическа, екологична и социална устойчивост и правна сигурност; отбелязва, че то следва също така да отразява цикличната динамика на рентабилността на банките, свързана с паричната политика и икономическите условия;</w:t>
      </w:r>
    </w:p>
    <w:p w14:paraId="269B734D" w14:textId="0BB35CB4" w:rsidR="00E53F43" w:rsidRPr="009117E6" w:rsidRDefault="00750A11" w:rsidP="00E53F43">
      <w:pPr>
        <w:pStyle w:val="NormalHanging12a"/>
      </w:pPr>
      <w:r>
        <w:t>13</w:t>
      </w:r>
      <w:r w:rsidR="00E53F43" w:rsidRPr="009117E6">
        <w:t>.</w:t>
      </w:r>
      <w:r w:rsidR="00E53F43" w:rsidRPr="009117E6">
        <w:tab/>
        <w:t>призовава Комисията да изпълни ангажимента си да предложи иновативни решения за данъчното облагане на сектора, които намаляват разпокъсаността, насърчават по-голяма пазарна интеграция на равнището на ЕС и допринасят за завършването на ССИ;</w:t>
      </w:r>
    </w:p>
    <w:p w14:paraId="34A30726" w14:textId="77777777" w:rsidR="00E53F43" w:rsidRPr="009117E6" w:rsidRDefault="00E53F43" w:rsidP="00E53F43">
      <w:pPr>
        <w:pStyle w:val="Normal12a"/>
      </w:pPr>
      <w:r w:rsidRPr="009117E6">
        <w:rPr>
          <w:b/>
          <w:i/>
        </w:rPr>
        <w:t>Предприемане на мерки по отношение на режима на ДДС за финансовите услуги</w:t>
      </w:r>
    </w:p>
    <w:p w14:paraId="6D55FCCA" w14:textId="7AF8223B" w:rsidR="00E53F43" w:rsidRPr="009117E6" w:rsidRDefault="00750A11" w:rsidP="00E53F43">
      <w:pPr>
        <w:pStyle w:val="NormalHanging12a"/>
      </w:pPr>
      <w:r>
        <w:t>14</w:t>
      </w:r>
      <w:r w:rsidR="00E53F43" w:rsidRPr="009117E6">
        <w:t>.</w:t>
      </w:r>
      <w:r w:rsidR="00E53F43" w:rsidRPr="009117E6">
        <w:tab/>
        <w:t>отбелязва, че освобождаването от ДДС за финансовите услуги датира от 1977 г., като служи за избягване на техническите трудности при прилагането на ДДС за комплексни финансови услуги, което се е считало за неосъществимо от административна гледна точка; признава, че реалностите на технологичния напредък и цифровизацията вече биха могли да отговорят на първоначалната техническа обосновка за освобождаването от ДДС;</w:t>
      </w:r>
    </w:p>
    <w:p w14:paraId="16CFD63C" w14:textId="1C461E28" w:rsidR="00E53F43" w:rsidRPr="009117E6" w:rsidRDefault="00750A11" w:rsidP="00E53F43">
      <w:pPr>
        <w:pStyle w:val="NormalHanging12a"/>
      </w:pPr>
      <w:r>
        <w:t>15</w:t>
      </w:r>
      <w:r w:rsidR="00E53F43" w:rsidRPr="009117E6">
        <w:t>.</w:t>
      </w:r>
      <w:r w:rsidR="00E53F43" w:rsidRPr="009117E6">
        <w:tab/>
        <w:t>отбелязва, че освобождаването не представлява непременно предимство за финансовите институции, тъй то им пречи да възстановяват ДДС; счита, че статуквото затвърждава нарушенията на пазара, може да създава липса на прозрачност и да увеличава разходите за потребителите, засилва склонността към собствено предлагане на услуги във финансовия сектор и създава неблагоприятно конкурентно положение в сравнение с институциите от държави извън ЕС;</w:t>
      </w:r>
    </w:p>
    <w:p w14:paraId="3E5A7139" w14:textId="48FFAD96" w:rsidR="00E53F43" w:rsidRPr="009117E6" w:rsidRDefault="00750A11" w:rsidP="00E53F43">
      <w:pPr>
        <w:pStyle w:val="NormalHanging12a"/>
      </w:pPr>
      <w:r>
        <w:lastRenderedPageBreak/>
        <w:t>16</w:t>
      </w:r>
      <w:r w:rsidR="00E53F43" w:rsidRPr="009117E6">
        <w:t>.</w:t>
      </w:r>
      <w:r w:rsidR="00E53F43" w:rsidRPr="009117E6">
        <w:tab/>
        <w:t xml:space="preserve">подчертава, че освобождаването от ДДС често се предоставя за дейности от общ интерес като признание за тяхната основна социална функция; подчертава, че някои основни финансови услуги – особено платежните услуги, приемането на депозити и предоставянето на основни кредити – могат да изпълняват сравнима функция на </w:t>
      </w:r>
      <w:proofErr w:type="spellStart"/>
      <w:r w:rsidR="00E53F43" w:rsidRPr="009117E6">
        <w:t>квазикомунална</w:t>
      </w:r>
      <w:proofErr w:type="spellEnd"/>
      <w:r w:rsidR="00E53F43" w:rsidRPr="009117E6">
        <w:t xml:space="preserve"> услуга, като защитават спестяванията, създават условия за икономически обмен и гарантират възможността за безопасно участие на хората и предприятията в икономиката;</w:t>
      </w:r>
    </w:p>
    <w:p w14:paraId="2EB65EBE" w14:textId="13B33128" w:rsidR="00E53F43" w:rsidRPr="009117E6" w:rsidRDefault="00750A11" w:rsidP="00E53F43">
      <w:pPr>
        <w:pStyle w:val="NormalHanging12a"/>
      </w:pPr>
      <w:r>
        <w:t>17</w:t>
      </w:r>
      <w:r w:rsidR="00E53F43" w:rsidRPr="009117E6">
        <w:t>.</w:t>
      </w:r>
      <w:r w:rsidR="00E53F43" w:rsidRPr="009117E6">
        <w:tab/>
        <w:t>отбелязва, че многократните инициативи на Комисията, включително нейните предложения от 2007 г. и първоначалната оценка на въздействието от 2020 г., не доведоха до реформа на освобождаването от ДДС за финансовия сектор, защото държавите членки не постигнаха единодушно съгласие; отбелязва, че последно Комисията възнамеряваше да публикува изменения на Директивата за ДДС</w:t>
      </w:r>
      <w:r w:rsidR="009B066A">
        <w:rPr>
          <w:rStyle w:val="FootnoteReference"/>
        </w:rPr>
        <w:footnoteReference w:id="10"/>
      </w:r>
      <w:r w:rsidR="00E53F43" w:rsidRPr="009117E6">
        <w:t xml:space="preserve"> в началото на 2023 г.; отбелязва, че тези планове са в застой, поради което тази съществена реформа все още не е приключила;</w:t>
      </w:r>
    </w:p>
    <w:p w14:paraId="255D59FE" w14:textId="5C7180F4" w:rsidR="00E53F43" w:rsidRPr="009117E6" w:rsidRDefault="00750A11" w:rsidP="00E53F43">
      <w:pPr>
        <w:pStyle w:val="NormalHanging12a"/>
      </w:pPr>
      <w:r>
        <w:t>18</w:t>
      </w:r>
      <w:r w:rsidR="00E53F43" w:rsidRPr="009117E6">
        <w:t>.</w:t>
      </w:r>
      <w:r w:rsidR="00E53F43" w:rsidRPr="009117E6">
        <w:tab/>
        <w:t>отбелязва, че съгласно член 11 от Директивата за ДДС групирането на данъчно задължените лица за целите на ДДС остава незадължително за държавите членки и е ограничено от териториални ограничения, което създава правни и практически пречки за трансграничните групи, извършващи дейност в областта на финансовите услуги;</w:t>
      </w:r>
    </w:p>
    <w:p w14:paraId="09523D3E" w14:textId="096CFE0A" w:rsidR="00E53F43" w:rsidRPr="009117E6" w:rsidRDefault="00750A11" w:rsidP="00E53F43">
      <w:pPr>
        <w:pStyle w:val="NormalHanging12a"/>
      </w:pPr>
      <w:r>
        <w:t>19</w:t>
      </w:r>
      <w:r w:rsidR="00E53F43" w:rsidRPr="009117E6">
        <w:t>.</w:t>
      </w:r>
      <w:r w:rsidR="00E53F43" w:rsidRPr="009117E6">
        <w:tab/>
        <w:t>подчертава, че въпреки използването на групиране за целите на ДДС и договорености за поделяне на разходите в някои държави членки освобождаване от ДДС, съчетано с различни компенсаторни национални данъчни правила, като данъчно облагане на застрахователни премии, създава сложна и разпокъсана данъчна среда, което оскъпява спазването на трансграничното данъчно законодателство и увеличава оперативните разходи на дружествата; подчертава, че са необходими по-ясни определения и опростени правила за ДДС, за да се намали тази тежест, да се гарантира последователно прилагане на правилата в целия ЕС, да се улесни трансграничната дейност и да се подкрепят иновациите;</w:t>
      </w:r>
    </w:p>
    <w:p w14:paraId="33043071" w14:textId="355A809A" w:rsidR="00E53F43" w:rsidRPr="009117E6" w:rsidRDefault="00750A11" w:rsidP="00E53F43">
      <w:pPr>
        <w:pStyle w:val="NormalHanging12a"/>
      </w:pPr>
      <w:r>
        <w:t>20</w:t>
      </w:r>
      <w:r w:rsidR="00E53F43" w:rsidRPr="009117E6">
        <w:t>.</w:t>
      </w:r>
      <w:r w:rsidR="00E53F43" w:rsidRPr="009117E6">
        <w:tab/>
        <w:t>отбелязва, че групирането за целите на ДДС, което може да намали административната тежест за и да подобри ефикасността на финансовите институции, понастоящем се прилага неравномерно в държавите членки и като цяло е ограничено до субекти, установени в рамките на една държава членка; подчертава, че по-голямото сближаване при прилагането на групирането за целите на ДДС би могло да намали разпокъсаността и правната несигурност на вътрешния пазар и да улесни трансграничната дейност в областта на финансовите услуги;</w:t>
      </w:r>
    </w:p>
    <w:p w14:paraId="42C32C60" w14:textId="6C046BE9" w:rsidR="00E53F43" w:rsidRPr="009117E6" w:rsidRDefault="00750A11" w:rsidP="00E53F43">
      <w:pPr>
        <w:pStyle w:val="NormalHanging12a"/>
      </w:pPr>
      <w:r>
        <w:t>21</w:t>
      </w:r>
      <w:r w:rsidR="00E53F43" w:rsidRPr="009117E6">
        <w:t>.</w:t>
      </w:r>
      <w:r w:rsidR="00E53F43" w:rsidRPr="009117E6">
        <w:tab/>
        <w:t xml:space="preserve">призовава Комисията да насърчава държавите членки да прилагат последователно групирането за целите на ДДС и да проучи възможностите за по-ясна правна рамка, включително възможността за трансгранично групиране за целите на ДДС; подчертава, че по-широкото използване на групирането за целите на ДДС за финансови и застрахователни услуги трябва да бъде в съответствие с правилата за корпоративно данъчно облагане, по-специално тези относно трансферното ценообразуване, и трябва да бъде придружено от обвързващи предпазни мерки за </w:t>
      </w:r>
      <w:r w:rsidR="00E53F43" w:rsidRPr="009117E6">
        <w:lastRenderedPageBreak/>
        <w:t>борба със злоупотребите, за да се предотвратят измамите и избягването на данъци, изтичането на ДДС в рамките на групата и злоупотребите със подялбата на разходите;</w:t>
      </w:r>
    </w:p>
    <w:p w14:paraId="548A4A19" w14:textId="00ACACEE" w:rsidR="00E53F43" w:rsidRPr="009117E6" w:rsidRDefault="00750A11" w:rsidP="00E53F43">
      <w:pPr>
        <w:pStyle w:val="NormalHanging12a"/>
      </w:pPr>
      <w:r>
        <w:t>22</w:t>
      </w:r>
      <w:r w:rsidR="00E53F43" w:rsidRPr="009117E6">
        <w:t>.</w:t>
      </w:r>
      <w:r w:rsidR="00E53F43" w:rsidRPr="009117E6">
        <w:tab/>
        <w:t>отбелязва, че Директивата за ДДС няма специфични разпоредби за нововъзникващите финансови инструменти, включително криптоактивите, децентрализираните финанси и финансовите технологии; подчертава, че освен това директивата не регулира третирането на дериватите за целите на ДДС и че третирането на инвестиционните фондове продължава да се различава в държавите членки; отбелязва, че това е довело до различни национални тълкувания на правилата за ДДС, правна несигурност за доставчиците на услуги и нееднакво третиране на традиционните и новите финансови услуги и създава риск от възпрепятстване на иновациите и конкурентоспособността;</w:t>
      </w:r>
    </w:p>
    <w:p w14:paraId="58497826" w14:textId="7B72CD7F" w:rsidR="00E53F43" w:rsidRPr="009117E6" w:rsidRDefault="00750A11" w:rsidP="00E53F43">
      <w:pPr>
        <w:pStyle w:val="NormalHanging12a"/>
      </w:pPr>
      <w:r>
        <w:t>23</w:t>
      </w:r>
      <w:r w:rsidR="00E53F43" w:rsidRPr="009117E6">
        <w:t>.</w:t>
      </w:r>
      <w:r w:rsidR="00E53F43" w:rsidRPr="009117E6">
        <w:tab/>
        <w:t>подчертава, че една съвременна данъчна рамка следва да подкрепя иновациите във финансовите технологии и цифровите финансови услуги и да избягва създаването на възпиращи регулаторни фактори за новите участници на пазара; призовава Комисията да поясни третирането на нововъзникващите финансови услуги за целите на ДДС, за да се гарантират технологична неутралност и еднакви условия на конкуренция в целия ЕС;</w:t>
      </w:r>
    </w:p>
    <w:p w14:paraId="15932632" w14:textId="7E427353" w:rsidR="00E53F43" w:rsidRPr="009117E6" w:rsidRDefault="00750A11" w:rsidP="00E53F43">
      <w:pPr>
        <w:pStyle w:val="NormalHanging12a"/>
      </w:pPr>
      <w:r>
        <w:t>24</w:t>
      </w:r>
      <w:r w:rsidR="00E53F43" w:rsidRPr="009117E6">
        <w:t>.</w:t>
      </w:r>
      <w:r w:rsidR="00E53F43" w:rsidRPr="009117E6">
        <w:tab/>
        <w:t>счита, че едно широко и недиференцирано освобождаване от ДДС за целия финансов сектор повдига въпроси относно цялостната съгласуваност и баланс на данъчната система; подчертава, че реформа на освобождаването от ДДС би могла да намали нарушенията и равнището на невъзстановимия ДДС, без да създава непропорционална административна сложност; отбелязва, че вариантите за премахване на освобождаването от ДДС биха могли ефективно да премахнат невъзстановимия ДДС, като позволят на финансовите предприятия да си възстановят изцяло ДДС, който плащат за стоки и услуги, използвани при тяхната дейност; подчертава, че това би премахнало настоящото предпочитание услугите да се възлагат вътре в предприятието, вместо да се дават на външни изпълнители, което може да ограничи способността на дружеството да се специализира, да има достъп до външен експертен опит и да въвежда иновации; признава, че тази реформа би могла също така да осигури еднакви условия на конкуренция по отношение на други юрисдикции и да засили международната конкурентоспособност на финансовите институции на ЕС;</w:t>
      </w:r>
    </w:p>
    <w:p w14:paraId="492CFE37" w14:textId="564F3C00" w:rsidR="00E53F43" w:rsidRPr="009117E6" w:rsidRDefault="00750A11" w:rsidP="00E53F43">
      <w:pPr>
        <w:pStyle w:val="NormalHanging12a"/>
      </w:pPr>
      <w:r>
        <w:t>25</w:t>
      </w:r>
      <w:r w:rsidR="00E53F43" w:rsidRPr="009117E6">
        <w:t>.</w:t>
      </w:r>
      <w:r w:rsidR="00E53F43" w:rsidRPr="009117E6">
        <w:tab/>
        <w:t>припомня, че ДДС е хармонизирана данъчна рамка на равнището на ЕС, въпреки че държавите членки запазват известна възможност за нейното прилагане; поради това признава, че реформата на системата на ДДС за финансовите услуги следва да бъде разгледана на равнището на ЕС;</w:t>
      </w:r>
    </w:p>
    <w:p w14:paraId="5E216AB5" w14:textId="5EDAB76A" w:rsidR="00E53F43" w:rsidRPr="009117E6" w:rsidRDefault="00750A11" w:rsidP="00E53F43">
      <w:pPr>
        <w:pStyle w:val="NormalHanging12a"/>
      </w:pPr>
      <w:r>
        <w:t>26</w:t>
      </w:r>
      <w:r w:rsidR="00E53F43" w:rsidRPr="009117E6">
        <w:t>.</w:t>
      </w:r>
      <w:r w:rsidR="00E53F43" w:rsidRPr="009117E6">
        <w:tab/>
        <w:t xml:space="preserve">призовава Комисията да преразгледа въздействието на настоящия режим на ДДС върху финансовия сектор и публично да сподели този анализ; призовава Комисията да разгледа варианти на политиката за справяне с установените нарушаващи ефекти; подчертава, че всяка такава реформа следва да намали невъзстановимия ДДС и разпокъсаното прилагане на правилата, да подобри правната сигурност и данъчната справедливост и да засили конкурентоспособността на финансовите пазари на ЕС, като същевременно запази финансовата стабилност и сведе до минимум регулаторния арбитраж между държавите членки; подчертава, че всяка такава реформа трябва също така да </w:t>
      </w:r>
      <w:r w:rsidR="00E53F43" w:rsidRPr="009117E6">
        <w:lastRenderedPageBreak/>
        <w:t>защитава потребителите и да продължи да гарантира, че финансовият сектор допринася справедливо за публичните приходи;</w:t>
      </w:r>
    </w:p>
    <w:p w14:paraId="43077CB8" w14:textId="07BB3ED8" w:rsidR="00E53F43" w:rsidRPr="009117E6" w:rsidRDefault="00750A11" w:rsidP="00E53F43">
      <w:pPr>
        <w:pStyle w:val="NormalHanging12a"/>
      </w:pPr>
      <w:r>
        <w:t>27</w:t>
      </w:r>
      <w:r w:rsidR="00E53F43" w:rsidRPr="009117E6">
        <w:t>.</w:t>
      </w:r>
      <w:r w:rsidR="00E53F43" w:rsidRPr="009117E6">
        <w:tab/>
        <w:t>отбелязва, че всяко предложение за преразглеждане на рамката за ДДС следва да се основава на задълбочен анализ на макроикономическо равнище и цялостно картографиране на националните банкови данъци и налози; подчертава, че този анализ следва да отчита административните последици за финансовите услуги, взаимодействието между съществуващите национални банкови данъци, налозите върху финансовия сектор и системата на ДДС, както и въздействието върху единния пазар;</w:t>
      </w:r>
    </w:p>
    <w:p w14:paraId="114865F4" w14:textId="35669612" w:rsidR="00E53F43" w:rsidRPr="009117E6" w:rsidRDefault="00750A11" w:rsidP="00E53F43">
      <w:pPr>
        <w:pStyle w:val="NormalHanging12a"/>
      </w:pPr>
      <w:r>
        <w:t>28</w:t>
      </w:r>
      <w:r w:rsidR="00E53F43" w:rsidRPr="009117E6">
        <w:t>.</w:t>
      </w:r>
      <w:r w:rsidR="00E53F43" w:rsidRPr="009117E6">
        <w:tab/>
        <w:t>подчертава, че всички промени в третирането на финансовите услуги за целите на ДДС трябва внимателно да оценяват въздействието върху услугите, предоставяни на потребителите на дребно, особено домакинствата с ниски и средни доходи, и да избягват всякакви допълнителни общи разходи;</w:t>
      </w:r>
    </w:p>
    <w:p w14:paraId="217C0394" w14:textId="3B9813D2" w:rsidR="00E53F43" w:rsidRPr="009117E6" w:rsidRDefault="00750A11" w:rsidP="00E53F43">
      <w:pPr>
        <w:pStyle w:val="NormalHanging12a"/>
      </w:pPr>
      <w:r>
        <w:t>29</w:t>
      </w:r>
      <w:r w:rsidR="00E53F43" w:rsidRPr="009117E6">
        <w:t>.</w:t>
      </w:r>
      <w:r w:rsidR="00E53F43" w:rsidRPr="009117E6">
        <w:tab/>
        <w:t>призовава Комисията, като част от възможна реформа на освобождаването от ДДС, да направи оценка на осъществимостта на замяната на националните данъци върху застрахователните премии посредством пълно интегриране на застрахователните услуги в системата на ДДС;</w:t>
      </w:r>
    </w:p>
    <w:p w14:paraId="2DA2189D" w14:textId="77777777" w:rsidR="00E53F43" w:rsidRPr="009117E6" w:rsidRDefault="00E53F43" w:rsidP="00E53F43">
      <w:pPr>
        <w:pStyle w:val="Normal12a"/>
      </w:pPr>
      <w:r w:rsidRPr="009117E6">
        <w:rPr>
          <w:b/>
          <w:i/>
        </w:rPr>
        <w:t>Насърчаване на по-съгласувана данъчна рамка за финансовия сектор</w:t>
      </w:r>
    </w:p>
    <w:p w14:paraId="3E96FC54" w14:textId="01C3B10C" w:rsidR="00E53F43" w:rsidRPr="009117E6" w:rsidRDefault="00750A11" w:rsidP="00E53F43">
      <w:pPr>
        <w:pStyle w:val="NormalHanging12a"/>
      </w:pPr>
      <w:r>
        <w:t>30</w:t>
      </w:r>
      <w:r w:rsidR="00E53F43" w:rsidRPr="009117E6">
        <w:t>.</w:t>
      </w:r>
      <w:r w:rsidR="00E53F43" w:rsidRPr="009117E6">
        <w:tab/>
        <w:t>припомня, че ЕС е изправен пред значителен недостиг на инвестиции в размер на 750 – 800 милиарда евро годишно от гледна точка на постигането на своите цели в областта на климата, цифровите технологии и стратегическата автономност; припомня ангажимента на държавите членки и на ЕС за значително увеличаване на европейските инвестиции в отбраната; подчертава, че за да се отговори на тези предизвикателства, справедливото и по-съгласувано данъчно облагане на финансовия сектор</w:t>
      </w:r>
      <w:r w:rsidR="005F5AA2">
        <w:rPr>
          <w:lang w:val="en-GB"/>
        </w:rPr>
        <w:t xml:space="preserve"> </w:t>
      </w:r>
      <w:r w:rsidR="00E53F43" w:rsidRPr="009117E6">
        <w:t>би могло да допринесе за мобилизирането на частен капитал, като по този начин се стимулират инвестициите на дребно, и за укрепването на европейските капиталови пазари, като същевременно се повишават приходите за публични инвестиции за стратегическите приоритети, както и за нашите социални, климатични и инвестиционни нужди, като по този начин се укрепва конкурентоспособността на ЕС;</w:t>
      </w:r>
    </w:p>
    <w:p w14:paraId="415AEC52" w14:textId="4B6BCF62" w:rsidR="00E53F43" w:rsidRPr="009117E6" w:rsidRDefault="00750A11" w:rsidP="00E53F43">
      <w:pPr>
        <w:pStyle w:val="NormalHanging12a"/>
      </w:pPr>
      <w:r>
        <w:t>31</w:t>
      </w:r>
      <w:r w:rsidR="00E53F43" w:rsidRPr="009117E6">
        <w:t>.</w:t>
      </w:r>
      <w:r w:rsidR="00E53F43" w:rsidRPr="009117E6">
        <w:tab/>
        <w:t>припомня във връзка с това, че споразумението от 2020 г. между Парламента, Съвета и Комисията относно пътна карта за въвеждането на нови собствени ресурси, включително данък върху финансовите сделки (ДФС), базирано на резултати от оценка на въздействието;</w:t>
      </w:r>
    </w:p>
    <w:p w14:paraId="5828DC68" w14:textId="01FFBB06" w:rsidR="00E53F43" w:rsidRPr="009117E6" w:rsidRDefault="00750A11" w:rsidP="00E53F43">
      <w:pPr>
        <w:pStyle w:val="NormalHanging12a"/>
      </w:pPr>
      <w:r>
        <w:t>32</w:t>
      </w:r>
      <w:r w:rsidR="00E53F43" w:rsidRPr="009117E6">
        <w:t>.</w:t>
      </w:r>
      <w:r w:rsidR="00E53F43" w:rsidRPr="009117E6">
        <w:tab/>
        <w:t>признава липсата на напредък по предложението за ДФС в Съвета, въпреки обширните разисквания, както с единодушие, така и в рамките на засиленото сътрудничество, и отбелязва съобщението на Комисията относно оттеглянето на предложението за ДФС в работната ѝ програма за 2026 г.;</w:t>
      </w:r>
    </w:p>
    <w:p w14:paraId="329C5AB9" w14:textId="4AB6862F" w:rsidR="00E53F43" w:rsidRPr="009117E6" w:rsidRDefault="00750A11" w:rsidP="00E53F43">
      <w:pPr>
        <w:pStyle w:val="NormalHanging12a"/>
      </w:pPr>
      <w:r>
        <w:t>33</w:t>
      </w:r>
      <w:r w:rsidR="00E53F43" w:rsidRPr="009117E6">
        <w:t>.</w:t>
      </w:r>
      <w:r w:rsidR="00E53F43" w:rsidRPr="009117E6">
        <w:tab/>
        <w:t xml:space="preserve">счита, че редовните оценки на икономическото въздействие и продължаващото значение на данъчната политика във финансовия сектор са от решаващо значение, за да се избегнат нежелани или трайни нарушения на финансовите пазари; приветства факта, че Комисията извършва цялостен анализ на потенциалното въздействие на цялостното данъчно облагане на финансовия сектор върху </w:t>
      </w:r>
      <w:r w:rsidR="00E53F43" w:rsidRPr="009117E6">
        <w:lastRenderedPageBreak/>
        <w:t>функционирането на пазара, трансграничните инвестиции и конкурентоспособността на финансовите пазари на ЕС;</w:t>
      </w:r>
    </w:p>
    <w:p w14:paraId="4B487B46" w14:textId="57468AF9" w:rsidR="00E53F43" w:rsidRDefault="00750A11" w:rsidP="00E24D84">
      <w:pPr>
        <w:pStyle w:val="NormalHanging12a"/>
      </w:pPr>
      <w:r>
        <w:t>34</w:t>
      </w:r>
      <w:r w:rsidR="00E53F43" w:rsidRPr="009117E6">
        <w:t>.</w:t>
      </w:r>
      <w:r w:rsidR="00E53F43" w:rsidRPr="009117E6">
        <w:tab/>
        <w:t>подчертава, че данъчните правила за финансовия сектор следва да бъдат опростени и да гарантират, че секторът има справедлив и стабилен финансов принос, и те следва да бъдат ясни, прозрачни и предвидими, за да се намали разпокъсаността, да се даде възможност за инвестиции и трансгранична дейност, като същевременно се гарантира високо равнище на защита на потребителите; подчертава, че тези правила следва да подобрят ефикасността и разпределението на капитала, да запазят стабилността и конкурентоспособността на пазара и да намалят разходите за привеждане в съответствие, особено за потребителите на дребно и малките и средните предприятия;</w:t>
      </w:r>
    </w:p>
    <w:p w14:paraId="585B1965" w14:textId="39EA2F21" w:rsidR="00E24D84" w:rsidRDefault="00E24D84" w:rsidP="00E24D84">
      <w:pPr>
        <w:pStyle w:val="NormalHanging12a"/>
        <w:ind w:left="0" w:firstLine="0"/>
        <w:jc w:val="center"/>
      </w:pPr>
      <w:r>
        <w:t>°</w:t>
      </w:r>
    </w:p>
    <w:p w14:paraId="00AB1B79" w14:textId="3F499359" w:rsidR="00E24D84" w:rsidRDefault="00E24D84" w:rsidP="00E24D84">
      <w:pPr>
        <w:pStyle w:val="NormalHanging12a"/>
        <w:ind w:left="0" w:firstLine="0"/>
        <w:jc w:val="center"/>
      </w:pPr>
      <w:r>
        <w:t>°     °</w:t>
      </w:r>
    </w:p>
    <w:p w14:paraId="36ADFC14" w14:textId="484E5164" w:rsidR="009117E6" w:rsidRPr="009117E6" w:rsidRDefault="00750A11" w:rsidP="009117E6">
      <w:pPr>
        <w:pStyle w:val="NormalHanging12a"/>
      </w:pPr>
      <w:r>
        <w:t>35</w:t>
      </w:r>
      <w:r w:rsidR="00E53F43" w:rsidRPr="009117E6">
        <w:t>.</w:t>
      </w:r>
      <w:r w:rsidR="00E53F43" w:rsidRPr="009117E6">
        <w:tab/>
        <w:t>възлага на своя председател да предаде настоящата резолюция съответно на Съвета и Комисията.</w:t>
      </w:r>
    </w:p>
    <w:p w14:paraId="3493053D" w14:textId="7B19608F" w:rsidR="00E365E1" w:rsidRPr="009117E6" w:rsidRDefault="00E365E1" w:rsidP="00E67141"/>
    <w:sectPr w:rsidR="00E365E1" w:rsidRPr="009117E6" w:rsidSect="009117E6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B0260" w14:textId="77777777" w:rsidR="00E67141" w:rsidRPr="009117E6" w:rsidRDefault="00E67141">
      <w:r w:rsidRPr="009117E6">
        <w:separator/>
      </w:r>
    </w:p>
  </w:endnote>
  <w:endnote w:type="continuationSeparator" w:id="0">
    <w:p w14:paraId="2E69D846" w14:textId="77777777" w:rsidR="00E67141" w:rsidRPr="009117E6" w:rsidRDefault="00E67141">
      <w:r w:rsidRPr="009117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5840C" w14:textId="77777777" w:rsidR="00E67141" w:rsidRPr="009117E6" w:rsidRDefault="00E67141">
      <w:r w:rsidRPr="009117E6">
        <w:separator/>
      </w:r>
    </w:p>
  </w:footnote>
  <w:footnote w:type="continuationSeparator" w:id="0">
    <w:p w14:paraId="269D367C" w14:textId="77777777" w:rsidR="00E67141" w:rsidRPr="009117E6" w:rsidRDefault="00E67141">
      <w:r w:rsidRPr="009117E6">
        <w:continuationSeparator/>
      </w:r>
    </w:p>
  </w:footnote>
  <w:footnote w:id="1">
    <w:p w14:paraId="74C65647" w14:textId="22104DF0" w:rsidR="009B066A" w:rsidRPr="009117E6" w:rsidRDefault="009B066A" w:rsidP="009117E6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9117E6">
        <w:rPr>
          <w:sz w:val="24"/>
          <w:lang w:val="bg-BG"/>
        </w:rPr>
        <w:t xml:space="preserve"> </w:t>
      </w:r>
      <w:r w:rsidRPr="009117E6">
        <w:rPr>
          <w:sz w:val="24"/>
          <w:lang w:val="bg-BG"/>
        </w:rPr>
        <w:tab/>
        <w:t xml:space="preserve">ОВ L 150, 9.6.2023 г., стр. 40, ELI: </w:t>
      </w:r>
      <w:hyperlink r:id="rId1" w:history="1">
        <w:r>
          <w:rPr>
            <w:rStyle w:val="Hyperlink"/>
            <w:sz w:val="24"/>
            <w:lang w:val="bg-BG"/>
          </w:rPr>
          <w:t>http://data.europa.eu/eli/reg/2023/1114/oj</w:t>
        </w:r>
      </w:hyperlink>
      <w:r w:rsidRPr="009117E6">
        <w:rPr>
          <w:sz w:val="24"/>
          <w:lang w:val="bg-BG"/>
        </w:rPr>
        <w:t>.</w:t>
      </w:r>
    </w:p>
  </w:footnote>
  <w:footnote w:id="2">
    <w:p w14:paraId="6A1AF434" w14:textId="2972D287" w:rsidR="009B066A" w:rsidRPr="009117E6" w:rsidRDefault="009B066A" w:rsidP="009117E6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9117E6">
        <w:rPr>
          <w:sz w:val="24"/>
          <w:lang w:val="bg-BG"/>
        </w:rPr>
        <w:t xml:space="preserve"> </w:t>
      </w:r>
      <w:r w:rsidRPr="009117E6">
        <w:rPr>
          <w:sz w:val="24"/>
          <w:lang w:val="bg-BG"/>
        </w:rPr>
        <w:tab/>
        <w:t xml:space="preserve">ОВ L 424 I, 15.12.2020 г., стр. 1. ELI: </w:t>
      </w:r>
      <w:hyperlink r:id="rId2" w:history="1">
        <w:r>
          <w:rPr>
            <w:rStyle w:val="Hyperlink"/>
            <w:sz w:val="24"/>
            <w:lang w:val="bg-BG"/>
          </w:rPr>
          <w:t>http://data.europa.eu/eli/dec/2020/2053/oj</w:t>
        </w:r>
      </w:hyperlink>
      <w:r w:rsidRPr="009117E6">
        <w:rPr>
          <w:sz w:val="24"/>
          <w:lang w:val="bg-BG"/>
        </w:rPr>
        <w:t>.</w:t>
      </w:r>
    </w:p>
  </w:footnote>
  <w:footnote w:id="3">
    <w:p w14:paraId="721750E8" w14:textId="7DD3900C" w:rsidR="009B066A" w:rsidRPr="009117E6" w:rsidRDefault="009B066A" w:rsidP="009117E6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9117E6">
        <w:rPr>
          <w:sz w:val="24"/>
          <w:lang w:val="bg-BG"/>
        </w:rPr>
        <w:t xml:space="preserve"> </w:t>
      </w:r>
      <w:r w:rsidRPr="009117E6">
        <w:rPr>
          <w:sz w:val="24"/>
          <w:lang w:val="bg-BG"/>
        </w:rPr>
        <w:tab/>
        <w:t xml:space="preserve">Проучване – </w:t>
      </w:r>
      <w:proofErr w:type="spellStart"/>
      <w:r w:rsidRPr="009117E6">
        <w:rPr>
          <w:sz w:val="24"/>
          <w:lang w:val="bg-BG"/>
        </w:rPr>
        <w:t>The</w:t>
      </w:r>
      <w:proofErr w:type="spellEnd"/>
      <w:r w:rsidRPr="009117E6">
        <w:rPr>
          <w:sz w:val="24"/>
          <w:lang w:val="bg-BG"/>
        </w:rPr>
        <w:t xml:space="preserve"> </w:t>
      </w:r>
      <w:proofErr w:type="spellStart"/>
      <w:r w:rsidRPr="009117E6">
        <w:rPr>
          <w:sz w:val="24"/>
          <w:lang w:val="bg-BG"/>
        </w:rPr>
        <w:t>taxation</w:t>
      </w:r>
      <w:proofErr w:type="spellEnd"/>
      <w:r w:rsidRPr="009117E6">
        <w:rPr>
          <w:sz w:val="24"/>
          <w:lang w:val="bg-BG"/>
        </w:rPr>
        <w:t xml:space="preserve"> </w:t>
      </w:r>
      <w:proofErr w:type="spellStart"/>
      <w:r w:rsidRPr="009117E6">
        <w:rPr>
          <w:sz w:val="24"/>
          <w:lang w:val="bg-BG"/>
        </w:rPr>
        <w:t>of</w:t>
      </w:r>
      <w:proofErr w:type="spellEnd"/>
      <w:r w:rsidRPr="009117E6">
        <w:rPr>
          <w:sz w:val="24"/>
          <w:lang w:val="bg-BG"/>
        </w:rPr>
        <w:t xml:space="preserve"> </w:t>
      </w:r>
      <w:proofErr w:type="spellStart"/>
      <w:r w:rsidRPr="009117E6">
        <w:rPr>
          <w:sz w:val="24"/>
          <w:lang w:val="bg-BG"/>
        </w:rPr>
        <w:t>the</w:t>
      </w:r>
      <w:proofErr w:type="spellEnd"/>
      <w:r w:rsidRPr="009117E6">
        <w:rPr>
          <w:sz w:val="24"/>
          <w:lang w:val="bg-BG"/>
        </w:rPr>
        <w:t xml:space="preserve"> </w:t>
      </w:r>
      <w:proofErr w:type="spellStart"/>
      <w:r w:rsidRPr="009117E6">
        <w:rPr>
          <w:sz w:val="24"/>
          <w:lang w:val="bg-BG"/>
        </w:rPr>
        <w:t>EU’s</w:t>
      </w:r>
      <w:proofErr w:type="spellEnd"/>
      <w:r w:rsidRPr="009117E6">
        <w:rPr>
          <w:sz w:val="24"/>
          <w:lang w:val="bg-BG"/>
        </w:rPr>
        <w:t xml:space="preserve"> </w:t>
      </w:r>
      <w:proofErr w:type="spellStart"/>
      <w:r w:rsidRPr="009117E6">
        <w:rPr>
          <w:sz w:val="24"/>
          <w:lang w:val="bg-BG"/>
        </w:rPr>
        <w:t>financial</w:t>
      </w:r>
      <w:proofErr w:type="spellEnd"/>
      <w:r w:rsidRPr="009117E6">
        <w:rPr>
          <w:sz w:val="24"/>
          <w:lang w:val="bg-BG"/>
        </w:rPr>
        <w:t xml:space="preserve"> </w:t>
      </w:r>
      <w:proofErr w:type="spellStart"/>
      <w:r w:rsidRPr="009117E6">
        <w:rPr>
          <w:sz w:val="24"/>
          <w:lang w:val="bg-BG"/>
        </w:rPr>
        <w:t>sector</w:t>
      </w:r>
      <w:proofErr w:type="spellEnd"/>
      <w:r w:rsidRPr="009117E6">
        <w:rPr>
          <w:sz w:val="24"/>
          <w:lang w:val="bg-BG"/>
        </w:rPr>
        <w:t xml:space="preserve"> (Данъчното облагане на финансовия сектор на ЕС), Европейски парламент, Генерална дирекция по икономика, трансформация и промишленост, Тематичен отдел по икономика и растеж, юни 2025 г.</w:t>
      </w:r>
    </w:p>
  </w:footnote>
  <w:footnote w:id="4">
    <w:p w14:paraId="1AD7854D" w14:textId="1BC1F3AE" w:rsidR="009B066A" w:rsidRPr="009117E6" w:rsidRDefault="009B066A" w:rsidP="009117E6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9117E6">
        <w:rPr>
          <w:sz w:val="24"/>
          <w:lang w:val="bg-BG"/>
        </w:rPr>
        <w:t xml:space="preserve"> </w:t>
      </w:r>
      <w:r w:rsidRPr="009117E6">
        <w:rPr>
          <w:sz w:val="24"/>
          <w:lang w:val="bg-BG"/>
        </w:rPr>
        <w:tab/>
        <w:t xml:space="preserve">ОВ L 433 I, 22.12.2020 г., стр. 28. ELI: </w:t>
      </w:r>
      <w:hyperlink r:id="rId3" w:history="1">
        <w:r>
          <w:rPr>
            <w:rStyle w:val="Hyperlink"/>
            <w:sz w:val="24"/>
            <w:lang w:val="bg-BG"/>
          </w:rPr>
          <w:t>http://data.europa.eu/eli/agree_interinstit/2020/1222/oj</w:t>
        </w:r>
      </w:hyperlink>
      <w:r w:rsidRPr="009117E6">
        <w:rPr>
          <w:sz w:val="24"/>
          <w:lang w:val="bg-BG"/>
        </w:rPr>
        <w:t>.</w:t>
      </w:r>
    </w:p>
  </w:footnote>
  <w:footnote w:id="5">
    <w:p w14:paraId="7F0AD446" w14:textId="73C8DE7C" w:rsidR="009B066A" w:rsidRPr="009117E6" w:rsidRDefault="009B066A" w:rsidP="009117E6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9117E6">
        <w:rPr>
          <w:sz w:val="24"/>
          <w:lang w:val="bg-BG"/>
        </w:rPr>
        <w:t xml:space="preserve"> </w:t>
      </w:r>
      <w:r w:rsidRPr="009117E6">
        <w:rPr>
          <w:sz w:val="24"/>
          <w:lang w:val="bg-BG"/>
        </w:rPr>
        <w:tab/>
        <w:t xml:space="preserve">OВ C, C/2023/1067, 15.12.2023 г., ELI: </w:t>
      </w:r>
      <w:hyperlink r:id="rId4" w:history="1">
        <w:r>
          <w:rPr>
            <w:rStyle w:val="Hyperlink"/>
            <w:sz w:val="24"/>
            <w:lang w:val="bg-BG"/>
          </w:rPr>
          <w:t>http://data.europa.eu/eli/C/2023/1067/oj</w:t>
        </w:r>
      </w:hyperlink>
      <w:r w:rsidRPr="009117E6">
        <w:rPr>
          <w:sz w:val="24"/>
          <w:lang w:val="bg-BG"/>
        </w:rPr>
        <w:t>.</w:t>
      </w:r>
    </w:p>
  </w:footnote>
  <w:footnote w:id="6">
    <w:p w14:paraId="025F74F4" w14:textId="2BD8C022" w:rsidR="009B066A" w:rsidRPr="009117E6" w:rsidRDefault="009B066A" w:rsidP="009117E6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9117E6">
        <w:rPr>
          <w:sz w:val="24"/>
          <w:lang w:val="bg-BG"/>
        </w:rPr>
        <w:t xml:space="preserve"> </w:t>
      </w:r>
      <w:r w:rsidRPr="009117E6">
        <w:rPr>
          <w:sz w:val="24"/>
          <w:lang w:val="bg-BG"/>
        </w:rPr>
        <w:tab/>
        <w:t xml:space="preserve">OВ L, 2025/2029, 8.10.2025 г., ELI: </w:t>
      </w:r>
      <w:hyperlink r:id="rId5" w:history="1">
        <w:r>
          <w:rPr>
            <w:rStyle w:val="Hyperlink"/>
            <w:sz w:val="24"/>
            <w:lang w:val="bg-BG"/>
          </w:rPr>
          <w:t>http://data.europa.eu/eli/reco/2025/2029/oj</w:t>
        </w:r>
      </w:hyperlink>
      <w:r w:rsidRPr="009117E6">
        <w:rPr>
          <w:sz w:val="24"/>
          <w:lang w:val="bg-BG"/>
        </w:rPr>
        <w:t>.</w:t>
      </w:r>
    </w:p>
  </w:footnote>
  <w:footnote w:id="7">
    <w:p w14:paraId="139792D1" w14:textId="47D26C2A" w:rsidR="009B066A" w:rsidRPr="009117E6" w:rsidRDefault="009B066A" w:rsidP="009117E6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9117E6">
        <w:rPr>
          <w:sz w:val="24"/>
          <w:lang w:val="bg-BG"/>
        </w:rPr>
        <w:t xml:space="preserve"> </w:t>
      </w:r>
      <w:r w:rsidRPr="009117E6">
        <w:rPr>
          <w:sz w:val="24"/>
          <w:lang w:val="bg-BG"/>
        </w:rPr>
        <w:tab/>
        <w:t xml:space="preserve">OВ L, 2025/50, 10.1.2025 г., ELI: </w:t>
      </w:r>
      <w:hyperlink r:id="rId6" w:history="1">
        <w:r>
          <w:rPr>
            <w:rStyle w:val="Hyperlink"/>
            <w:sz w:val="24"/>
            <w:lang w:val="bg-BG"/>
          </w:rPr>
          <w:t>http://data.europa.eu/eli/dir/2025/50/oj</w:t>
        </w:r>
      </w:hyperlink>
      <w:r w:rsidRPr="009117E6">
        <w:rPr>
          <w:sz w:val="24"/>
          <w:lang w:val="bg-BG"/>
        </w:rPr>
        <w:t>.</w:t>
      </w:r>
    </w:p>
  </w:footnote>
  <w:footnote w:id="8">
    <w:p w14:paraId="66DDD116" w14:textId="21AFFD70" w:rsidR="009B066A" w:rsidRPr="009117E6" w:rsidRDefault="009B066A" w:rsidP="009117E6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9117E6">
        <w:rPr>
          <w:sz w:val="24"/>
          <w:lang w:val="bg-BG"/>
        </w:rPr>
        <w:t xml:space="preserve"> </w:t>
      </w:r>
      <w:r w:rsidRPr="009117E6">
        <w:rPr>
          <w:sz w:val="24"/>
          <w:lang w:val="bg-BG"/>
        </w:rPr>
        <w:tab/>
        <w:t xml:space="preserve">Законодателна резолюция на Европейския парламент от 10 април 2024 г. относно предложението за директива на Съвета за създаване на система за данъчно облагане по главно управление за микро-, малките и средните предприятия и за изменение на Директива 2011/16/ЕС (OВ C, C/2025/1326, 13.3.2025 г., ELI: </w:t>
      </w:r>
      <w:hyperlink r:id="rId7" w:history="1">
        <w:r>
          <w:rPr>
            <w:rStyle w:val="Hyperlink"/>
            <w:sz w:val="24"/>
            <w:lang w:val="bg-BG"/>
          </w:rPr>
          <w:t>http://data.europa.eu/eli/C/2025/1326/oj</w:t>
        </w:r>
      </w:hyperlink>
      <w:r w:rsidRPr="009117E6">
        <w:rPr>
          <w:sz w:val="24"/>
          <w:lang w:val="bg-BG"/>
        </w:rPr>
        <w:t>).</w:t>
      </w:r>
    </w:p>
  </w:footnote>
  <w:footnote w:id="9">
    <w:p w14:paraId="4B77FE90" w14:textId="6D1B28AD" w:rsidR="009B066A" w:rsidRPr="009117E6" w:rsidRDefault="009B066A" w:rsidP="009117E6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9117E6">
        <w:rPr>
          <w:sz w:val="24"/>
          <w:lang w:val="bg-BG"/>
        </w:rPr>
        <w:t xml:space="preserve"> </w:t>
      </w:r>
      <w:r w:rsidRPr="009117E6">
        <w:rPr>
          <w:sz w:val="24"/>
          <w:lang w:val="bg-BG"/>
        </w:rPr>
        <w:tab/>
        <w:t>Европейска комисия, „Европейски макроикономически доклад за 2026 г.“, ноември 2025 г.</w:t>
      </w:r>
    </w:p>
  </w:footnote>
  <w:footnote w:id="10">
    <w:p w14:paraId="290926E5" w14:textId="1CD324F9" w:rsidR="009B066A" w:rsidRPr="009117E6" w:rsidRDefault="009B066A" w:rsidP="009117E6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9117E6">
        <w:rPr>
          <w:sz w:val="24"/>
          <w:lang w:val="bg-BG"/>
        </w:rPr>
        <w:t xml:space="preserve"> </w:t>
      </w:r>
      <w:r w:rsidRPr="009117E6">
        <w:rPr>
          <w:sz w:val="24"/>
          <w:lang w:val="bg-BG"/>
        </w:rPr>
        <w:tab/>
        <w:t xml:space="preserve">Директива 2006/112/ЕО на Съвета от 28 ноември 2006 г. относно общата система на данъка върху добавената стойност (OВ L 347, 11.12.2006 г., </w:t>
      </w:r>
      <w:proofErr w:type="spellStart"/>
      <w:r w:rsidRPr="009117E6">
        <w:rPr>
          <w:sz w:val="24"/>
          <w:lang w:val="bg-BG"/>
        </w:rPr>
        <w:t>стp</w:t>
      </w:r>
      <w:proofErr w:type="spellEnd"/>
      <w:r w:rsidRPr="009117E6">
        <w:rPr>
          <w:sz w:val="24"/>
          <w:lang w:val="bg-BG"/>
        </w:rPr>
        <w:t xml:space="preserve">. 1, ELI: </w:t>
      </w:r>
      <w:hyperlink r:id="rId8" w:history="1">
        <w:r>
          <w:rPr>
            <w:rStyle w:val="Hyperlink"/>
            <w:sz w:val="24"/>
            <w:lang w:val="bg-BG"/>
          </w:rPr>
          <w:t>http://data.europa.eu/eli/dir/2006/112/oj</w:t>
        </w:r>
      </w:hyperlink>
      <w:r w:rsidRPr="009117E6">
        <w:rPr>
          <w:sz w:val="24"/>
          <w:lang w:val="bg-BG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2798531">
    <w:abstractNumId w:val="9"/>
  </w:num>
  <w:num w:numId="2" w16cid:durableId="1575434148">
    <w:abstractNumId w:val="9"/>
  </w:num>
  <w:num w:numId="3" w16cid:durableId="2028673488">
    <w:abstractNumId w:val="7"/>
  </w:num>
  <w:num w:numId="4" w16cid:durableId="133451861">
    <w:abstractNumId w:val="7"/>
  </w:num>
  <w:num w:numId="5" w16cid:durableId="1284380756">
    <w:abstractNumId w:val="6"/>
  </w:num>
  <w:num w:numId="6" w16cid:durableId="1018390954">
    <w:abstractNumId w:val="6"/>
  </w:num>
  <w:num w:numId="7" w16cid:durableId="180054869">
    <w:abstractNumId w:val="5"/>
  </w:num>
  <w:num w:numId="8" w16cid:durableId="1409032834">
    <w:abstractNumId w:val="5"/>
  </w:num>
  <w:num w:numId="9" w16cid:durableId="715660914">
    <w:abstractNumId w:val="4"/>
  </w:num>
  <w:num w:numId="10" w16cid:durableId="73406027">
    <w:abstractNumId w:val="4"/>
  </w:num>
  <w:num w:numId="11" w16cid:durableId="1993219285">
    <w:abstractNumId w:val="8"/>
  </w:num>
  <w:num w:numId="12" w16cid:durableId="934361954">
    <w:abstractNumId w:val="8"/>
  </w:num>
  <w:num w:numId="13" w16cid:durableId="669481964">
    <w:abstractNumId w:val="3"/>
  </w:num>
  <w:num w:numId="14" w16cid:durableId="1053457882">
    <w:abstractNumId w:val="3"/>
  </w:num>
  <w:num w:numId="15" w16cid:durableId="1199468529">
    <w:abstractNumId w:val="2"/>
  </w:num>
  <w:num w:numId="16" w16cid:durableId="1606188698">
    <w:abstractNumId w:val="2"/>
  </w:num>
  <w:num w:numId="17" w16cid:durableId="1500272181">
    <w:abstractNumId w:val="1"/>
  </w:num>
  <w:num w:numId="18" w16cid:durableId="795752937">
    <w:abstractNumId w:val="1"/>
  </w:num>
  <w:num w:numId="19" w16cid:durableId="2038000193">
    <w:abstractNumId w:val="0"/>
  </w:num>
  <w:num w:numId="20" w16cid:durableId="1676959753">
    <w:abstractNumId w:val="0"/>
  </w:num>
  <w:num w:numId="21" w16cid:durableId="813331185">
    <w:abstractNumId w:val="9"/>
  </w:num>
  <w:num w:numId="22" w16cid:durableId="31614907">
    <w:abstractNumId w:val="7"/>
  </w:num>
  <w:num w:numId="23" w16cid:durableId="1757437432">
    <w:abstractNumId w:val="6"/>
  </w:num>
  <w:num w:numId="24" w16cid:durableId="1128474709">
    <w:abstractNumId w:val="5"/>
  </w:num>
  <w:num w:numId="25" w16cid:durableId="300159832">
    <w:abstractNumId w:val="4"/>
  </w:num>
  <w:num w:numId="26" w16cid:durableId="1273972309">
    <w:abstractNumId w:val="8"/>
  </w:num>
  <w:num w:numId="27" w16cid:durableId="290090390">
    <w:abstractNumId w:val="3"/>
  </w:num>
  <w:num w:numId="28" w16cid:durableId="57094166">
    <w:abstractNumId w:val="2"/>
  </w:num>
  <w:num w:numId="29" w16cid:durableId="1495146875">
    <w:abstractNumId w:val="1"/>
  </w:num>
  <w:num w:numId="30" w16cid:durableId="1417286869">
    <w:abstractNumId w:val="0"/>
  </w:num>
  <w:num w:numId="31" w16cid:durableId="1958179703">
    <w:abstractNumId w:val="9"/>
  </w:num>
  <w:num w:numId="32" w16cid:durableId="709577978">
    <w:abstractNumId w:val="7"/>
  </w:num>
  <w:num w:numId="33" w16cid:durableId="763719700">
    <w:abstractNumId w:val="6"/>
  </w:num>
  <w:num w:numId="34" w16cid:durableId="1911496715">
    <w:abstractNumId w:val="5"/>
  </w:num>
  <w:num w:numId="35" w16cid:durableId="1468089634">
    <w:abstractNumId w:val="4"/>
  </w:num>
  <w:num w:numId="36" w16cid:durableId="349451763">
    <w:abstractNumId w:val="8"/>
  </w:num>
  <w:num w:numId="37" w16cid:durableId="1154954674">
    <w:abstractNumId w:val="3"/>
  </w:num>
  <w:num w:numId="38" w16cid:durableId="1445075564">
    <w:abstractNumId w:val="2"/>
  </w:num>
  <w:num w:numId="39" w16cid:durableId="2090957218">
    <w:abstractNumId w:val="1"/>
  </w:num>
  <w:num w:numId="40" w16cid:durableId="58479663">
    <w:abstractNumId w:val="0"/>
  </w:num>
  <w:num w:numId="41" w16cid:durableId="660036496">
    <w:abstractNumId w:val="10"/>
  </w:num>
  <w:num w:numId="42" w16cid:durableId="1840076091">
    <w:abstractNumId w:val="10"/>
  </w:num>
  <w:num w:numId="43" w16cid:durableId="1423065900">
    <w:abstractNumId w:val="10"/>
  </w:num>
  <w:num w:numId="44" w16cid:durableId="2978826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9/2026"/>
    <w:docVar w:name="dvlangue" w:val="BG"/>
    <w:docVar w:name="dvnumam" w:val="0"/>
    <w:docVar w:name="dvpe" w:val="779.360"/>
    <w:docVar w:name="dvrapporteur" w:val="Докладчик: "/>
    <w:docVar w:name="dvtitre" w:val="Резолюция на Европейския парламент от ... 2026 г. относно съгласувана данъчна рамка за финансовия сектор на ЕС(2024/2117(INI))"/>
  </w:docVars>
  <w:rsids>
    <w:rsidRoot w:val="00E67141"/>
    <w:rsid w:val="00002272"/>
    <w:rsid w:val="00064002"/>
    <w:rsid w:val="000677B9"/>
    <w:rsid w:val="000831BA"/>
    <w:rsid w:val="000A42CC"/>
    <w:rsid w:val="000A59A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2E0A"/>
    <w:rsid w:val="0050519A"/>
    <w:rsid w:val="005072A1"/>
    <w:rsid w:val="00514517"/>
    <w:rsid w:val="005233F2"/>
    <w:rsid w:val="00545827"/>
    <w:rsid w:val="00547B5E"/>
    <w:rsid w:val="00560270"/>
    <w:rsid w:val="005C2568"/>
    <w:rsid w:val="005F1B17"/>
    <w:rsid w:val="005F5AA2"/>
    <w:rsid w:val="006037C0"/>
    <w:rsid w:val="006631B6"/>
    <w:rsid w:val="00673C2E"/>
    <w:rsid w:val="00680577"/>
    <w:rsid w:val="006F74FA"/>
    <w:rsid w:val="00731ADD"/>
    <w:rsid w:val="00734777"/>
    <w:rsid w:val="00747932"/>
    <w:rsid w:val="00750A11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7E6"/>
    <w:rsid w:val="00930C23"/>
    <w:rsid w:val="0093193B"/>
    <w:rsid w:val="009509D8"/>
    <w:rsid w:val="00950B64"/>
    <w:rsid w:val="00981893"/>
    <w:rsid w:val="009B066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878A3"/>
    <w:rsid w:val="00D91E21"/>
    <w:rsid w:val="00DA7FCD"/>
    <w:rsid w:val="00E24D84"/>
    <w:rsid w:val="00E365E1"/>
    <w:rsid w:val="00E53F43"/>
    <w:rsid w:val="00E6714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9BB5E"/>
  <w15:chartTrackingRefBased/>
  <w15:docId w15:val="{2D941E08-34D7-4783-A0BE-C81C55D0D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E53F43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E53F4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E53F43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53F43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E53F43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E53F43"/>
    <w:rPr>
      <w:color w:val="0000FF"/>
      <w:u w:val="single"/>
    </w:rPr>
  </w:style>
  <w:style w:type="paragraph" w:styleId="Revision">
    <w:name w:val="Revision"/>
    <w:hidden/>
    <w:uiPriority w:val="99"/>
    <w:semiHidden/>
    <w:rsid w:val="009B066A"/>
    <w:rPr>
      <w:sz w:val="24"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9B0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06/112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://data.europa.eu/eli/C/2025/1326/oj" TargetMode="External"/><Relationship Id="rId2" Type="http://schemas.openxmlformats.org/officeDocument/2006/relationships/hyperlink" Target="http://data.europa.eu/eli/dec/2020/2053/oj" TargetMode="External"/><Relationship Id="rId1" Type="http://schemas.openxmlformats.org/officeDocument/2006/relationships/hyperlink" Target="http://data.europa.eu/eli/reg/2023/1114/oj" TargetMode="External"/><Relationship Id="rId6" Type="http://schemas.openxmlformats.org/officeDocument/2006/relationships/hyperlink" Target="http://data.europa.eu/eli/dir/2025/50/oj" TargetMode="External"/><Relationship Id="rId5" Type="http://schemas.openxmlformats.org/officeDocument/2006/relationships/hyperlink" Target="http://data.europa.eu/eli/reco/2025/2029/oj" TargetMode="External"/><Relationship Id="rId4" Type="http://schemas.openxmlformats.org/officeDocument/2006/relationships/hyperlink" Target="http://data.europa.eu/eli/C/2023/10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4047</Words>
  <Characters>24740</Characters>
  <Application>Microsoft Office Word</Application>
  <DocSecurity>0</DocSecurity>
  <Lines>206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MINKOVA Maria</cp:lastModifiedBy>
  <cp:revision>2</cp:revision>
  <cp:lastPrinted>2004-11-19T15:42:00Z</cp:lastPrinted>
  <dcterms:created xsi:type="dcterms:W3CDTF">2026-07-07T13:17:00Z</dcterms:created>
  <dcterms:modified xsi:type="dcterms:W3CDTF">2026-07-07T13:17:00Z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A10-0169/2026</vt:lpwstr>
  </property>
  <property fmtid="{D5CDD505-2E9C-101B-9397-08002B2CF9AE}" pid="4" name="&lt;Type&gt;">
    <vt:lpwstr>RR</vt:lpwstr>
  </property>
</Properties>
</file>