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2FD7" w14:paraId="1C800F65" w14:textId="77777777" w:rsidTr="0010095E">
        <w:trPr>
          <w:trHeight w:hRule="exact" w:val="1418"/>
        </w:trPr>
        <w:tc>
          <w:tcPr>
            <w:tcW w:w="6804" w:type="dxa"/>
            <w:shd w:val="clear" w:color="auto" w:fill="auto"/>
            <w:vAlign w:val="center"/>
          </w:tcPr>
          <w:p w14:paraId="6688EBBF" w14:textId="77777777" w:rsidR="00751A4A" w:rsidRPr="00492FD7" w:rsidRDefault="0043305F" w:rsidP="0010095E">
            <w:pPr>
              <w:pStyle w:val="EPName"/>
            </w:pPr>
            <w:r w:rsidRPr="00492FD7">
              <w:t>Evropský parlament</w:t>
            </w:r>
          </w:p>
          <w:p w14:paraId="2DC8EEDB" w14:textId="77777777" w:rsidR="00751A4A" w:rsidRPr="00492FD7" w:rsidRDefault="005F1B17" w:rsidP="005F1B17">
            <w:pPr>
              <w:pStyle w:val="EPTerm"/>
              <w:rPr>
                <w:rStyle w:val="HideTWBExt"/>
                <w:noProof w:val="0"/>
                <w:vanish w:val="0"/>
                <w:color w:val="auto"/>
              </w:rPr>
            </w:pPr>
            <w:r w:rsidRPr="00492FD7">
              <w:t>2024</w:t>
            </w:r>
            <w:r w:rsidR="00817416" w:rsidRPr="00492FD7">
              <w:t>-202</w:t>
            </w:r>
            <w:r w:rsidRPr="00492FD7">
              <w:t>9</w:t>
            </w:r>
          </w:p>
        </w:tc>
        <w:tc>
          <w:tcPr>
            <w:tcW w:w="2268" w:type="dxa"/>
            <w:shd w:val="clear" w:color="auto" w:fill="auto"/>
          </w:tcPr>
          <w:p w14:paraId="108013B0" w14:textId="77777777" w:rsidR="00751A4A" w:rsidRPr="00492FD7" w:rsidRDefault="00187494" w:rsidP="0010095E">
            <w:pPr>
              <w:pStyle w:val="EPLogo"/>
            </w:pPr>
            <w:r w:rsidRPr="00492FD7">
              <w:rPr>
                <w:noProof/>
                <w:lang w:eastAsia="ja-JP"/>
              </w:rPr>
              <w:drawing>
                <wp:inline distT="0" distB="0" distL="0" distR="0" wp14:anchorId="64FC3132" wp14:editId="39F847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B61F7" w14:textId="77777777" w:rsidR="00D058B8" w:rsidRPr="00492FD7" w:rsidRDefault="00D058B8" w:rsidP="004C5D52">
      <w:pPr>
        <w:pStyle w:val="LineTop"/>
      </w:pPr>
    </w:p>
    <w:p w14:paraId="364A3D7D" w14:textId="77777777" w:rsidR="00680577" w:rsidRPr="00492FD7" w:rsidRDefault="0043305F" w:rsidP="00680577">
      <w:pPr>
        <w:pStyle w:val="EPBodyTA1"/>
      </w:pPr>
      <w:r w:rsidRPr="00492FD7">
        <w:t>PŘIJATÉ TEXTY</w:t>
      </w:r>
    </w:p>
    <w:p w14:paraId="5925A885" w14:textId="77777777" w:rsidR="00D058B8" w:rsidRPr="00492FD7" w:rsidRDefault="00D058B8" w:rsidP="00D058B8">
      <w:pPr>
        <w:pStyle w:val="LineBottom"/>
      </w:pPr>
    </w:p>
    <w:p w14:paraId="35C2F33D" w14:textId="0F42544D" w:rsidR="0043305F" w:rsidRPr="00AF55DD" w:rsidRDefault="0043305F" w:rsidP="0043305F">
      <w:pPr>
        <w:pStyle w:val="ATHeading1"/>
      </w:pPr>
      <w:bookmarkStart w:id="0" w:name="TANumber"/>
      <w:r w:rsidRPr="00AF55DD">
        <w:t>P10_</w:t>
      </w:r>
      <w:proofErr w:type="gramStart"/>
      <w:r w:rsidRPr="00AF55DD">
        <w:t>TA(</w:t>
      </w:r>
      <w:proofErr w:type="gramEnd"/>
      <w:r w:rsidRPr="00AF55DD">
        <w:t>2026)0</w:t>
      </w:r>
      <w:r w:rsidR="00031929">
        <w:t>248</w:t>
      </w:r>
      <w:bookmarkEnd w:id="0"/>
    </w:p>
    <w:p w14:paraId="320E0DBD" w14:textId="77777777" w:rsidR="0043305F" w:rsidRPr="00AF55DD" w:rsidRDefault="0043305F" w:rsidP="0043305F">
      <w:pPr>
        <w:pStyle w:val="ATHeading2"/>
      </w:pPr>
      <w:bookmarkStart w:id="1" w:name="title"/>
      <w:r w:rsidRPr="00AF55DD">
        <w:t>Ucelený daňový rámec pro finanční sektor EU</w:t>
      </w:r>
      <w:bookmarkEnd w:id="1"/>
    </w:p>
    <w:p w14:paraId="2A2E8F85" w14:textId="77777777" w:rsidR="0043305F" w:rsidRPr="00492FD7" w:rsidRDefault="0043305F" w:rsidP="0043305F">
      <w:pPr>
        <w:rPr>
          <w:i/>
          <w:vanish/>
        </w:rPr>
      </w:pPr>
      <w:r w:rsidRPr="00492FD7">
        <w:rPr>
          <w:i/>
        </w:rPr>
        <w:fldChar w:fldCharType="begin"/>
      </w:r>
      <w:r w:rsidRPr="00492FD7">
        <w:rPr>
          <w:i/>
        </w:rPr>
        <w:instrText xml:space="preserve"> TC"(</w:instrText>
      </w:r>
      <w:bookmarkStart w:id="2" w:name="DocNumber"/>
      <w:r w:rsidRPr="00492FD7">
        <w:rPr>
          <w:i/>
        </w:rPr>
        <w:instrText>A10-0169/2026</w:instrText>
      </w:r>
      <w:bookmarkEnd w:id="2"/>
      <w:r w:rsidRPr="00492FD7">
        <w:rPr>
          <w:i/>
        </w:rPr>
        <w:instrText xml:space="preserve"> - Zpravodaj: Matthias Ecke)"\l3 \n&gt; \* MERGEFORMAT </w:instrText>
      </w:r>
      <w:r w:rsidRPr="00492FD7">
        <w:rPr>
          <w:i/>
        </w:rPr>
        <w:fldChar w:fldCharType="end"/>
      </w:r>
    </w:p>
    <w:p w14:paraId="29A68BFE" w14:textId="77777777" w:rsidR="0043305F" w:rsidRPr="00492FD7" w:rsidRDefault="0043305F" w:rsidP="0043305F">
      <w:pPr>
        <w:rPr>
          <w:vanish/>
        </w:rPr>
      </w:pPr>
      <w:bookmarkStart w:id="3" w:name="Commission"/>
      <w:r w:rsidRPr="00492FD7">
        <w:rPr>
          <w:vanish/>
        </w:rPr>
        <w:t>Hospodářský a měnový výbor</w:t>
      </w:r>
      <w:bookmarkEnd w:id="3"/>
    </w:p>
    <w:p w14:paraId="167F6F6D" w14:textId="77777777" w:rsidR="0043305F" w:rsidRPr="00492FD7" w:rsidRDefault="0043305F" w:rsidP="0043305F">
      <w:pPr>
        <w:rPr>
          <w:vanish/>
        </w:rPr>
      </w:pPr>
      <w:bookmarkStart w:id="4" w:name="PE"/>
      <w:r w:rsidRPr="00492FD7">
        <w:rPr>
          <w:vanish/>
        </w:rPr>
        <w:t>PE779.360</w:t>
      </w:r>
      <w:bookmarkEnd w:id="4"/>
    </w:p>
    <w:p w14:paraId="19DCD36B" w14:textId="77777777" w:rsidR="0043305F" w:rsidRPr="00AF55DD" w:rsidRDefault="0043305F" w:rsidP="0043305F">
      <w:pPr>
        <w:pStyle w:val="ATHeading3"/>
      </w:pPr>
      <w:bookmarkStart w:id="5" w:name="Sujet"/>
      <w:r w:rsidRPr="00AF55DD">
        <w:t>Usnesení Evropského parlamentu ze dne 7. července 2026 o uceleném daňovém rámci pro finanční sektor EU</w:t>
      </w:r>
      <w:bookmarkEnd w:id="5"/>
      <w:r w:rsidRPr="00AF55DD">
        <w:t xml:space="preserve"> </w:t>
      </w:r>
      <w:bookmarkStart w:id="6" w:name="References"/>
      <w:r w:rsidRPr="00AF55DD">
        <w:t>(2024/2117(INI))</w:t>
      </w:r>
      <w:bookmarkEnd w:id="6"/>
    </w:p>
    <w:p w14:paraId="34545AE6" w14:textId="77777777" w:rsidR="00C428FE" w:rsidRPr="00492FD7" w:rsidRDefault="00C428FE" w:rsidP="00AF55DD">
      <w:pPr>
        <w:pStyle w:val="Normal12"/>
        <w:spacing w:before="480"/>
      </w:pPr>
      <w:r w:rsidRPr="00AF55DD">
        <w:rPr>
          <w:i/>
          <w:iCs/>
        </w:rPr>
        <w:t>Evropský parlament</w:t>
      </w:r>
      <w:r w:rsidRPr="00492FD7">
        <w:t>,</w:t>
      </w:r>
    </w:p>
    <w:p w14:paraId="232FF0E3" w14:textId="77777777" w:rsidR="00C428FE" w:rsidRPr="00492FD7" w:rsidRDefault="00C428FE" w:rsidP="00492FD7">
      <w:pPr>
        <w:pStyle w:val="NormalHanging"/>
      </w:pPr>
      <w:r w:rsidRPr="00492FD7">
        <w:t>–</w:t>
      </w:r>
      <w:r w:rsidRPr="00492FD7">
        <w:tab/>
        <w:t>s ohledem na Smlouvu o fungování Evropské unie, a zejména na články 113, 114 a 115 této smlouvy,</w:t>
      </w:r>
    </w:p>
    <w:p w14:paraId="01390B50" w14:textId="77777777" w:rsidR="00C428FE" w:rsidRPr="00492FD7" w:rsidRDefault="00C428FE" w:rsidP="00492FD7">
      <w:pPr>
        <w:pStyle w:val="NormalHanging"/>
      </w:pPr>
      <w:r w:rsidRPr="00492FD7">
        <w:t>–</w:t>
      </w:r>
      <w:r w:rsidRPr="00492FD7">
        <w:tab/>
        <w:t>s ohledem na návrh směrnice Rady o společném systému daně z finančních transakcí a změně směrnice 2008/7/ES (</w:t>
      </w:r>
      <w:proofErr w:type="gramStart"/>
      <w:r w:rsidRPr="00492FD7">
        <w:t>COM(</w:t>
      </w:r>
      <w:proofErr w:type="gramEnd"/>
      <w:r w:rsidRPr="00492FD7">
        <w:t>2011)0594), který předložila Komise dne 28. září 2011,</w:t>
      </w:r>
    </w:p>
    <w:p w14:paraId="04739D2F" w14:textId="77777777" w:rsidR="00C428FE" w:rsidRPr="00492FD7" w:rsidRDefault="00C428FE" w:rsidP="00492FD7">
      <w:pPr>
        <w:pStyle w:val="NormalHanging"/>
      </w:pPr>
      <w:r w:rsidRPr="00492FD7">
        <w:t>–</w:t>
      </w:r>
      <w:r w:rsidRPr="00492FD7">
        <w:tab/>
        <w:t>s ohledem na návrh směrnice Rady, kterou se provádí posílená spolupráce v oblasti daně z finančních transakcí (</w:t>
      </w:r>
      <w:proofErr w:type="gramStart"/>
      <w:r w:rsidRPr="00492FD7">
        <w:t>COM(</w:t>
      </w:r>
      <w:proofErr w:type="gramEnd"/>
      <w:r w:rsidRPr="00492FD7">
        <w:t>2013)0071), který předložila Komise dne 14. února 2013 (návrh DFT),</w:t>
      </w:r>
    </w:p>
    <w:p w14:paraId="6261D27D" w14:textId="77777777" w:rsidR="00C428FE" w:rsidRPr="00492FD7" w:rsidRDefault="00C428FE" w:rsidP="00492FD7">
      <w:pPr>
        <w:pStyle w:val="NormalHanging"/>
      </w:pPr>
      <w:r w:rsidRPr="00492FD7">
        <w:t>–</w:t>
      </w:r>
      <w:r w:rsidRPr="00492FD7">
        <w:tab/>
        <w:t>s ohledem na návrh nařízení Rady, kterým se stanoví prováděcí opatření ke směrnici 2006/112/ES o společném systému daně z přidané hodnoty, pokud jde o zacházení s pojišťovacími a finančními službami (</w:t>
      </w:r>
      <w:proofErr w:type="gramStart"/>
      <w:r w:rsidRPr="00492FD7">
        <w:t>COM(</w:t>
      </w:r>
      <w:proofErr w:type="gramEnd"/>
      <w:r w:rsidRPr="00492FD7">
        <w:t>2007)0746), který předložila Komise dne 28. listopadu 2007,</w:t>
      </w:r>
    </w:p>
    <w:p w14:paraId="5DD4F682" w14:textId="77777777" w:rsidR="00C428FE" w:rsidRPr="00492FD7" w:rsidRDefault="00C428FE" w:rsidP="00492FD7">
      <w:pPr>
        <w:pStyle w:val="NormalHanging"/>
      </w:pPr>
      <w:r w:rsidRPr="00492FD7">
        <w:t>–</w:t>
      </w:r>
      <w:r w:rsidRPr="00492FD7">
        <w:tab/>
        <w:t>s ohledem na návrh směrnice Rady, kterou se mění směrnice 2006/112/ES o společném systému daně z přidané hodnoty, pokud jde o zacházení s pojišťovacími a finančními službami (</w:t>
      </w:r>
      <w:proofErr w:type="gramStart"/>
      <w:r w:rsidRPr="00492FD7">
        <w:t>COM(</w:t>
      </w:r>
      <w:proofErr w:type="gramEnd"/>
      <w:r w:rsidRPr="00492FD7">
        <w:t>2007)0747), který předložila Komise dne 28. listopadu 2007,</w:t>
      </w:r>
    </w:p>
    <w:p w14:paraId="4E01C5CC" w14:textId="7585D999" w:rsidR="00C428FE" w:rsidRPr="00492FD7" w:rsidRDefault="00C428FE" w:rsidP="00492FD7">
      <w:pPr>
        <w:pStyle w:val="NormalHanging"/>
      </w:pPr>
      <w:r w:rsidRPr="00492FD7">
        <w:t>–</w:t>
      </w:r>
      <w:r w:rsidRPr="00492FD7">
        <w:tab/>
        <w:t>s ohledem na nařízení Evropského parlamentu a Rady (EU) 2023/1114 ze dne 31.</w:t>
      </w:r>
      <w:r w:rsidR="002F648D" w:rsidRPr="00492FD7">
        <w:t> </w:t>
      </w:r>
      <w:r w:rsidRPr="00492FD7">
        <w:t xml:space="preserve">května 2023 o trzích </w:t>
      </w:r>
      <w:proofErr w:type="spellStart"/>
      <w:r w:rsidRPr="00492FD7">
        <w:t>kryptoaktiv</w:t>
      </w:r>
      <w:proofErr w:type="spellEnd"/>
      <w:r w:rsidRPr="00492FD7">
        <w:t xml:space="preserve"> a o změně nařízení (EU) č. 1093/2010 a (EU) č. 1095/2010 a směrnic 2013/36/EU a (EU) 2019/1937</w:t>
      </w:r>
      <w:r w:rsidR="002F648D">
        <w:rPr>
          <w:rStyle w:val="FootnoteReference"/>
        </w:rPr>
        <w:footnoteReference w:id="1"/>
      </w:r>
      <w:r w:rsidRPr="00492FD7">
        <w:t>,</w:t>
      </w:r>
    </w:p>
    <w:p w14:paraId="350E0484" w14:textId="77777777" w:rsidR="00C428FE" w:rsidRPr="00492FD7" w:rsidRDefault="00C428FE" w:rsidP="00492FD7">
      <w:pPr>
        <w:pStyle w:val="NormalHanging"/>
      </w:pPr>
      <w:r w:rsidRPr="00492FD7">
        <w:t>–</w:t>
      </w:r>
      <w:r w:rsidRPr="00492FD7">
        <w:tab/>
        <w:t>s ohledem na počáteční posouzení dopadů přezkumu pravidel DPH pro finanční a pojišťovací služby, které Komise provedla dne 22. října 2020,</w:t>
      </w:r>
    </w:p>
    <w:p w14:paraId="75D01AE2" w14:textId="77777777" w:rsidR="00C428FE" w:rsidRPr="00492FD7" w:rsidRDefault="00C428FE" w:rsidP="00492FD7">
      <w:pPr>
        <w:pStyle w:val="NormalHanging"/>
      </w:pPr>
      <w:r w:rsidRPr="00492FD7">
        <w:t>–</w:t>
      </w:r>
      <w:r w:rsidRPr="00492FD7">
        <w:tab/>
        <w:t xml:space="preserve">s ohledem na návrh na zavedení daňového systému sídla pro mikropodniky a malé </w:t>
      </w:r>
      <w:r w:rsidRPr="00492FD7">
        <w:lastRenderedPageBreak/>
        <w:t>a střední podniky a změnu směrnice 2011/16/EU, který Komise předložila dne 12. září 2023,</w:t>
      </w:r>
    </w:p>
    <w:p w14:paraId="4BA455A0" w14:textId="47F3928F" w:rsidR="00C428FE" w:rsidRPr="00492FD7" w:rsidRDefault="00C428FE" w:rsidP="00492FD7">
      <w:pPr>
        <w:pStyle w:val="NormalHanging"/>
      </w:pPr>
      <w:r w:rsidRPr="00492FD7">
        <w:t>–</w:t>
      </w:r>
      <w:r w:rsidRPr="00492FD7">
        <w:tab/>
        <w:t>s ohledem na rozhodnutí Rady (EU, Euratom) 2020/2053 ze dne 14. prosince 2020 o systému vlastních zdrojů Evropské unie a o zrušení rozhodnutí 2014/335/EU, Euratom</w:t>
      </w:r>
      <w:r w:rsidR="002F648D">
        <w:rPr>
          <w:rStyle w:val="FootnoteReference"/>
        </w:rPr>
        <w:footnoteReference w:id="2"/>
      </w:r>
      <w:r w:rsidRPr="00492FD7">
        <w:t>,</w:t>
      </w:r>
    </w:p>
    <w:p w14:paraId="7A75A8F9" w14:textId="77777777" w:rsidR="00C428FE" w:rsidRPr="00492FD7" w:rsidRDefault="00C428FE" w:rsidP="00492FD7">
      <w:pPr>
        <w:pStyle w:val="NormalHanging"/>
      </w:pPr>
      <w:r w:rsidRPr="00492FD7">
        <w:t>–</w:t>
      </w:r>
      <w:r w:rsidRPr="00492FD7">
        <w:tab/>
        <w:t>s ohledem na sdělení Komise ze dne 22. prosince 2021 nazvané „Nová generace vlastních zdrojů pro rozpočet EU“ (</w:t>
      </w:r>
      <w:proofErr w:type="gramStart"/>
      <w:r w:rsidRPr="00492FD7">
        <w:t>COM(</w:t>
      </w:r>
      <w:proofErr w:type="gramEnd"/>
      <w:r w:rsidRPr="00492FD7">
        <w:t>2021)0566),</w:t>
      </w:r>
    </w:p>
    <w:p w14:paraId="0EE04E19" w14:textId="722FD15A" w:rsidR="00C428FE" w:rsidRPr="00492FD7" w:rsidRDefault="00C428FE" w:rsidP="00492FD7">
      <w:pPr>
        <w:pStyle w:val="NormalHanging"/>
      </w:pPr>
      <w:r w:rsidRPr="00492FD7">
        <w:t>–</w:t>
      </w:r>
      <w:r w:rsidRPr="00492FD7">
        <w:tab/>
        <w:t>s ohledem na studii s názvem „</w:t>
      </w:r>
      <w:proofErr w:type="spellStart"/>
      <w:r w:rsidRPr="00492FD7">
        <w:t>The</w:t>
      </w:r>
      <w:proofErr w:type="spellEnd"/>
      <w:r w:rsidRPr="00492FD7">
        <w:t xml:space="preserve"> </w:t>
      </w:r>
      <w:proofErr w:type="spellStart"/>
      <w:r w:rsidRPr="00492FD7">
        <w:t>taxation</w:t>
      </w:r>
      <w:proofErr w:type="spellEnd"/>
      <w:r w:rsidRPr="00492FD7">
        <w:t xml:space="preserve"> </w:t>
      </w:r>
      <w:proofErr w:type="spellStart"/>
      <w:r w:rsidRPr="00492FD7">
        <w:t>of</w:t>
      </w:r>
      <w:proofErr w:type="spellEnd"/>
      <w:r w:rsidRPr="00492FD7">
        <w:t xml:space="preserve"> </w:t>
      </w:r>
      <w:proofErr w:type="spellStart"/>
      <w:r w:rsidRPr="00492FD7">
        <w:t>the</w:t>
      </w:r>
      <w:proofErr w:type="spellEnd"/>
      <w:r w:rsidRPr="00492FD7">
        <w:t xml:space="preserve"> </w:t>
      </w:r>
      <w:proofErr w:type="spellStart"/>
      <w:r w:rsidRPr="00492FD7">
        <w:t>EU’s</w:t>
      </w:r>
      <w:proofErr w:type="spellEnd"/>
      <w:r w:rsidRPr="00492FD7">
        <w:t xml:space="preserve"> </w:t>
      </w:r>
      <w:proofErr w:type="spellStart"/>
      <w:r w:rsidRPr="00492FD7">
        <w:t>financial</w:t>
      </w:r>
      <w:proofErr w:type="spellEnd"/>
      <w:r w:rsidRPr="00492FD7">
        <w:t xml:space="preserve"> </w:t>
      </w:r>
      <w:proofErr w:type="spellStart"/>
      <w:r w:rsidRPr="00492FD7">
        <w:t>sector</w:t>
      </w:r>
      <w:proofErr w:type="spellEnd"/>
      <w:r w:rsidRPr="00492FD7">
        <w:t>“ (Zdanění finančního sektoru EU), kterou si vyžádal podvýbor Evropského parlamentu pro daňové otázky a kterou zveřejnilo generální ředitelství pro hospodářství, transformaci a průmysl v červnu 2025</w:t>
      </w:r>
      <w:r w:rsidR="002F648D">
        <w:rPr>
          <w:rStyle w:val="FootnoteReference"/>
        </w:rPr>
        <w:footnoteReference w:id="3"/>
      </w:r>
      <w:r w:rsidRPr="00492FD7">
        <w:t>,</w:t>
      </w:r>
    </w:p>
    <w:p w14:paraId="4E20CF73" w14:textId="77777777" w:rsidR="00C428FE" w:rsidRPr="00492FD7" w:rsidRDefault="00C428FE" w:rsidP="00492FD7">
      <w:pPr>
        <w:pStyle w:val="NormalHanging"/>
      </w:pPr>
      <w:r w:rsidRPr="00492FD7">
        <w:t>–</w:t>
      </w:r>
      <w:r w:rsidRPr="00492FD7">
        <w:tab/>
        <w:t>s ohledem na judikaturu Soudního dvora Evropské unie týkající se osvobození finančních a pojišťovacích služeb od DPH,</w:t>
      </w:r>
    </w:p>
    <w:p w14:paraId="5BC35BB9" w14:textId="6A860EBC" w:rsidR="00C428FE" w:rsidRPr="00492FD7" w:rsidRDefault="00C428FE" w:rsidP="00492FD7">
      <w:pPr>
        <w:pStyle w:val="NormalHanging"/>
      </w:pPr>
      <w:r w:rsidRPr="00492FD7">
        <w:t>–</w:t>
      </w:r>
      <w:r w:rsidRPr="00492FD7">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002F648D">
        <w:rPr>
          <w:rStyle w:val="FootnoteReference"/>
        </w:rPr>
        <w:footnoteReference w:id="4"/>
      </w:r>
      <w:r w:rsidRPr="00492FD7">
        <w:t>,</w:t>
      </w:r>
    </w:p>
    <w:p w14:paraId="70A2A617" w14:textId="7A650EAD" w:rsidR="00C428FE" w:rsidRPr="00492FD7" w:rsidRDefault="00C428FE" w:rsidP="00492FD7">
      <w:pPr>
        <w:pStyle w:val="NormalHanging"/>
      </w:pPr>
      <w:r w:rsidRPr="00492FD7">
        <w:t>–</w:t>
      </w:r>
      <w:r w:rsidRPr="00492FD7">
        <w:tab/>
        <w:t>s ohledem na své usnesení ze dne 10. května 2023 o vlastních zdrojích: nový začátek pro finance EU, nový začátek pro Evropu</w:t>
      </w:r>
      <w:r w:rsidR="002F648D">
        <w:rPr>
          <w:rStyle w:val="FootnoteReference"/>
        </w:rPr>
        <w:footnoteReference w:id="5"/>
      </w:r>
      <w:r w:rsidRPr="00492FD7">
        <w:t>,</w:t>
      </w:r>
    </w:p>
    <w:p w14:paraId="2ACAB10D" w14:textId="77777777" w:rsidR="00C428FE" w:rsidRPr="00492FD7" w:rsidRDefault="00C428FE" w:rsidP="00492FD7">
      <w:pPr>
        <w:pStyle w:val="NormalHanging"/>
      </w:pPr>
      <w:r w:rsidRPr="00492FD7">
        <w:t>–</w:t>
      </w:r>
      <w:r w:rsidRPr="00492FD7">
        <w:tab/>
        <w:t xml:space="preserve">s ohledem na zprávu Enrica </w:t>
      </w:r>
      <w:proofErr w:type="spellStart"/>
      <w:r w:rsidRPr="00492FD7">
        <w:t>Letty</w:t>
      </w:r>
      <w:proofErr w:type="spellEnd"/>
      <w:r w:rsidRPr="00492FD7">
        <w:t xml:space="preserve"> z dubna 2024 nazvanou „Much more </w:t>
      </w:r>
      <w:proofErr w:type="spellStart"/>
      <w:r w:rsidRPr="00492FD7">
        <w:t>than</w:t>
      </w:r>
      <w:proofErr w:type="spellEnd"/>
      <w:r w:rsidRPr="00492FD7">
        <w:t xml:space="preserve"> a market – Speed, </w:t>
      </w:r>
      <w:proofErr w:type="spellStart"/>
      <w:r w:rsidRPr="00492FD7">
        <w:t>Security</w:t>
      </w:r>
      <w:proofErr w:type="spellEnd"/>
      <w:r w:rsidRPr="00492FD7">
        <w:t xml:space="preserve">, Solidarity: </w:t>
      </w:r>
      <w:proofErr w:type="spellStart"/>
      <w:r w:rsidRPr="00492FD7">
        <w:t>Empowering</w:t>
      </w:r>
      <w:proofErr w:type="spellEnd"/>
      <w:r w:rsidRPr="00492FD7">
        <w:t xml:space="preserve"> </w:t>
      </w:r>
      <w:proofErr w:type="spellStart"/>
      <w:r w:rsidRPr="00492FD7">
        <w:t>the</w:t>
      </w:r>
      <w:proofErr w:type="spellEnd"/>
      <w:r w:rsidRPr="00492FD7">
        <w:t xml:space="preserve"> single market to </w:t>
      </w:r>
      <w:proofErr w:type="spellStart"/>
      <w:r w:rsidRPr="00492FD7">
        <w:t>deliver</w:t>
      </w:r>
      <w:proofErr w:type="spellEnd"/>
      <w:r w:rsidRPr="00492FD7">
        <w:t xml:space="preserve"> a </w:t>
      </w:r>
      <w:proofErr w:type="spellStart"/>
      <w:r w:rsidRPr="00492FD7">
        <w:t>sustainable</w:t>
      </w:r>
      <w:proofErr w:type="spellEnd"/>
      <w:r w:rsidRPr="00492FD7">
        <w:t xml:space="preserve"> </w:t>
      </w:r>
      <w:proofErr w:type="spellStart"/>
      <w:r w:rsidRPr="00492FD7">
        <w:t>future</w:t>
      </w:r>
      <w:proofErr w:type="spellEnd"/>
      <w:r w:rsidRPr="00492FD7">
        <w:t xml:space="preserve"> and prosperity </w:t>
      </w:r>
      <w:proofErr w:type="spellStart"/>
      <w:r w:rsidRPr="00492FD7">
        <w:t>for</w:t>
      </w:r>
      <w:proofErr w:type="spellEnd"/>
      <w:r w:rsidRPr="00492FD7">
        <w:t xml:space="preserve"> </w:t>
      </w:r>
      <w:proofErr w:type="spellStart"/>
      <w:r w:rsidRPr="00492FD7">
        <w:t>all</w:t>
      </w:r>
      <w:proofErr w:type="spellEnd"/>
      <w:r w:rsidRPr="00492FD7">
        <w:t xml:space="preserve"> EU </w:t>
      </w:r>
      <w:proofErr w:type="spellStart"/>
      <w:r w:rsidRPr="00492FD7">
        <w:t>citizens</w:t>
      </w:r>
      <w:proofErr w:type="spellEnd"/>
      <w:r w:rsidRPr="00492FD7">
        <w:t xml:space="preserve"> (Více než trh – rychlost, bezpečnost, solidarita: posílení jednotného trhu s cílem zajistit udržitelnou budoucnost a prosperitu pro všechny občany EU, dále jen „</w:t>
      </w:r>
      <w:proofErr w:type="spellStart"/>
      <w:r w:rsidRPr="00492FD7">
        <w:t>Lettova</w:t>
      </w:r>
      <w:proofErr w:type="spellEnd"/>
      <w:r w:rsidRPr="00492FD7">
        <w:t xml:space="preserve"> zpráva“),</w:t>
      </w:r>
    </w:p>
    <w:p w14:paraId="3CF6FA64" w14:textId="77777777" w:rsidR="00C428FE" w:rsidRPr="00492FD7" w:rsidRDefault="00C428FE" w:rsidP="00492FD7">
      <w:pPr>
        <w:pStyle w:val="NormalHanging"/>
      </w:pPr>
      <w:r w:rsidRPr="00492FD7">
        <w:t>–</w:t>
      </w:r>
      <w:r w:rsidRPr="00492FD7">
        <w:tab/>
        <w:t xml:space="preserve">s ohledem na zprávu Maria </w:t>
      </w:r>
      <w:proofErr w:type="spellStart"/>
      <w:r w:rsidRPr="00492FD7">
        <w:t>Draghiho</w:t>
      </w:r>
      <w:proofErr w:type="spellEnd"/>
      <w:r w:rsidRPr="00492FD7">
        <w:t xml:space="preserve"> ze dne 9. září 2024 nazvanou „</w:t>
      </w:r>
      <w:proofErr w:type="spellStart"/>
      <w:r w:rsidRPr="00492FD7">
        <w:t>The</w:t>
      </w:r>
      <w:proofErr w:type="spellEnd"/>
      <w:r w:rsidRPr="00492FD7">
        <w:t xml:space="preserve"> </w:t>
      </w:r>
      <w:proofErr w:type="spellStart"/>
      <w:r w:rsidRPr="00492FD7">
        <w:t>future</w:t>
      </w:r>
      <w:proofErr w:type="spellEnd"/>
      <w:r w:rsidRPr="00492FD7">
        <w:t xml:space="preserve"> </w:t>
      </w:r>
      <w:proofErr w:type="spellStart"/>
      <w:r w:rsidRPr="00492FD7">
        <w:t>of</w:t>
      </w:r>
      <w:proofErr w:type="spellEnd"/>
      <w:r w:rsidRPr="00492FD7">
        <w:t xml:space="preserve"> </w:t>
      </w:r>
      <w:proofErr w:type="spellStart"/>
      <w:r w:rsidRPr="00492FD7">
        <w:t>European</w:t>
      </w:r>
      <w:proofErr w:type="spellEnd"/>
      <w:r w:rsidRPr="00492FD7">
        <w:t xml:space="preserve"> </w:t>
      </w:r>
      <w:proofErr w:type="spellStart"/>
      <w:r w:rsidRPr="00492FD7">
        <w:t>competitiveness</w:t>
      </w:r>
      <w:proofErr w:type="spellEnd"/>
      <w:r w:rsidRPr="00492FD7">
        <w:t>“ (Budoucnost evropské konkurenceschopnosti, dále jen „</w:t>
      </w:r>
      <w:proofErr w:type="spellStart"/>
      <w:r w:rsidRPr="00492FD7">
        <w:t>Draghiho</w:t>
      </w:r>
      <w:proofErr w:type="spellEnd"/>
      <w:r w:rsidRPr="00492FD7">
        <w:t xml:space="preserve"> zpráva“),</w:t>
      </w:r>
    </w:p>
    <w:p w14:paraId="69F0B0C8" w14:textId="77777777" w:rsidR="00C428FE" w:rsidRPr="00492FD7" w:rsidRDefault="00C428FE" w:rsidP="00492FD7">
      <w:pPr>
        <w:pStyle w:val="NormalHanging"/>
      </w:pPr>
      <w:r w:rsidRPr="00492FD7">
        <w:t>–</w:t>
      </w:r>
      <w:r w:rsidRPr="00492FD7">
        <w:tab/>
        <w:t>s ohledem na sdělení Komise nazvané „Unie úspor a investic: strategie na podporu bohatství občanů a hospodářské konkurenceschopnosti v EU“ (</w:t>
      </w:r>
      <w:proofErr w:type="gramStart"/>
      <w:r w:rsidRPr="00492FD7">
        <w:t>COM(</w:t>
      </w:r>
      <w:proofErr w:type="gramEnd"/>
      <w:r w:rsidRPr="00492FD7">
        <w:t>2025)0124),</w:t>
      </w:r>
    </w:p>
    <w:p w14:paraId="51BADC6B" w14:textId="0D8B67EC" w:rsidR="00C428FE" w:rsidRPr="00492FD7" w:rsidRDefault="00C428FE" w:rsidP="00492FD7">
      <w:pPr>
        <w:pStyle w:val="NormalHanging"/>
      </w:pPr>
      <w:r w:rsidRPr="00492FD7">
        <w:t>–</w:t>
      </w:r>
      <w:r w:rsidRPr="00492FD7">
        <w:tab/>
        <w:t>s ohledem na doporučení Komise (EU) 2025/2029 ze dne 30. září 2025 o zvýšení dostupnosti spořicích a investičních účtů se zjednodušeným a výhodným daňovým zacházením</w:t>
      </w:r>
      <w:r w:rsidR="002F648D">
        <w:rPr>
          <w:rStyle w:val="FootnoteReference"/>
        </w:rPr>
        <w:footnoteReference w:id="6"/>
      </w:r>
      <w:r w:rsidRPr="00492FD7">
        <w:t>,</w:t>
      </w:r>
    </w:p>
    <w:p w14:paraId="08A6E711" w14:textId="77777777" w:rsidR="00C428FE" w:rsidRPr="00492FD7" w:rsidRDefault="00C428FE" w:rsidP="00492FD7">
      <w:pPr>
        <w:pStyle w:val="NormalHanging"/>
      </w:pPr>
      <w:r w:rsidRPr="00492FD7">
        <w:lastRenderedPageBreak/>
        <w:t>–</w:t>
      </w:r>
      <w:r w:rsidRPr="00492FD7">
        <w:tab/>
        <w:t xml:space="preserve">s ohledem na pracovní dokument Světové banky „VAT </w:t>
      </w:r>
      <w:proofErr w:type="spellStart"/>
      <w:r w:rsidRPr="00492FD7">
        <w:t>Exemptions</w:t>
      </w:r>
      <w:proofErr w:type="spellEnd"/>
      <w:r w:rsidRPr="00492FD7">
        <w:t xml:space="preserve">, </w:t>
      </w:r>
      <w:proofErr w:type="spellStart"/>
      <w:r w:rsidRPr="00492FD7">
        <w:t>Embedded</w:t>
      </w:r>
      <w:proofErr w:type="spellEnd"/>
      <w:r w:rsidRPr="00492FD7">
        <w:t xml:space="preserve"> Tax, and </w:t>
      </w:r>
      <w:proofErr w:type="spellStart"/>
      <w:r w:rsidRPr="00492FD7">
        <w:t>Unintended</w:t>
      </w:r>
      <w:proofErr w:type="spellEnd"/>
      <w:r w:rsidRPr="00492FD7">
        <w:t xml:space="preserve"> </w:t>
      </w:r>
      <w:proofErr w:type="spellStart"/>
      <w:r w:rsidRPr="00492FD7">
        <w:t>Consequences</w:t>
      </w:r>
      <w:proofErr w:type="spellEnd"/>
      <w:r w:rsidRPr="00492FD7">
        <w:t>“ (Výjimky z DPH, vložená daň a nezamýšlené důsledky) z května 2025,</w:t>
      </w:r>
    </w:p>
    <w:p w14:paraId="05FB23C3" w14:textId="77777777" w:rsidR="00C428FE" w:rsidRPr="00492FD7" w:rsidRDefault="00C428FE" w:rsidP="00492FD7">
      <w:pPr>
        <w:pStyle w:val="NormalHanging"/>
      </w:pPr>
      <w:r w:rsidRPr="00492FD7">
        <w:t>–</w:t>
      </w:r>
      <w:r w:rsidRPr="00492FD7">
        <w:tab/>
        <w:t>s ohledem na článek 55 jednacího řádu,</w:t>
      </w:r>
    </w:p>
    <w:p w14:paraId="0E97A63E" w14:textId="77777777" w:rsidR="00C428FE" w:rsidRPr="00492FD7" w:rsidRDefault="00C428FE" w:rsidP="00492FD7">
      <w:pPr>
        <w:pStyle w:val="NormalHanging"/>
      </w:pPr>
      <w:r w:rsidRPr="00492FD7">
        <w:t>–</w:t>
      </w:r>
      <w:r w:rsidRPr="00492FD7">
        <w:tab/>
        <w:t>s ohledem na zprávu Hospodářského a měnového výboru (A10-0169/2026),</w:t>
      </w:r>
    </w:p>
    <w:p w14:paraId="6AD1470D" w14:textId="77777777" w:rsidR="00C428FE" w:rsidRPr="00492FD7" w:rsidRDefault="00C428FE" w:rsidP="00492FD7">
      <w:pPr>
        <w:pStyle w:val="NormalHanging"/>
      </w:pPr>
      <w:r w:rsidRPr="00492FD7">
        <w:t>A.</w:t>
      </w:r>
      <w:r w:rsidRPr="00492FD7">
        <w:tab/>
        <w:t>vzhledem k tomu, že pověřovacím dopisem předsedkyně Komise z roku 2024 komisaři, který je odpovědný za zdanění, byl Komisi uložen úkol určit inovativní řešení pro zdanění finančního sektoru EU, aby bylo možné podpořit další integraci tohoto sektoru, přeshraniční činnost, digitalizaci a inovace; vzhledem k tomu, že Komise zahájila studii o zdanění finančního sektoru v EU;</w:t>
      </w:r>
    </w:p>
    <w:p w14:paraId="799FB634" w14:textId="77777777" w:rsidR="00C428FE" w:rsidRPr="00492FD7" w:rsidRDefault="00C428FE" w:rsidP="00492FD7">
      <w:pPr>
        <w:pStyle w:val="NormalHanging"/>
      </w:pPr>
      <w:r w:rsidRPr="00492FD7">
        <w:t>B.</w:t>
      </w:r>
      <w:r w:rsidRPr="00492FD7">
        <w:tab/>
        <w:t>vzhledem k tomu, že finanční služby jsou v EU obecně osvobozeny od daně z přidané hodnoty (DPH); vzhledem k tomu, že finanční instituce nemohou z důvodu tohoto osvobození odečíst DPH zaplacenou na vstupu, což způsobuje „problém nevratné DPH“; vzhledem k tomu, že toto osvobození by mohlo vést k nedostatečné transparentnosti, zvýšit náklady pro spotřebitele a způsobit finančním institucím dodatečné náklady, ovlivnit rozhodování o organizaci a externím zajišťování služeb a umožnit konkurenčnímu znevýhodnění menších, digitálních a přeshraničních poskytovatelů služeb;</w:t>
      </w:r>
    </w:p>
    <w:p w14:paraId="7F1DEC16" w14:textId="77777777" w:rsidR="00C428FE" w:rsidRPr="00492FD7" w:rsidRDefault="00C428FE" w:rsidP="00492FD7">
      <w:pPr>
        <w:pStyle w:val="NormalHanging"/>
      </w:pPr>
      <w:r w:rsidRPr="00492FD7">
        <w:t>C.</w:t>
      </w:r>
      <w:r w:rsidRPr="00492FD7">
        <w:tab/>
        <w:t>vzhledem k tomu, že možnost, aby se finanční instituce přihlásily k povinnosti platit DPH, se v jednotlivých členských státech neuplatňuje jednotně, což zvyšuje administrativní složitost;</w:t>
      </w:r>
    </w:p>
    <w:p w14:paraId="39F70A4B" w14:textId="77777777" w:rsidR="00C428FE" w:rsidRPr="00492FD7" w:rsidRDefault="00C428FE" w:rsidP="00492FD7">
      <w:pPr>
        <w:pStyle w:val="NormalHanging"/>
      </w:pPr>
      <w:r w:rsidRPr="00492FD7">
        <w:t>D.</w:t>
      </w:r>
      <w:r w:rsidRPr="00492FD7">
        <w:tab/>
        <w:t>vzhledem k tomu, že osvobození od DPH pochází z roku 1977, kdy zdanění těchto finančních služeb představovalo značné technické a administrativní obtíže; vzhledem k tomu, že původní technické odůvodnění osvobození od DPH by nyní mohlo být řešeno díky technologickému, digitálnímu a dohledovému pokroku, včetně zpracování údajů v reálném čase a lepších požadavků na podávání zpráv;</w:t>
      </w:r>
    </w:p>
    <w:p w14:paraId="5552B44A" w14:textId="77777777" w:rsidR="00C428FE" w:rsidRPr="00492FD7" w:rsidRDefault="00C428FE" w:rsidP="00492FD7">
      <w:pPr>
        <w:pStyle w:val="NormalHanging"/>
      </w:pPr>
      <w:r w:rsidRPr="00492FD7">
        <w:t>E.</w:t>
      </w:r>
      <w:r w:rsidRPr="00492FD7">
        <w:tab/>
        <w:t>vzhledem k tomu, že několik jurisdikcí po celém světě revidovalo podobná osvobození nebo zavedlo alternativní formy zdanění finančních služeb s cílem řešit nezamýšlené fiskální a konkurenční účinky nevratné DPH a nadále zajišťovat spravedlivý a řádný příspěvek finančního sektoru k veřejným příjmům;</w:t>
      </w:r>
    </w:p>
    <w:p w14:paraId="60DB5AF0" w14:textId="77777777" w:rsidR="00C428FE" w:rsidRPr="00492FD7" w:rsidRDefault="00C428FE" w:rsidP="00492FD7">
      <w:pPr>
        <w:pStyle w:val="NormalHanging"/>
      </w:pPr>
      <w:r w:rsidRPr="00492FD7">
        <w:t>F.</w:t>
      </w:r>
      <w:r w:rsidRPr="00492FD7">
        <w:tab/>
        <w:t xml:space="preserve">vzhledem k tomu, že </w:t>
      </w:r>
      <w:proofErr w:type="spellStart"/>
      <w:r w:rsidRPr="00492FD7">
        <w:t>Lettova</w:t>
      </w:r>
      <w:proofErr w:type="spellEnd"/>
      <w:r w:rsidRPr="00492FD7">
        <w:t xml:space="preserve"> i </w:t>
      </w:r>
      <w:proofErr w:type="spellStart"/>
      <w:r w:rsidRPr="00492FD7">
        <w:t>Draghiho</w:t>
      </w:r>
      <w:proofErr w:type="spellEnd"/>
      <w:r w:rsidRPr="00492FD7">
        <w:t xml:space="preserve"> zprávy zdůrazňují, že daňová roztříštěnost jednotného trhu, včetně administrativních a daňových překážek, brání hospodářskému růstu, obchodu a přeshraničním činnostem; vzhledem k tomu, že vnitřní překážky EU ve skutečnosti ukládají na finanční služby téměř stoprocentní clo; vzhledem k tomu, že tyto regulační a jiné překážky jsou podle </w:t>
      </w:r>
      <w:proofErr w:type="spellStart"/>
      <w:r w:rsidRPr="00492FD7">
        <w:t>Draghiho</w:t>
      </w:r>
      <w:proofErr w:type="spellEnd"/>
      <w:r w:rsidRPr="00492FD7">
        <w:t xml:space="preserve"> pro hospodářský růst mnohem škodlivější než jakákoli cla, která by mohly zavést USA;</w:t>
      </w:r>
    </w:p>
    <w:p w14:paraId="5A3CA425" w14:textId="77777777" w:rsidR="00C428FE" w:rsidRPr="00492FD7" w:rsidRDefault="00C428FE" w:rsidP="00492FD7">
      <w:pPr>
        <w:pStyle w:val="NormalHanging"/>
      </w:pPr>
      <w:r w:rsidRPr="00492FD7">
        <w:t>G.</w:t>
      </w:r>
      <w:r w:rsidRPr="00492FD7">
        <w:tab/>
        <w:t xml:space="preserve">vzhledem k tomu, že podle údajů </w:t>
      </w:r>
      <w:proofErr w:type="spellStart"/>
      <w:r w:rsidRPr="00492FD7">
        <w:t>Eurostatu</w:t>
      </w:r>
      <w:proofErr w:type="spellEnd"/>
      <w:r w:rsidRPr="00492FD7">
        <w:t xml:space="preserve"> je finanční sektor významnou složkou hospodářství EU, která v roce 2022 vytvořila přidanou hodnotu ve výši přibližně 0,9 bilionu EUR, zaměstnávala téměř 5 milionů lidí a vykázala čistý obrat ve výši přibližně 2,4 bilionu EUR; vzhledem k tomu, že toto odvětví přispívá do veřejných financí prostřednictvím daní z příjmů právnických osob, daní ze mzdy a odvodů specifických pro toto odvětví; vzhledem k tomu, že finanční sektor EU hraje ústřední roli při </w:t>
      </w:r>
      <w:r w:rsidRPr="00492FD7">
        <w:lastRenderedPageBreak/>
        <w:t>financování reálné ekonomiky, podpoře inovací a usnadňování investic;</w:t>
      </w:r>
    </w:p>
    <w:p w14:paraId="6371FC0D" w14:textId="31C743E1" w:rsidR="00C428FE" w:rsidRPr="00492FD7" w:rsidRDefault="00C428FE" w:rsidP="00492FD7">
      <w:pPr>
        <w:pStyle w:val="NormalHanging"/>
      </w:pPr>
      <w:r w:rsidRPr="00492FD7">
        <w:t>H.</w:t>
      </w:r>
      <w:r w:rsidRPr="00492FD7">
        <w:tab/>
        <w:t>vzhledem k tomu, že nedávné iniciativy, jako je směrnice Rady 2025/50 ze dne 10. prosince 2024 o rychlejší a bezpečnější úlevě z nadměrných srážkových daní</w:t>
      </w:r>
      <w:r w:rsidR="002F648D">
        <w:rPr>
          <w:rStyle w:val="FootnoteReference"/>
        </w:rPr>
        <w:footnoteReference w:id="7"/>
      </w:r>
      <w:r w:rsidRPr="00492FD7">
        <w:t xml:space="preserve"> (směrnice FASTER), dosáhly významného pokroku při snižování administrativní zátěže a usnadnění přeshraniční hospodářské činnosti v Unii a že podobné úsilí by mělo pokračovat v zájmu dalšího posílení integrace a účinnosti vnitřního trhu;</w:t>
      </w:r>
    </w:p>
    <w:p w14:paraId="26DF6C0B" w14:textId="0E9EC0B6" w:rsidR="00C428FE" w:rsidRPr="00492FD7" w:rsidRDefault="00C428FE" w:rsidP="00492FD7">
      <w:pPr>
        <w:pStyle w:val="NormalHanging"/>
      </w:pPr>
      <w:r w:rsidRPr="00492FD7">
        <w:t>I.</w:t>
      </w:r>
      <w:r w:rsidRPr="00492FD7">
        <w:tab/>
        <w:t>vzhledem k tomu, že Rada odkládá rozhodnutí o návrhu směrnice, kterou se zavádí daňový systém sídla pro mikropodniky a malé a střední podniky a kterou se mění směrnice 2011/16/EU, který předložila Komise, přičemž Parlament legislativní usnesení schválil již dne 10. dubna 2024</w:t>
      </w:r>
      <w:r w:rsidR="002F648D">
        <w:rPr>
          <w:rStyle w:val="FootnoteReference"/>
        </w:rPr>
        <w:footnoteReference w:id="8"/>
      </w:r>
      <w:r w:rsidRPr="00492FD7">
        <w:t>;</w:t>
      </w:r>
    </w:p>
    <w:p w14:paraId="6440BC5C" w14:textId="77777777" w:rsidR="00C428FE" w:rsidRPr="00492FD7" w:rsidRDefault="00C428FE" w:rsidP="00492FD7">
      <w:pPr>
        <w:pStyle w:val="NormalHanging"/>
      </w:pPr>
      <w:r w:rsidRPr="00492FD7">
        <w:t>J.</w:t>
      </w:r>
      <w:r w:rsidRPr="00492FD7">
        <w:tab/>
        <w:t>vzhledem k tomu, že veškeré budoucí iniciativy by měly snižovat roztříštěnost vnitřního trhu a posilovat konkurenceschopnost tím, že zajistí soudržný, předvídatelný a neutrální daňový rámec pro finanční služby a zároveň zohlední rozmanité obchodní modely a daňové interakce ve finančním sektoru EU;</w:t>
      </w:r>
    </w:p>
    <w:p w14:paraId="2286F183" w14:textId="77777777" w:rsidR="00C428FE" w:rsidRPr="00492FD7" w:rsidRDefault="00C428FE" w:rsidP="00492FD7">
      <w:pPr>
        <w:pStyle w:val="NormalHanging"/>
      </w:pPr>
      <w:r w:rsidRPr="00492FD7">
        <w:t>K.</w:t>
      </w:r>
      <w:r w:rsidRPr="00492FD7">
        <w:tab/>
        <w:t>vzhledem k tomu, že zdanění finančních služeb v EU zůstává značně roztříštěné a přístupy jednotlivých států k daním z pojistného, daním z finančních transakcí, bankovním odvodům, daním z finanční činnosti a dalším daním ze zisku se liší; vzhledem k tomu, že tato roztříštěnost vytváří právní nejistotu a složitost, vede k narušením trhu, podporuje vyhýbání se daňovým povinnostem a snižuje konkurenceschopnost EU;</w:t>
      </w:r>
    </w:p>
    <w:p w14:paraId="2DEBEB22" w14:textId="77777777" w:rsidR="00C428FE" w:rsidRPr="00492FD7" w:rsidRDefault="00C428FE" w:rsidP="00492FD7">
      <w:pPr>
        <w:pStyle w:val="NormalHanging"/>
      </w:pPr>
      <w:r w:rsidRPr="00492FD7">
        <w:t>L.</w:t>
      </w:r>
      <w:r w:rsidRPr="00492FD7">
        <w:tab/>
        <w:t>vzhledem k tomu, že unie úspor a investic vyžaduje silnější pobídky pro lidi, aby spořili a investovali na evropských kapitálových trzích; vzhledem k tomu, že dokončení unie úspor a investic vyžaduje komplexní přístup k finanční stabilitě, integraci trhu a ochraně investorů; vzhledem k tomu, že pro úspěch a důvěryhodnost unie úspor a investic je zásadní zajistit významný příspěvek finančního sektoru k veřejným financím, a to, aby tento sektor internalizoval rizika, která vytváří, a podporoval dlouhodobě udržitelné investice;</w:t>
      </w:r>
    </w:p>
    <w:p w14:paraId="4EA84833" w14:textId="77777777" w:rsidR="00C428FE" w:rsidRPr="00492FD7" w:rsidRDefault="00C428FE" w:rsidP="00492FD7">
      <w:pPr>
        <w:pStyle w:val="NormalHanging"/>
      </w:pPr>
      <w:r w:rsidRPr="00492FD7">
        <w:t>M.</w:t>
      </w:r>
      <w:r w:rsidRPr="00492FD7">
        <w:tab/>
        <w:t>vzhledem k tomu, že o daních z finančních transakcí a bankovních poplatcích se diskutovalo po finanční krizi v letech 2008 a 2009; vzhledem k tomu, že cílem těchto opatření bylo kompenzovat náklady krize;</w:t>
      </w:r>
    </w:p>
    <w:p w14:paraId="28E6A5FE" w14:textId="77777777" w:rsidR="00C428FE" w:rsidRPr="00492FD7" w:rsidRDefault="00C428FE" w:rsidP="00492FD7">
      <w:pPr>
        <w:pStyle w:val="NormalHanging"/>
      </w:pPr>
      <w:r w:rsidRPr="00492FD7">
        <w:t>N.</w:t>
      </w:r>
      <w:r w:rsidRPr="00492FD7">
        <w:tab/>
        <w:t>vzhledem k tomu, že v současné době vybírá daň z finančních transakcí nejméně sedm členských států; vzhledem k tomu, že tyto členské státy nekoordinují své daně z finančních transakcí co do rozsahu, sazby ani uplatňování; vzhledem k tomu, že navzdory několika legislativním návrhům Komise od roku 2011 nebylo dosaženo dohody o celounijní dani z finančních transakcí;</w:t>
      </w:r>
    </w:p>
    <w:p w14:paraId="337AD678" w14:textId="77777777" w:rsidR="00C428FE" w:rsidRPr="00492FD7" w:rsidRDefault="00C428FE" w:rsidP="00492FD7">
      <w:pPr>
        <w:pStyle w:val="NormalHanging"/>
      </w:pPr>
      <w:r w:rsidRPr="00492FD7">
        <w:t>O.</w:t>
      </w:r>
      <w:r w:rsidRPr="00492FD7">
        <w:tab/>
        <w:t xml:space="preserve">vzhledem k tomu, že Parlament soustavně podporuje zavedení celounijní daně z finančních transakcí, a to i jako možného vlastního zdroje, naposledy ve svém usnesení z května 2023; vzhledem k tomu, že Komise ve svém pracovním programu na </w:t>
      </w:r>
      <w:r w:rsidRPr="00492FD7">
        <w:lastRenderedPageBreak/>
        <w:t>rok 2026 navrhla stažení svého předchozího návrhu ohledně daně z finančních transakcí kvůli nedostatečné shodě mezi členskými státy a nedosažení dohody;</w:t>
      </w:r>
    </w:p>
    <w:p w14:paraId="0A82813B" w14:textId="77777777" w:rsidR="00C428FE" w:rsidRPr="00492FD7" w:rsidRDefault="00C428FE" w:rsidP="00492FD7">
      <w:pPr>
        <w:pStyle w:val="NormalHanging"/>
      </w:pPr>
      <w:r w:rsidRPr="00492FD7">
        <w:t>P.</w:t>
      </w:r>
      <w:r w:rsidRPr="00492FD7">
        <w:tab/>
        <w:t>vzhledem k tomu, že členské státy nadále zavádějí dočasné daně z neočekávaných zisků nebo solidární odvody z bankovních zisků s cílem řešit mimořádný nárůst ziskovosti způsobený měnovou politikou;</w:t>
      </w:r>
    </w:p>
    <w:p w14:paraId="4BA45A6C" w14:textId="77777777" w:rsidR="00C428FE" w:rsidRPr="00492FD7" w:rsidRDefault="00C428FE" w:rsidP="00492FD7">
      <w:pPr>
        <w:pStyle w:val="Normal12a"/>
        <w:ind w:left="566" w:hanging="566"/>
      </w:pPr>
      <w:r w:rsidRPr="00492FD7">
        <w:rPr>
          <w:b/>
          <w:i/>
        </w:rPr>
        <w:t>Řešení daňové roztříštěnosti finančního sektoru a zvýšení jeho konkurenceschopnosti</w:t>
      </w:r>
    </w:p>
    <w:p w14:paraId="7B2DBE97" w14:textId="5B6316F7" w:rsidR="00C428FE" w:rsidRPr="00492FD7" w:rsidRDefault="00C428FE" w:rsidP="00492FD7">
      <w:pPr>
        <w:pStyle w:val="NormalHanging12a"/>
      </w:pPr>
      <w:r w:rsidRPr="00492FD7">
        <w:t>1.</w:t>
      </w:r>
      <w:r w:rsidRPr="00492FD7">
        <w:tab/>
        <w:t xml:space="preserve">konstatuje, že </w:t>
      </w:r>
      <w:r w:rsidR="00031929" w:rsidRPr="00031929">
        <w:t>po velké finanční krizi</w:t>
      </w:r>
      <w:r w:rsidRPr="00492FD7">
        <w:t xml:space="preserve"> zavedly členské státy 91 odvětvových daní s cílem zdanit finanční sektor a zmírnit tyto ztráty příjmů, což vedlo k vysoce roztříštěnému daňovému prostředí; uvádí, že toto roztříštěné daňové prostředí způsobuje dodatečné provozní a administrativní náklady a zvyšuje strukturální překážky pro přeshraniční expanzi poskytovatelů finančních služeb, což oslabuje finanční sektor EU a jeho investiční kapacitu a podkopává cíle unie úspor a investic a bankovní unie;</w:t>
      </w:r>
    </w:p>
    <w:p w14:paraId="00F3E6BB" w14:textId="35435FC6" w:rsidR="00C428FE" w:rsidRPr="00492FD7" w:rsidRDefault="00F6681A" w:rsidP="00492FD7">
      <w:pPr>
        <w:pStyle w:val="NormalHanging12a"/>
      </w:pPr>
      <w:r>
        <w:t>2</w:t>
      </w:r>
      <w:r w:rsidR="00C428FE" w:rsidRPr="00492FD7">
        <w:t>.</w:t>
      </w:r>
      <w:r w:rsidR="00C428FE" w:rsidRPr="00492FD7">
        <w:tab/>
        <w:t>konstatuje, že rozdíly ve vnitrostátních daňových režimech odrážejí domácí politická rozhodnutí; poznamenává, že na mezinárodní úrovni probíhají práce týkající se přesouvání zisku; vyzývá k posílení koordinace na úrovni EU, a to i při provádění směrnice o druhém pilíři, zavedení spolehlivých pravidel proti vyhýbání se daňovým povinnostem a požadavků na transparentnost, zejména v oblasti veřejného podávání zpráv podle jednotlivých zemí;</w:t>
      </w:r>
    </w:p>
    <w:p w14:paraId="27E75460" w14:textId="74BDF0DD" w:rsidR="00C428FE" w:rsidRPr="00492FD7" w:rsidRDefault="00F6681A" w:rsidP="00492FD7">
      <w:pPr>
        <w:pStyle w:val="NormalHanging12a"/>
      </w:pPr>
      <w:r>
        <w:t>3</w:t>
      </w:r>
      <w:r w:rsidR="00C428FE" w:rsidRPr="00492FD7">
        <w:t>.</w:t>
      </w:r>
      <w:r w:rsidR="00C428FE" w:rsidRPr="00492FD7">
        <w:tab/>
        <w:t>konstatuje, že roztříštěnost vnitrostátních daňových režimů zvyšuje riziko přeshraničního dvojího zdanění a v důsledku administrativní a právní složitosti může brzdit růst finančního sektoru EU a představovat překážku hlubší integrace finančních trhů EU; zdůrazňuje, že zásadní význam by mělo mít i nadále zamezení dvojímu zdanění a snížení administrativní zátěže; poukazuje však na to, že snahy o zjednodušení nesmí vést k deregulaci nebo k závodům o co nejnižší daňové standardy;</w:t>
      </w:r>
    </w:p>
    <w:p w14:paraId="709CA271" w14:textId="35CE487F" w:rsidR="00C428FE" w:rsidRPr="00492FD7" w:rsidRDefault="00F6681A" w:rsidP="00492FD7">
      <w:pPr>
        <w:pStyle w:val="NormalHanging12a"/>
      </w:pPr>
      <w:r>
        <w:t>4</w:t>
      </w:r>
      <w:r w:rsidR="00C428FE" w:rsidRPr="00492FD7">
        <w:t>.</w:t>
      </w:r>
      <w:r w:rsidR="00C428FE" w:rsidRPr="00492FD7">
        <w:tab/>
        <w:t>zdůrazňuje, že rozdíly ve vnitrostátních postupech pro výběr srážkové daně vytvářejí administrativní zátěž a překážky pro přeshraniční investice, jak je uvedeno ve strategii Komise pro unii úspor a investic; vítá přijetí směrnice o rychlejší a spolehlivější úlevě z nadměrných srážkových daní; vyzývá k dalšímu pokroku směrem ke koordinovanějšímu a ambicióznějšímu rámci;</w:t>
      </w:r>
    </w:p>
    <w:p w14:paraId="4410BDE7" w14:textId="45BFED81" w:rsidR="00C428FE" w:rsidRPr="00492FD7" w:rsidRDefault="00F6681A" w:rsidP="00492FD7">
      <w:pPr>
        <w:pStyle w:val="NormalHanging12a"/>
      </w:pPr>
      <w:r>
        <w:t>5</w:t>
      </w:r>
      <w:r w:rsidR="00C428FE" w:rsidRPr="00492FD7">
        <w:t>.</w:t>
      </w:r>
      <w:r w:rsidR="00C428FE" w:rsidRPr="00492FD7">
        <w:tab/>
        <w:t>vyzývá Radu, aby rozhodla o návrhu směrnice Rady, kterou se zavádí daňový systém sídla pro mikropodniky a malé a střední podniky a kterou se mění směrnice 2011/16/EU, který předložila Komise, a aby řádně zohlednila legislativní usnesení Parlamentu ze dne 10. dubna 2024;</w:t>
      </w:r>
    </w:p>
    <w:p w14:paraId="515217EA" w14:textId="6F073EA2" w:rsidR="00C428FE" w:rsidRPr="00492FD7" w:rsidRDefault="00F6681A" w:rsidP="00492FD7">
      <w:pPr>
        <w:pStyle w:val="NormalHanging12a"/>
      </w:pPr>
      <w:r>
        <w:t>6</w:t>
      </w:r>
      <w:r w:rsidR="00C428FE" w:rsidRPr="00492FD7">
        <w:t>.</w:t>
      </w:r>
      <w:r w:rsidR="00C428FE" w:rsidRPr="00492FD7">
        <w:tab/>
        <w:t xml:space="preserve">dále konstatuje, že stávající daňová pravidla plně nedrží krok s nástupem nových finančních produktů a tržních infrastruktur; zdůrazňuje, že roztříštěnost se rychle stává stále znepokojivější v souvislosti s úspěchem </w:t>
      </w:r>
      <w:proofErr w:type="spellStart"/>
      <w:r w:rsidR="00C428FE" w:rsidRPr="00492FD7">
        <w:t>neobank</w:t>
      </w:r>
      <w:proofErr w:type="spellEnd"/>
      <w:r w:rsidR="00C428FE" w:rsidRPr="00492FD7">
        <w:t xml:space="preserve">, jako jsou čistě digitální banky, </w:t>
      </w:r>
      <w:proofErr w:type="spellStart"/>
      <w:r w:rsidR="00C428FE" w:rsidRPr="00492FD7">
        <w:t>challenger</w:t>
      </w:r>
      <w:proofErr w:type="spellEnd"/>
      <w:r w:rsidR="00C428FE" w:rsidRPr="00492FD7">
        <w:t xml:space="preserve"> banky nebo fintech banky; poukazuje na výrazný nárůst podílu přeshraničních vkladů v držení těchto bank v posledních šesti letech; zdůrazňuje, že rozdíly v daňových pravidlech mezi bankami a nebankovními subjekty mohou vést k narušení hospodářské soutěže;</w:t>
      </w:r>
    </w:p>
    <w:p w14:paraId="556C5368" w14:textId="467FB082" w:rsidR="00C428FE" w:rsidRPr="00492FD7" w:rsidRDefault="00F6681A" w:rsidP="00492FD7">
      <w:pPr>
        <w:pStyle w:val="NormalHanging12a"/>
      </w:pPr>
      <w:r>
        <w:t>7</w:t>
      </w:r>
      <w:r w:rsidR="00C428FE" w:rsidRPr="00492FD7">
        <w:t>.</w:t>
      </w:r>
      <w:r w:rsidR="00C428FE" w:rsidRPr="00492FD7">
        <w:tab/>
        <w:t xml:space="preserve">poukazuje na to, že nedostatečné údaje o skutečném daňovém zatížení ve finančním sektoru EU brání tvorbě politiky založené na důkazech a hodnocení dopadů politiky na </w:t>
      </w:r>
      <w:r w:rsidR="00C428FE" w:rsidRPr="00492FD7">
        <w:lastRenderedPageBreak/>
        <w:t>chování trhu, hospodářskou soutěž a finanční stabilitu; zdůrazňuje, že je třeba zlepšit transparentnost a </w:t>
      </w:r>
      <w:r w:rsidR="00781E5A" w:rsidRPr="00781E5A">
        <w:t>lépe využívat stávající údaje</w:t>
      </w:r>
      <w:r w:rsidR="00C428FE" w:rsidRPr="00492FD7">
        <w:t>, což je předpokladem pro soudržnou reformu zdanění finančního sektoru;</w:t>
      </w:r>
    </w:p>
    <w:p w14:paraId="37C8B019" w14:textId="2BA33974" w:rsidR="00C428FE" w:rsidRPr="00492FD7" w:rsidRDefault="00F6681A" w:rsidP="00492FD7">
      <w:pPr>
        <w:pStyle w:val="NormalHanging12a"/>
      </w:pPr>
      <w:r>
        <w:t>8</w:t>
      </w:r>
      <w:r w:rsidR="00C428FE" w:rsidRPr="00492FD7">
        <w:t>.</w:t>
      </w:r>
      <w:r w:rsidR="00C428FE" w:rsidRPr="00492FD7">
        <w:tab/>
        <w:t>poukazuje na to, že odstranění daňových překážek pro přeshraniční investice prostřednictvím soudržných pravidel na úrovni EU by snížilo náklady na dodržování předpisů, zlepšilo efektivitu trhu, zvýšilo právní jasnost přeshraničních kapitálových toků a posílilo konkurenceschopnost finančních služeb v EU a současně omezilo daňové úniky a agresivní daňové plánování; zdůrazňuje, že je třeba vytvořit soudržný soubor pravidel pro finanční sektor EU a zároveň respektovat daňovou suverenitu členských států a zásadu subsidiarity; zdůrazňuje, že zdanění finančních služeb by mělo pomoci zachovat konkurenceschopnost finančního sektoru;</w:t>
      </w:r>
    </w:p>
    <w:p w14:paraId="29187777" w14:textId="2FDFE2E5" w:rsidR="00C428FE" w:rsidRPr="00492FD7" w:rsidRDefault="00F6681A" w:rsidP="00492FD7">
      <w:pPr>
        <w:pStyle w:val="NormalHanging12a"/>
      </w:pPr>
      <w:r>
        <w:t>9</w:t>
      </w:r>
      <w:r w:rsidR="00C428FE" w:rsidRPr="00492FD7">
        <w:t>.</w:t>
      </w:r>
      <w:r w:rsidR="00C428FE" w:rsidRPr="00492FD7">
        <w:tab/>
        <w:t>konstatuje, že podle Evropské makroekonomické zprávy Komise za rok 2026</w:t>
      </w:r>
      <w:r w:rsidR="002F648D">
        <w:rPr>
          <w:rStyle w:val="FootnoteReference"/>
        </w:rPr>
        <w:footnoteReference w:id="9"/>
      </w:r>
      <w:r w:rsidR="00C428FE" w:rsidRPr="00492FD7">
        <w:t xml:space="preserve"> zůstává míra úspor domácností v EU výrazně nad průměrem zemí Organizace pro hospodářskou spolupráci a rozvoj; lituje, že přibližně třetina těchto úspor je investována mimo EU, což ukazuje na nedostatky finančního rámce EU při udržování investic; vyzývá Komisi, aby posoudila, jak daňová opatření mohou podpořit tok investic do EU; zdůrazňuje, že je důležité odrazovat od odlivu finančních prostředků do zemí uvedených na seznamu nespolupracujících jurisdikcí EU;</w:t>
      </w:r>
    </w:p>
    <w:p w14:paraId="2AABD58A" w14:textId="3B10372B" w:rsidR="00C428FE" w:rsidRPr="00492FD7" w:rsidRDefault="00C428FE" w:rsidP="00492FD7">
      <w:pPr>
        <w:pStyle w:val="NormalHanging12a"/>
      </w:pPr>
      <w:r w:rsidRPr="00492FD7">
        <w:t>1</w:t>
      </w:r>
      <w:r w:rsidR="00F6681A">
        <w:t>0</w:t>
      </w:r>
      <w:r w:rsidRPr="00492FD7">
        <w:t>.</w:t>
      </w:r>
      <w:r w:rsidRPr="00492FD7">
        <w:tab/>
        <w:t>zdůrazňuje, že je důležité pokročit v unii úspor a investic s cílem mobilizovat úspory pro produktivní investice; domnívá se, že snížení daňové roztříštěnosti a zlepšení přeshraničních investičních kanálů jsou klíčem k mobilizaci evropských úspor pro investice v rámci EU;</w:t>
      </w:r>
    </w:p>
    <w:p w14:paraId="1D2BE9A6" w14:textId="78214D80" w:rsidR="00C428FE" w:rsidRPr="00492FD7" w:rsidRDefault="00C428FE" w:rsidP="00492FD7">
      <w:pPr>
        <w:pStyle w:val="NormalHanging12a"/>
      </w:pPr>
      <w:r w:rsidRPr="00492FD7">
        <w:t>1</w:t>
      </w:r>
      <w:r w:rsidR="00F6681A">
        <w:t>1</w:t>
      </w:r>
      <w:r w:rsidRPr="00492FD7">
        <w:t>.</w:t>
      </w:r>
      <w:r w:rsidRPr="00492FD7">
        <w:tab/>
        <w:t>poukazuje na to, že daňový rámec pro finanční služby by měl být navržen souběžně s cíli unie úspor a investic a měl by se zaměřit na zvýšení účinnosti, řešení narušení trhu a podporu investic a dlouhodobého růstu a zároveň zajistit vyvážený přístup, který bude odrážet i širší hospodářské a sociální aspekty;</w:t>
      </w:r>
    </w:p>
    <w:p w14:paraId="38AF48F7" w14:textId="30A72262" w:rsidR="00C428FE" w:rsidRPr="00492FD7" w:rsidRDefault="00C428FE" w:rsidP="00492FD7">
      <w:pPr>
        <w:pStyle w:val="NormalHanging12a"/>
      </w:pPr>
      <w:r w:rsidRPr="00492FD7">
        <w:t>1</w:t>
      </w:r>
      <w:r w:rsidR="00F6681A">
        <w:t>2</w:t>
      </w:r>
      <w:r w:rsidRPr="00492FD7">
        <w:t>.</w:t>
      </w:r>
      <w:r w:rsidRPr="00492FD7">
        <w:tab/>
        <w:t>konstatuje, že zdanění finančního sektoru by se mělo řídit zásadami jednoduchosti, neutrality, spravedlnosti, hospodářské, environmentální a sociální udržitelnosti a právní jistoty; uvádí, že by mělo rovněž odrážet cyklickou dynamiku ziskovosti bank spojenou s měnovou politikou a hospodářskými podmínkami;</w:t>
      </w:r>
    </w:p>
    <w:p w14:paraId="378F0665" w14:textId="16DEDF3F" w:rsidR="00C428FE" w:rsidRPr="00492FD7" w:rsidRDefault="00C428FE" w:rsidP="00492FD7">
      <w:pPr>
        <w:pStyle w:val="NormalHanging12a"/>
      </w:pPr>
      <w:r w:rsidRPr="00492FD7">
        <w:t>1</w:t>
      </w:r>
      <w:r w:rsidR="00F6681A">
        <w:t>3</w:t>
      </w:r>
      <w:r w:rsidRPr="00492FD7">
        <w:t>.</w:t>
      </w:r>
      <w:r w:rsidRPr="00492FD7">
        <w:tab/>
        <w:t>vyzývá Komisi, aby dostála svému závazku navrhnout inovativní řešení zdanění tohoto odvětví, která omezí roztříštěnost, podpoří další integraci na úrovni EU a pomohou dokončit unii úspor a investic;</w:t>
      </w:r>
    </w:p>
    <w:p w14:paraId="04F5224B" w14:textId="77777777" w:rsidR="00C428FE" w:rsidRPr="00492FD7" w:rsidRDefault="00C428FE" w:rsidP="00492FD7">
      <w:pPr>
        <w:pStyle w:val="Normal12a"/>
        <w:ind w:left="566" w:hanging="566"/>
      </w:pPr>
      <w:r w:rsidRPr="00492FD7">
        <w:rPr>
          <w:b/>
          <w:i/>
        </w:rPr>
        <w:t>Řešení režimu DPH pro finanční služby</w:t>
      </w:r>
    </w:p>
    <w:p w14:paraId="4B31434E" w14:textId="7F273EF6" w:rsidR="00C428FE" w:rsidRPr="00492FD7" w:rsidRDefault="00C428FE" w:rsidP="00492FD7">
      <w:pPr>
        <w:pStyle w:val="NormalHanging12a"/>
      </w:pPr>
      <w:r w:rsidRPr="00492FD7">
        <w:t>1</w:t>
      </w:r>
      <w:r w:rsidR="00F6681A">
        <w:t>4</w:t>
      </w:r>
      <w:r w:rsidRPr="00492FD7">
        <w:t>.</w:t>
      </w:r>
      <w:r w:rsidRPr="00492FD7">
        <w:tab/>
        <w:t>konstatuje, že osvobození finančních služeb od DPH pochází z roku 1977 a sloužilo k překonání technických obtíží při uplatňování DPH na složité finanční činnosti, které bylo považováno za administrativně neproveditelné; uznává, že původní technické odůvodnění pro osvobození od DPH by nyní mohlo být řešeno díky technologickému pokroku a digitalizaci;</w:t>
      </w:r>
    </w:p>
    <w:p w14:paraId="3BEFD9AF" w14:textId="1FA763B9" w:rsidR="00C428FE" w:rsidRPr="00492FD7" w:rsidRDefault="00C428FE" w:rsidP="00492FD7">
      <w:pPr>
        <w:pStyle w:val="NormalHanging12a"/>
      </w:pPr>
      <w:r w:rsidRPr="00492FD7">
        <w:lastRenderedPageBreak/>
        <w:t>1</w:t>
      </w:r>
      <w:r w:rsidR="00F6681A">
        <w:t>5</w:t>
      </w:r>
      <w:r w:rsidRPr="00492FD7">
        <w:t>.</w:t>
      </w:r>
      <w:r w:rsidRPr="00492FD7">
        <w:tab/>
        <w:t>poznamenává, že osvobození nemusí nutně představovat výhodu pro finanční instituce, neboť jim brání v navrácení DPH; zastává názor, že současný stav vede k přetrvávajícím narušením trhu, může vytvářet nedostatečnou transparentnost a zvyšuje náklady pro zákazníky, posiluje tendenci k plnění sobě samému ve finančním sektoru a vytváří konkurenční nevýhody ve srovnání s institucemi ze třetích zemí;</w:t>
      </w:r>
    </w:p>
    <w:p w14:paraId="7B7ED9F3" w14:textId="73A96986" w:rsidR="00C428FE" w:rsidRPr="00492FD7" w:rsidRDefault="00C428FE" w:rsidP="00492FD7">
      <w:pPr>
        <w:pStyle w:val="NormalHanging12a"/>
      </w:pPr>
      <w:r w:rsidRPr="00492FD7">
        <w:t>1</w:t>
      </w:r>
      <w:r w:rsidR="00F6681A">
        <w:t>6</w:t>
      </w:r>
      <w:r w:rsidRPr="00492FD7">
        <w:t>.</w:t>
      </w:r>
      <w:r w:rsidRPr="00492FD7">
        <w:tab/>
        <w:t>zdůrazňuje, že osvobození od DPH je často udělováno činnostem obecného zájmu jako uznání za jejich zásadní sociální funkci; poukazuje na to, že některé základní finanční služby – zejména platební služby, přijímání vkladů a poskytování základních úvěrů – mohou plnit srovnatelnou kvazi-veřejně prospěšnou funkci tím, že chrání úspory, usnadňují hospodářskou výměnu a zajišťují, aby se občané a podniky mohli bezpečně zapojit do ekonomiky;</w:t>
      </w:r>
    </w:p>
    <w:p w14:paraId="4C7C3524" w14:textId="45423829" w:rsidR="00C428FE" w:rsidRPr="00492FD7" w:rsidRDefault="00C428FE" w:rsidP="00492FD7">
      <w:pPr>
        <w:pStyle w:val="NormalHanging12a"/>
      </w:pPr>
      <w:r w:rsidRPr="00492FD7">
        <w:t>1</w:t>
      </w:r>
      <w:r w:rsidR="00F6681A">
        <w:t>7</w:t>
      </w:r>
      <w:r w:rsidRPr="00492FD7">
        <w:t>.</w:t>
      </w:r>
      <w:r w:rsidRPr="00492FD7">
        <w:tab/>
        <w:t>konstatuje, že opakované iniciativy Komise, včetně jejích návrhů z roku 2007 a počátečního posouzení dopadů z roku 2020, nevedly k reformě osvobození finančního sektoru od DPH, neboť členské státy nedokázaly dosáhnout jednomyslné shody; upozorňuje, že Komise naposledy zamýšlela zveřejnit změny směrnice o DPH</w:t>
      </w:r>
      <w:r w:rsidR="002F648D">
        <w:rPr>
          <w:rStyle w:val="FootnoteReference"/>
        </w:rPr>
        <w:footnoteReference w:id="10"/>
      </w:r>
      <w:r w:rsidRPr="00492FD7">
        <w:t xml:space="preserve"> na začátku roku 2023; konstatuje, že tyto plány byly zastaveny a tato zásadní reforma stále není dokončena;</w:t>
      </w:r>
    </w:p>
    <w:p w14:paraId="540F7547" w14:textId="187147C0" w:rsidR="00C428FE" w:rsidRPr="00492FD7" w:rsidRDefault="00C428FE" w:rsidP="00492FD7">
      <w:pPr>
        <w:pStyle w:val="NormalHanging12a"/>
      </w:pPr>
      <w:r w:rsidRPr="00492FD7">
        <w:t>1</w:t>
      </w:r>
      <w:r w:rsidR="00F6681A">
        <w:t>8</w:t>
      </w:r>
      <w:r w:rsidRPr="00492FD7">
        <w:t>.</w:t>
      </w:r>
      <w:r w:rsidRPr="00492FD7">
        <w:tab/>
        <w:t>konstatuje, že podle článku 11 směrnice o DPH zůstává seskupení pro účely DPH pro členské státy nepovinné a je omezeno územními omezeními, což vytváří právní a praktické překážky pro přeshraniční skupiny působící v oblasti finančních služeb;</w:t>
      </w:r>
    </w:p>
    <w:p w14:paraId="7012FE68" w14:textId="4CDA55D5" w:rsidR="00C428FE" w:rsidRPr="00492FD7" w:rsidRDefault="00F6681A" w:rsidP="00492FD7">
      <w:pPr>
        <w:pStyle w:val="NormalHanging12a"/>
      </w:pPr>
      <w:r>
        <w:t>19</w:t>
      </w:r>
      <w:r w:rsidR="00C428FE" w:rsidRPr="00492FD7">
        <w:t>.</w:t>
      </w:r>
      <w:r w:rsidR="00C428FE" w:rsidRPr="00492FD7">
        <w:tab/>
        <w:t>poukazuje na to, že navzdory používání seskupení pro účely DPH a režimů sdílení nákladů v některých členských státech vytváří osvobození od DPH v kombinaci s různými vnitrostátními kompenzačními daňovými pravidly, jako jsou daně z pojistného, složité a roztříštěné daňové prostředí, které prodražuje přeshraniční dodržování daňových předpisů a zvyšuje provozní náklady podniků; zdůrazňuje, že ke snížení této zátěže, zajištění jednotného uplatňování pravidel v celé EU, usnadnění přeshraniční činnosti a podpoře inovací je zapotřebí jasněji definovat DPH a zjednodušit pravidla;</w:t>
      </w:r>
    </w:p>
    <w:p w14:paraId="23B6BEEA" w14:textId="6F1BB859" w:rsidR="00C428FE" w:rsidRPr="00492FD7" w:rsidRDefault="00C428FE" w:rsidP="00492FD7">
      <w:pPr>
        <w:pStyle w:val="NormalHanging12a"/>
      </w:pPr>
      <w:r w:rsidRPr="00492FD7">
        <w:t>2</w:t>
      </w:r>
      <w:r w:rsidR="00F6681A">
        <w:t>0</w:t>
      </w:r>
      <w:r w:rsidRPr="00492FD7">
        <w:t>.</w:t>
      </w:r>
      <w:r w:rsidRPr="00492FD7">
        <w:tab/>
        <w:t>konstatuje, že seskupení pro účely DPH, které může snížit administrativní zátěž finančních institucí a zlepšit jejich účinnost, se v současné době v jednotlivých členských státech uplatňuje nerovnoměrně a obecně se omezuje na subjekty usazené v jednom členském státě; zdůrazňuje, že větší sbližování při uplatňování seskupení pro účely DPH by mohlo omezit roztříštěnost a právní nejistotu na vnitřním trhu a usnadnit přeshraniční činnost v oblasti finančních služeb;</w:t>
      </w:r>
    </w:p>
    <w:p w14:paraId="34C6D679" w14:textId="157C24B9" w:rsidR="00C428FE" w:rsidRPr="00492FD7" w:rsidRDefault="00C428FE" w:rsidP="00492FD7">
      <w:pPr>
        <w:pStyle w:val="NormalHanging12a"/>
      </w:pPr>
      <w:r w:rsidRPr="00492FD7">
        <w:t>2</w:t>
      </w:r>
      <w:r w:rsidR="00F6681A">
        <w:t>1</w:t>
      </w:r>
      <w:r w:rsidRPr="00492FD7">
        <w:t>.</w:t>
      </w:r>
      <w:r w:rsidRPr="00492FD7">
        <w:tab/>
        <w:t xml:space="preserve">vyzývá Komisi, aby vybízela členské státy k jednotnému uplatňování seskupení pro účely DPH a aby prozkoumala možnosti jasnějšího právního rámce, včetně možnosti přeshraničního seskupení pro účely DPH; zdůrazňuje, že širší využívání seskupení pro účely DPH pro finanční a pojišťovací služby musí být v souladu s pravidly pro daň z příjmu právnických osob, zejména s pravidly pro stanovování převodních cen, a musí být doprovázeno závaznými zárukami proti zneužívání, aby se zabránilo podvodům a </w:t>
      </w:r>
      <w:r w:rsidRPr="00492FD7">
        <w:lastRenderedPageBreak/>
        <w:t>vyhýbání se daňovým povinnostem, úniku DPH v rámci skupiny a zneužívání sdílení nákladů;</w:t>
      </w:r>
    </w:p>
    <w:p w14:paraId="4B1EB407" w14:textId="56998062" w:rsidR="00C428FE" w:rsidRPr="00492FD7" w:rsidRDefault="00C428FE" w:rsidP="00492FD7">
      <w:pPr>
        <w:pStyle w:val="NormalHanging12a"/>
      </w:pPr>
      <w:r w:rsidRPr="00492FD7">
        <w:t>2</w:t>
      </w:r>
      <w:r w:rsidR="00F6681A">
        <w:t>2</w:t>
      </w:r>
      <w:r w:rsidRPr="00492FD7">
        <w:t>.</w:t>
      </w:r>
      <w:r w:rsidRPr="00492FD7">
        <w:tab/>
        <w:t xml:space="preserve">konstatuje, že ve směrnici o DPH chybí konkrétní ustanovení pro nově vznikající finanční nástroje, včetně </w:t>
      </w:r>
      <w:proofErr w:type="spellStart"/>
      <w:r w:rsidRPr="00492FD7">
        <w:t>kryptoaktiv</w:t>
      </w:r>
      <w:proofErr w:type="spellEnd"/>
      <w:r w:rsidRPr="00492FD7">
        <w:t>, decentralizovaného financování a finančních technologií; zdůrazňuje, že směrnice navíc neřeší režim DPH pro deriváty a že režim pro investiční fondy se v jednotlivých členských státech nadále liší; konstatuje, že to vedlo k rozdílným výkladům pravidel DPH v jednotlivých zemích, právní nejistotě pro poskytovatele služeb a nerovnému zacházení s tradičními a novými finančními službami a může to bránit inovacím a konkurenceschopnosti;</w:t>
      </w:r>
    </w:p>
    <w:p w14:paraId="73ED42BD" w14:textId="59DF0BC3" w:rsidR="00C428FE" w:rsidRPr="00492FD7" w:rsidRDefault="00C428FE" w:rsidP="00492FD7">
      <w:pPr>
        <w:pStyle w:val="NormalHanging12a"/>
      </w:pPr>
      <w:r w:rsidRPr="00492FD7">
        <w:t>2</w:t>
      </w:r>
      <w:r w:rsidR="00F6681A">
        <w:t>3</w:t>
      </w:r>
      <w:r w:rsidRPr="00492FD7">
        <w:t>.</w:t>
      </w:r>
      <w:r w:rsidRPr="00492FD7">
        <w:tab/>
        <w:t>zdůrazňuje, že moderní daňový rámec by měl podporovat inovace v oblasti finančních technologií a digitálních financí a neměl by vytvářet regulační překážky pro nové účastníky trhu; vyzývá Komisi, aby vyjasnila režim DPH u nově vznikajících finančních služeb, a zajistila tak technologickou neutralitu a rovné podmínky v celé EU;</w:t>
      </w:r>
    </w:p>
    <w:p w14:paraId="70263076" w14:textId="5CD321B6" w:rsidR="00C428FE" w:rsidRPr="00492FD7" w:rsidRDefault="00C428FE" w:rsidP="00492FD7">
      <w:pPr>
        <w:pStyle w:val="NormalHanging12a"/>
      </w:pPr>
      <w:r w:rsidRPr="00492FD7">
        <w:t>2</w:t>
      </w:r>
      <w:r w:rsidR="00F6681A">
        <w:t>4</w:t>
      </w:r>
      <w:r w:rsidRPr="00492FD7">
        <w:t>.</w:t>
      </w:r>
      <w:r w:rsidRPr="00492FD7">
        <w:tab/>
        <w:t>domnívá se, že široké a nediferencované osvobození celého finančního sektoru od DPH vyvolává otázky ohledně celkové soudržnosti a vyváženosti daňového systému; zdůrazňuje, že reforma osvobození od DPH by mohla omezit narušení trhu a výši nevratné DPH, aniž by vytvářela nepřiměřenou administrativní složitost; konstatuje, že možnosti zrušení osvobození od DPH by mohly účinně odstranit nevratnou DPH tím, že by finančním institucím umožnily plně požadovat vrácení DPH, kterou platí za zboží a služby používané při svých operacích; poukazuje na to, že by se tím odstranilo současné upřednostňování interního zajišťování služeb namísto jejich externího zajišťování, což může omezovat schopnost společnosti specializovat se, mít přístup k externím odborným znalostem a inovovat; uznává, že tato reforma by rovněž mohla zajistit rovné podmínky ve vztahu k jiným jurisdikcím a posílit mezinárodní konkurenceschopnost finančních institucí EU;</w:t>
      </w:r>
    </w:p>
    <w:p w14:paraId="041E1CFA" w14:textId="2AC13635" w:rsidR="00C428FE" w:rsidRPr="00492FD7" w:rsidRDefault="00C428FE" w:rsidP="00492FD7">
      <w:pPr>
        <w:pStyle w:val="NormalHanging12a"/>
      </w:pPr>
      <w:r w:rsidRPr="00492FD7">
        <w:t>2</w:t>
      </w:r>
      <w:r w:rsidR="00F6681A">
        <w:t>5</w:t>
      </w:r>
      <w:r w:rsidRPr="00492FD7">
        <w:t>.</w:t>
      </w:r>
      <w:r w:rsidRPr="00492FD7">
        <w:tab/>
        <w:t>připomíná, že DPH je harmonizovaný daňový rámec na úrovni EU, ačkoli si členské státy ponechávají určitý prostor pro jeho provádění; uznává proto, že reforma systému DPH pro finanční služby by se měla řešit na úrovni EU;</w:t>
      </w:r>
    </w:p>
    <w:p w14:paraId="124A4AE9" w14:textId="08518F65" w:rsidR="00C428FE" w:rsidRPr="00492FD7" w:rsidRDefault="00C428FE" w:rsidP="00492FD7">
      <w:pPr>
        <w:pStyle w:val="NormalHanging12a"/>
      </w:pPr>
      <w:r w:rsidRPr="001C345C">
        <w:t>2</w:t>
      </w:r>
      <w:r w:rsidR="00F6681A" w:rsidRPr="00AF55DD">
        <w:t>6</w:t>
      </w:r>
      <w:r w:rsidRPr="001C345C">
        <w:t>.</w:t>
      </w:r>
      <w:r w:rsidRPr="001C345C">
        <w:tab/>
        <w:t>vyzývá Komisi, aby přezkoumala dopady stávajícího režimu DPH na finanční sektor a aby tuto analýzu veřejně sdílela; žádá Komisi, aby zvážila politické možnosti řešení zjištěných rušivých dopadů; zdůrazňuje, že taková reforma by měla snížit nevratnou DPH a roztříštěné uplatňování pravidel, zlepšit právní jistotu a daňovou spravedlnost a posílit konkurenceschopnost finančních trhů EU a zároveň zachovat finanční stabilitu a minimalizovat regulatorní arbitráž mezi členskými státy; poukazuje na to, že podobná reforma musí rovněž chránit spotřebitele a nadále zajišťovat, aby finanční sektor spravedlivě přispíval k veřejným příjmům;</w:t>
      </w:r>
    </w:p>
    <w:p w14:paraId="472886F0" w14:textId="3BF6C8B8" w:rsidR="00C428FE" w:rsidRPr="00492FD7" w:rsidRDefault="00C428FE" w:rsidP="00492FD7">
      <w:pPr>
        <w:pStyle w:val="NormalHanging12a"/>
      </w:pPr>
      <w:r w:rsidRPr="00492FD7">
        <w:t>2</w:t>
      </w:r>
      <w:r w:rsidR="00F6681A">
        <w:t>7</w:t>
      </w:r>
      <w:r w:rsidRPr="00492FD7">
        <w:t>.</w:t>
      </w:r>
      <w:r w:rsidRPr="00492FD7">
        <w:tab/>
        <w:t>konstatuje, že jakýkoli návrh na revizi rámce DPH by měl být založen na hloubkové analýze na makroekonomické úrovni a komplexním zmapování vnitrostátních bankovních daní a odvodů; zdůrazňuje, že tato analýza by měla zohlednit administrativní důsledky pro finanční služby, interakci mezi stávajícími vnitrostátními bankovními daněmi, odvody finančního sektoru a systémem DPH a dále dopad na jednotný trh;</w:t>
      </w:r>
    </w:p>
    <w:p w14:paraId="78CD8B29" w14:textId="057F0913" w:rsidR="00C428FE" w:rsidRPr="00492FD7" w:rsidRDefault="00C428FE" w:rsidP="00492FD7">
      <w:pPr>
        <w:pStyle w:val="NormalHanging12a"/>
      </w:pPr>
      <w:r w:rsidRPr="00492FD7">
        <w:t>2</w:t>
      </w:r>
      <w:r w:rsidR="00F6681A">
        <w:t>8</w:t>
      </w:r>
      <w:r w:rsidRPr="00492FD7">
        <w:t>.</w:t>
      </w:r>
      <w:r w:rsidRPr="00492FD7">
        <w:tab/>
        <w:t xml:space="preserve">poukazuje na to, že veškeré změny v zacházení s finančními službami z hlediska DPH musí pečlivě posoudit dopad na služby poskytované maloobchodním spotřebitelům, </w:t>
      </w:r>
      <w:r w:rsidRPr="00492FD7">
        <w:lastRenderedPageBreak/>
        <w:t>zejména domácnostem s nízkými a středními příjmy, a zabránit jakýmkoli dodatečným celkovým nákladům;</w:t>
      </w:r>
    </w:p>
    <w:p w14:paraId="0060AC45" w14:textId="758BC34A" w:rsidR="00C428FE" w:rsidRPr="00492FD7" w:rsidRDefault="00F6681A" w:rsidP="00492FD7">
      <w:pPr>
        <w:pStyle w:val="NormalHanging12a"/>
      </w:pPr>
      <w:r>
        <w:t>29</w:t>
      </w:r>
      <w:r w:rsidR="00C428FE" w:rsidRPr="00492FD7">
        <w:t>.</w:t>
      </w:r>
      <w:r w:rsidR="00C428FE" w:rsidRPr="00492FD7">
        <w:tab/>
        <w:t>vyzývá Komisi, aby jako součást možné reformy osvobození od DPH posoudila proveditelnost nahrazení vnitrostátních daní z pojistného plnou integrací pojišťovacích služeb do systému DPH;</w:t>
      </w:r>
    </w:p>
    <w:p w14:paraId="17BD76A9" w14:textId="77777777" w:rsidR="00C428FE" w:rsidRPr="00492FD7" w:rsidRDefault="00C428FE" w:rsidP="00492FD7">
      <w:pPr>
        <w:pStyle w:val="Normal12a"/>
        <w:ind w:left="566" w:hanging="566"/>
      </w:pPr>
      <w:r w:rsidRPr="00492FD7">
        <w:rPr>
          <w:b/>
          <w:i/>
        </w:rPr>
        <w:t>Podpora soudržnějšího finančního rámce pro finanční sektor</w:t>
      </w:r>
    </w:p>
    <w:p w14:paraId="5A7DEF96" w14:textId="7AD9CBBC" w:rsidR="00C428FE" w:rsidRPr="00327A4F" w:rsidRDefault="00C428FE" w:rsidP="00492FD7">
      <w:pPr>
        <w:pStyle w:val="NormalHanging12a"/>
      </w:pPr>
      <w:r w:rsidRPr="00327A4F">
        <w:t>3</w:t>
      </w:r>
      <w:r w:rsidR="00F6681A" w:rsidRPr="00AF55DD">
        <w:t>0</w:t>
      </w:r>
      <w:r w:rsidRPr="00327A4F">
        <w:t>.</w:t>
      </w:r>
      <w:r w:rsidRPr="00327A4F">
        <w:tab/>
        <w:t>připomíná, že EU čelí značné investiční mezeře ve výši 750 až 800 miliard EUR ročně, pokud má splnit své cíle v oblasti klimatu, digitalizace a strategické autonomie; připomíná závazek členských států a EU výrazně zvýšit evropské investice do obrany; zdůrazňuje, že v reakci na tyto výzvy by spravedlivé a soudržnější zdanění finančního sektoru mohlo přispět k mobilizaci soukromého kapitálu, a tím stimulovat retailové investice a posílit evropské kapitálové trhy a zároveň zvýšit příjmy pro veřejné investice do strategických priorit a naše sociální, klimatické a investiční potřeby, a tím posílit konkurenceschopnost EU;</w:t>
      </w:r>
    </w:p>
    <w:p w14:paraId="2C5D2C8F" w14:textId="1069F41F" w:rsidR="00C428FE" w:rsidRPr="00492FD7" w:rsidRDefault="00C428FE" w:rsidP="00492FD7">
      <w:pPr>
        <w:pStyle w:val="NormalHanging12a"/>
      </w:pPr>
      <w:r w:rsidRPr="00327A4F">
        <w:t>3</w:t>
      </w:r>
      <w:r w:rsidR="00F6681A" w:rsidRPr="00327A4F">
        <w:t>1</w:t>
      </w:r>
      <w:r w:rsidRPr="00327A4F">
        <w:t>.</w:t>
      </w:r>
      <w:r w:rsidRPr="00327A4F">
        <w:tab/>
        <w:t>připomíná v této souvislosti dohodu mezi Parlamentem, Radou a Komisí z roku 2020</w:t>
      </w:r>
      <w:r w:rsidRPr="00492FD7">
        <w:t xml:space="preserve"> o plánu zavedení nových vlastních zdrojů, včetně daně z finančních transakcí na základě výsledků posouzení dopadů;</w:t>
      </w:r>
    </w:p>
    <w:p w14:paraId="0D83388D" w14:textId="4BC6F073" w:rsidR="00C428FE" w:rsidRPr="00492FD7" w:rsidRDefault="00C428FE" w:rsidP="00492FD7">
      <w:pPr>
        <w:pStyle w:val="NormalHanging12a"/>
      </w:pPr>
      <w:r w:rsidRPr="00492FD7">
        <w:t>3</w:t>
      </w:r>
      <w:r w:rsidR="00F6681A">
        <w:t>2</w:t>
      </w:r>
      <w:r w:rsidRPr="00492FD7">
        <w:t>.</w:t>
      </w:r>
      <w:r w:rsidRPr="00492FD7">
        <w:tab/>
        <w:t>uznává, že v Radě nebylo dosaženo dostatečného pokroku, pokud jde o návrh týkající se daně z finančních transakcí, a to navzdory rozsáhlé diskusi, a to ani v rámci postupu jednomyslnosti, ani v rámci posílené spolupráce, a bere na vědomí oznámení Komise o stažení návrhu týkajícího se daně z finančních transakcí v jejím pracovním programu na rok 2026;</w:t>
      </w:r>
    </w:p>
    <w:p w14:paraId="7E1D4173" w14:textId="2A03458B" w:rsidR="00C428FE" w:rsidRPr="00492FD7" w:rsidRDefault="00C428FE" w:rsidP="00492FD7">
      <w:pPr>
        <w:pStyle w:val="NormalHanging12a"/>
      </w:pPr>
      <w:r w:rsidRPr="00492FD7">
        <w:t>3</w:t>
      </w:r>
      <w:r w:rsidR="00F6681A">
        <w:t>3</w:t>
      </w:r>
      <w:r w:rsidRPr="00492FD7">
        <w:t>.</w:t>
      </w:r>
      <w:r w:rsidRPr="00492FD7">
        <w:tab/>
        <w:t>zastává názor, že pravidelné posuzování hospodářských dopadů a trvalé relevance daňové politiky ve finančním sektoru má zásadní význam pro to, aby se zabránilo nezamýšlenému nebo trvalému narušení finančních trhů; vítá skutečnost, že Komise provádí komplexní analýzu možného dopadu celkového zdanění finančního sektoru na fungování trhu, přeshraniční investice a konkurenceschopnost finančních trhů EU;</w:t>
      </w:r>
    </w:p>
    <w:p w14:paraId="4364DCE0" w14:textId="5A8FB033" w:rsidR="00C428FE" w:rsidRPr="00492FD7" w:rsidRDefault="00C428FE" w:rsidP="00492FD7">
      <w:pPr>
        <w:pStyle w:val="NormalHanging12a"/>
      </w:pPr>
      <w:r w:rsidRPr="00492FD7">
        <w:t>3</w:t>
      </w:r>
      <w:r w:rsidR="00F6681A">
        <w:t>4</w:t>
      </w:r>
      <w:r w:rsidRPr="00492FD7">
        <w:t>.</w:t>
      </w:r>
      <w:r w:rsidRPr="00492FD7">
        <w:tab/>
        <w:t>zdůrazňuje, že daňová pravidla pro finanční sektor by se měla zjednodušit a měla by zajišťovat, aby toto odvětví poskytovalo spravedlivý a solidní finanční příspěvek, a měla by být jasná, transparentní a předvídatelná, aby se snížila roztříštěnost, umožnily investice a přeshraniční činnost a zároveň zaručila vysoká úroveň ochrany spotřebitele; zdůrazňuje, že tato pravidla by měla zlepšit účinnost a přidělování kapitálu, chránit stabilitu trhu a konkurenceschopnost a zmírnit náklady na dodržování předpisů, zejména pro maloobchodní spotřebitele a malé a střední podniky;</w:t>
      </w:r>
    </w:p>
    <w:p w14:paraId="004A3012" w14:textId="77777777" w:rsidR="00492FD7" w:rsidRPr="00492FD7" w:rsidRDefault="00492FD7" w:rsidP="00492FD7">
      <w:pPr>
        <w:pStyle w:val="NormalCenter12a"/>
        <w:ind w:left="566" w:hanging="566"/>
      </w:pPr>
      <w:r w:rsidRPr="00492FD7">
        <w:t>°</w:t>
      </w:r>
    </w:p>
    <w:p w14:paraId="7211F0D6" w14:textId="77777777" w:rsidR="00492FD7" w:rsidRPr="00492FD7" w:rsidRDefault="00492FD7" w:rsidP="00492FD7">
      <w:pPr>
        <w:pStyle w:val="NormalCenter12a"/>
        <w:ind w:left="566" w:hanging="566"/>
      </w:pPr>
      <w:r w:rsidRPr="00492FD7">
        <w:t>°     °</w:t>
      </w:r>
    </w:p>
    <w:p w14:paraId="75B1C176" w14:textId="55677209" w:rsidR="00E365E1" w:rsidRPr="00492FD7" w:rsidRDefault="00C428FE" w:rsidP="00492FD7">
      <w:pPr>
        <w:pStyle w:val="NormalHanging12a"/>
      </w:pPr>
      <w:r w:rsidRPr="00492FD7">
        <w:t>3</w:t>
      </w:r>
      <w:r w:rsidR="00F6681A">
        <w:t>5</w:t>
      </w:r>
      <w:r w:rsidRPr="00492FD7">
        <w:t>.</w:t>
      </w:r>
      <w:r w:rsidRPr="00492FD7">
        <w:tab/>
        <w:t>pověřuje svou předsedkyni, aby předala toto usnesení Radě a Komisi.</w:t>
      </w:r>
    </w:p>
    <w:sectPr w:rsidR="00E365E1" w:rsidRPr="00492FD7" w:rsidSect="0057755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BFCDD" w14:textId="77777777" w:rsidR="0043305F" w:rsidRPr="0057755C" w:rsidRDefault="0043305F">
      <w:r w:rsidRPr="0057755C">
        <w:separator/>
      </w:r>
    </w:p>
  </w:endnote>
  <w:endnote w:type="continuationSeparator" w:id="0">
    <w:p w14:paraId="50D7659E" w14:textId="77777777" w:rsidR="0043305F" w:rsidRPr="0057755C" w:rsidRDefault="0043305F">
      <w:r w:rsidRPr="00577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7A2C" w14:textId="77777777" w:rsidR="00064002" w:rsidRPr="005775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1256" w14:textId="77777777" w:rsidR="00064002" w:rsidRPr="005775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B49D" w14:textId="77777777" w:rsidR="00064002" w:rsidRPr="005775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DB0A" w14:textId="77777777" w:rsidR="0043305F" w:rsidRPr="0057755C" w:rsidRDefault="0043305F">
      <w:r w:rsidRPr="0057755C">
        <w:separator/>
      </w:r>
    </w:p>
  </w:footnote>
  <w:footnote w:type="continuationSeparator" w:id="0">
    <w:p w14:paraId="00536F5D" w14:textId="77777777" w:rsidR="0043305F" w:rsidRPr="0057755C" w:rsidRDefault="0043305F">
      <w:r w:rsidRPr="0057755C">
        <w:continuationSeparator/>
      </w:r>
    </w:p>
  </w:footnote>
  <w:footnote w:id="1">
    <w:p w14:paraId="420EAF6F" w14:textId="61B82436"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w:t>
      </w:r>
      <w:proofErr w:type="spellStart"/>
      <w:r w:rsidRPr="0057755C">
        <w:rPr>
          <w:sz w:val="24"/>
          <w:lang w:val="cs-CZ"/>
        </w:rPr>
        <w:t>věst</w:t>
      </w:r>
      <w:proofErr w:type="spellEnd"/>
      <w:r w:rsidRPr="0057755C">
        <w:rPr>
          <w:sz w:val="24"/>
          <w:lang w:val="cs-CZ"/>
        </w:rPr>
        <w:t xml:space="preserve">. L 150, 9.6.2023, s. 40, ELI: </w:t>
      </w:r>
      <w:hyperlink r:id="rId1" w:tgtFrame="http://data.europa.eu/eli/reg/2023/1114/oj" w:history="1">
        <w:r w:rsidRPr="0057755C">
          <w:rPr>
            <w:rStyle w:val="Hyperlink"/>
            <w:sz w:val="24"/>
            <w:lang w:val="cs-CZ"/>
          </w:rPr>
          <w:t>http://data.europa.eu/eli/reg/2023/1114/oj</w:t>
        </w:r>
      </w:hyperlink>
      <w:r w:rsidRPr="0057755C">
        <w:rPr>
          <w:sz w:val="24"/>
          <w:lang w:val="cs-CZ"/>
        </w:rPr>
        <w:t>.</w:t>
      </w:r>
    </w:p>
  </w:footnote>
  <w:footnote w:id="2">
    <w:p w14:paraId="2F0AAF4B" w14:textId="4AC3747B"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w:t>
      </w:r>
      <w:proofErr w:type="spellStart"/>
      <w:r w:rsidRPr="0057755C">
        <w:rPr>
          <w:sz w:val="24"/>
          <w:lang w:val="cs-CZ"/>
        </w:rPr>
        <w:t>věst</w:t>
      </w:r>
      <w:proofErr w:type="spellEnd"/>
      <w:r w:rsidRPr="0057755C">
        <w:rPr>
          <w:sz w:val="24"/>
          <w:lang w:val="cs-CZ"/>
        </w:rPr>
        <w:t xml:space="preserve">. L 424, 15.12.2020, s. 1, ELI: </w:t>
      </w:r>
      <w:hyperlink r:id="rId2" w:tgtFrame="http://data.europa.eu/eli/dec/2020/2053/oj" w:history="1">
        <w:r w:rsidRPr="0057755C">
          <w:rPr>
            <w:rStyle w:val="Hyperlink"/>
            <w:sz w:val="24"/>
            <w:lang w:val="cs-CZ"/>
          </w:rPr>
          <w:t>http://data.europa.eu/eli/dec/2020/2053/oj</w:t>
        </w:r>
      </w:hyperlink>
      <w:r w:rsidRPr="0057755C">
        <w:rPr>
          <w:sz w:val="24"/>
          <w:lang w:val="cs-CZ"/>
        </w:rPr>
        <w:t>.</w:t>
      </w:r>
    </w:p>
  </w:footnote>
  <w:footnote w:id="3">
    <w:p w14:paraId="1ACAD3E6" w14:textId="46EEA437"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t>Studie – „</w:t>
      </w:r>
      <w:proofErr w:type="spellStart"/>
      <w:r w:rsidRPr="0057755C">
        <w:rPr>
          <w:sz w:val="24"/>
          <w:lang w:val="cs-CZ"/>
        </w:rPr>
        <w:t>The</w:t>
      </w:r>
      <w:proofErr w:type="spellEnd"/>
      <w:r w:rsidRPr="0057755C">
        <w:rPr>
          <w:sz w:val="24"/>
          <w:lang w:val="cs-CZ"/>
        </w:rPr>
        <w:t xml:space="preserve"> </w:t>
      </w:r>
      <w:proofErr w:type="spellStart"/>
      <w:r w:rsidRPr="0057755C">
        <w:rPr>
          <w:sz w:val="24"/>
          <w:lang w:val="cs-CZ"/>
        </w:rPr>
        <w:t>taxation</w:t>
      </w:r>
      <w:proofErr w:type="spellEnd"/>
      <w:r w:rsidRPr="0057755C">
        <w:rPr>
          <w:sz w:val="24"/>
          <w:lang w:val="cs-CZ"/>
        </w:rPr>
        <w:t xml:space="preserve"> </w:t>
      </w:r>
      <w:proofErr w:type="spellStart"/>
      <w:r w:rsidRPr="0057755C">
        <w:rPr>
          <w:sz w:val="24"/>
          <w:lang w:val="cs-CZ"/>
        </w:rPr>
        <w:t>of</w:t>
      </w:r>
      <w:proofErr w:type="spellEnd"/>
      <w:r w:rsidRPr="0057755C">
        <w:rPr>
          <w:sz w:val="24"/>
          <w:lang w:val="cs-CZ"/>
        </w:rPr>
        <w:t xml:space="preserve"> </w:t>
      </w:r>
      <w:proofErr w:type="spellStart"/>
      <w:r w:rsidRPr="0057755C">
        <w:rPr>
          <w:sz w:val="24"/>
          <w:lang w:val="cs-CZ"/>
        </w:rPr>
        <w:t>the</w:t>
      </w:r>
      <w:proofErr w:type="spellEnd"/>
      <w:r w:rsidRPr="0057755C">
        <w:rPr>
          <w:sz w:val="24"/>
          <w:lang w:val="cs-CZ"/>
        </w:rPr>
        <w:t xml:space="preserve"> </w:t>
      </w:r>
      <w:proofErr w:type="spellStart"/>
      <w:r w:rsidRPr="0057755C">
        <w:rPr>
          <w:sz w:val="24"/>
          <w:lang w:val="cs-CZ"/>
        </w:rPr>
        <w:t>EU’s</w:t>
      </w:r>
      <w:proofErr w:type="spellEnd"/>
      <w:r w:rsidRPr="0057755C">
        <w:rPr>
          <w:sz w:val="24"/>
          <w:lang w:val="cs-CZ"/>
        </w:rPr>
        <w:t xml:space="preserve"> </w:t>
      </w:r>
      <w:proofErr w:type="spellStart"/>
      <w:r w:rsidRPr="0057755C">
        <w:rPr>
          <w:sz w:val="24"/>
          <w:lang w:val="cs-CZ"/>
        </w:rPr>
        <w:t>financial</w:t>
      </w:r>
      <w:proofErr w:type="spellEnd"/>
      <w:r w:rsidRPr="0057755C">
        <w:rPr>
          <w:sz w:val="24"/>
          <w:lang w:val="cs-CZ"/>
        </w:rPr>
        <w:t xml:space="preserve"> </w:t>
      </w:r>
      <w:proofErr w:type="spellStart"/>
      <w:r w:rsidRPr="0057755C">
        <w:rPr>
          <w:sz w:val="24"/>
          <w:lang w:val="cs-CZ"/>
        </w:rPr>
        <w:t>sector</w:t>
      </w:r>
      <w:proofErr w:type="spellEnd"/>
      <w:r w:rsidRPr="0057755C">
        <w:rPr>
          <w:sz w:val="24"/>
          <w:lang w:val="cs-CZ"/>
        </w:rPr>
        <w:t>“, Evropský parlament, Generální ředitelství pro hospodářství, transformaci a průmysl, tematická sekce Hospodářství a růst, červen 2025.</w:t>
      </w:r>
    </w:p>
  </w:footnote>
  <w:footnote w:id="4">
    <w:p w14:paraId="5E332101" w14:textId="1F20891F"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xml:space="preserve">. </w:t>
      </w:r>
      <w:proofErr w:type="spellStart"/>
      <w:r w:rsidRPr="0057755C">
        <w:rPr>
          <w:sz w:val="24"/>
          <w:lang w:val="cs-CZ"/>
        </w:rPr>
        <w:t>věst</w:t>
      </w:r>
      <w:proofErr w:type="spellEnd"/>
      <w:r w:rsidRPr="0057755C">
        <w:rPr>
          <w:sz w:val="24"/>
          <w:lang w:val="cs-CZ"/>
        </w:rPr>
        <w:t xml:space="preserve">. C 433 I, 22.12.2020, s. 28. ELI: </w:t>
      </w:r>
      <w:hyperlink r:id="rId3" w:tgtFrame="http://data.europa.eu/eli/agree_interinstit/2020/1222/oj" w:history="1">
        <w:r w:rsidRPr="0057755C">
          <w:rPr>
            <w:rStyle w:val="Hyperlink"/>
            <w:sz w:val="24"/>
            <w:lang w:val="cs-CZ"/>
          </w:rPr>
          <w:t>http://data.europa.eu/eli/agree_interinstit/2020/1222/oj</w:t>
        </w:r>
      </w:hyperlink>
      <w:r w:rsidRPr="0057755C">
        <w:rPr>
          <w:sz w:val="24"/>
          <w:lang w:val="cs-CZ"/>
        </w:rPr>
        <w:t>.</w:t>
      </w:r>
    </w:p>
  </w:footnote>
  <w:footnote w:id="5">
    <w:p w14:paraId="6D9EA677" w14:textId="6E9D3EA3"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w:t>
      </w:r>
      <w:proofErr w:type="spellStart"/>
      <w:r w:rsidRPr="0057755C">
        <w:rPr>
          <w:sz w:val="24"/>
          <w:lang w:val="cs-CZ"/>
        </w:rPr>
        <w:t>věst</w:t>
      </w:r>
      <w:proofErr w:type="spellEnd"/>
      <w:r w:rsidRPr="0057755C">
        <w:rPr>
          <w:sz w:val="24"/>
          <w:lang w:val="cs-CZ"/>
        </w:rPr>
        <w:t xml:space="preserve">. C, C/2023/1067, 15.12.2023, ELI: </w:t>
      </w:r>
      <w:hyperlink r:id="rId4" w:history="1">
        <w:r w:rsidRPr="002F648D">
          <w:rPr>
            <w:rStyle w:val="Hyperlink"/>
            <w:sz w:val="24"/>
            <w:lang w:val="cs-CZ"/>
          </w:rPr>
          <w:t>http://data.europa.eu/eli/C/2023/1067/oj</w:t>
        </w:r>
      </w:hyperlink>
      <w:r w:rsidRPr="0057755C">
        <w:rPr>
          <w:sz w:val="24"/>
          <w:lang w:val="cs-CZ"/>
        </w:rPr>
        <w:t>.</w:t>
      </w:r>
    </w:p>
  </w:footnote>
  <w:footnote w:id="6">
    <w:p w14:paraId="1325005B" w14:textId="04259A14"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w:t>
      </w:r>
      <w:proofErr w:type="spellStart"/>
      <w:r w:rsidRPr="0057755C">
        <w:rPr>
          <w:sz w:val="24"/>
          <w:lang w:val="cs-CZ"/>
        </w:rPr>
        <w:t>věst</w:t>
      </w:r>
      <w:proofErr w:type="spellEnd"/>
      <w:r w:rsidRPr="0057755C">
        <w:rPr>
          <w:sz w:val="24"/>
          <w:lang w:val="cs-CZ"/>
        </w:rPr>
        <w:t xml:space="preserve">. L, 2025/2029, 8.10.2025, ELI: </w:t>
      </w:r>
      <w:hyperlink r:id="rId5" w:tgtFrame="http://data.europa.eu/eli/reco/2025/2029/oj" w:history="1">
        <w:r w:rsidRPr="0057755C">
          <w:rPr>
            <w:rStyle w:val="Hyperlink"/>
            <w:sz w:val="24"/>
            <w:lang w:val="cs-CZ"/>
          </w:rPr>
          <w:t>http://data.europa.eu/eli/reco/2025/2029/oj</w:t>
        </w:r>
      </w:hyperlink>
      <w:r w:rsidRPr="0057755C">
        <w:rPr>
          <w:sz w:val="24"/>
          <w:lang w:val="cs-CZ"/>
        </w:rPr>
        <w:t>.</w:t>
      </w:r>
    </w:p>
  </w:footnote>
  <w:footnote w:id="7">
    <w:p w14:paraId="60B8EF75" w14:textId="13A3A5C2"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r>
      <w:proofErr w:type="spellStart"/>
      <w:r w:rsidRPr="0057755C">
        <w:rPr>
          <w:sz w:val="24"/>
          <w:lang w:val="cs-CZ"/>
        </w:rPr>
        <w:t>Úř</w:t>
      </w:r>
      <w:proofErr w:type="spellEnd"/>
      <w:r w:rsidRPr="0057755C">
        <w:rPr>
          <w:sz w:val="24"/>
          <w:lang w:val="cs-CZ"/>
        </w:rPr>
        <w:t>. </w:t>
      </w:r>
      <w:proofErr w:type="spellStart"/>
      <w:r w:rsidRPr="0057755C">
        <w:rPr>
          <w:sz w:val="24"/>
          <w:lang w:val="cs-CZ"/>
        </w:rPr>
        <w:t>věst</w:t>
      </w:r>
      <w:proofErr w:type="spellEnd"/>
      <w:r w:rsidRPr="0057755C">
        <w:rPr>
          <w:sz w:val="24"/>
          <w:lang w:val="cs-CZ"/>
        </w:rPr>
        <w:t xml:space="preserve">. L, 2025/50, 10.1.2025, ELI: </w:t>
      </w:r>
      <w:hyperlink r:id="rId6" w:tgtFrame="http://data.europa.eu/eli/dir/2025/50/oj" w:history="1">
        <w:r w:rsidRPr="0057755C">
          <w:rPr>
            <w:rStyle w:val="Hyperlink"/>
            <w:sz w:val="24"/>
            <w:lang w:val="cs-CZ"/>
          </w:rPr>
          <w:t>http://data.europa.eu/eli/dir/2025/50/oj</w:t>
        </w:r>
      </w:hyperlink>
      <w:r w:rsidRPr="0057755C">
        <w:rPr>
          <w:sz w:val="24"/>
          <w:lang w:val="cs-CZ"/>
        </w:rPr>
        <w:t>.</w:t>
      </w:r>
    </w:p>
  </w:footnote>
  <w:footnote w:id="8">
    <w:p w14:paraId="00105BCF" w14:textId="5568A287"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t>Legislativní usnesení Evropského parlamentu ze dne 10. dubna 2024 o návrhu směrnice Rady, kterou se zavádí daňový systém sídla pro mikropodniky a malé a střední podniky a kterou se mění směrnice 2011/16/EU (</w:t>
      </w:r>
      <w:proofErr w:type="spellStart"/>
      <w:r w:rsidRPr="0057755C">
        <w:rPr>
          <w:sz w:val="24"/>
          <w:lang w:val="cs-CZ"/>
        </w:rPr>
        <w:t>Úř</w:t>
      </w:r>
      <w:proofErr w:type="spellEnd"/>
      <w:r w:rsidRPr="0057755C">
        <w:rPr>
          <w:sz w:val="24"/>
          <w:lang w:val="cs-CZ"/>
        </w:rPr>
        <w:t xml:space="preserve">. </w:t>
      </w:r>
      <w:proofErr w:type="spellStart"/>
      <w:r w:rsidRPr="0057755C">
        <w:rPr>
          <w:sz w:val="24"/>
          <w:lang w:val="cs-CZ"/>
        </w:rPr>
        <w:t>věst</w:t>
      </w:r>
      <w:proofErr w:type="spellEnd"/>
      <w:r w:rsidRPr="0057755C">
        <w:rPr>
          <w:sz w:val="24"/>
          <w:lang w:val="cs-CZ"/>
        </w:rPr>
        <w:t xml:space="preserve">. C, C/2025/1326, 13.3.2025, ELI: </w:t>
      </w:r>
      <w:hyperlink r:id="rId7" w:tgtFrame="http://data.europa.eu/eli/C/2025/1326/oj" w:history="1">
        <w:r w:rsidRPr="0057755C">
          <w:rPr>
            <w:rStyle w:val="Hyperlink"/>
            <w:sz w:val="24"/>
            <w:lang w:val="cs-CZ"/>
          </w:rPr>
          <w:t>http://data.europa.eu/eli/C/2025/1326/oj</w:t>
        </w:r>
      </w:hyperlink>
      <w:r w:rsidRPr="0057755C">
        <w:rPr>
          <w:sz w:val="24"/>
          <w:lang w:val="cs-CZ"/>
        </w:rPr>
        <w:t>).</w:t>
      </w:r>
    </w:p>
  </w:footnote>
  <w:footnote w:id="9">
    <w:p w14:paraId="5862D8ED" w14:textId="18C2AF4A"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t>Evropská komise, „Evropská makroekonomická zpráva za rok 2026“, listopad 2025.</w:t>
      </w:r>
    </w:p>
  </w:footnote>
  <w:footnote w:id="10">
    <w:p w14:paraId="1670676F" w14:textId="536B1D1A" w:rsidR="002F648D" w:rsidRPr="0057755C" w:rsidRDefault="002F648D" w:rsidP="0057755C">
      <w:pPr>
        <w:pStyle w:val="FootnoteText"/>
        <w:ind w:left="567" w:hanging="567"/>
        <w:rPr>
          <w:sz w:val="24"/>
          <w:lang w:val="cs-CZ"/>
        </w:rPr>
      </w:pPr>
      <w:r>
        <w:rPr>
          <w:rStyle w:val="FootnoteReference"/>
        </w:rPr>
        <w:footnoteRef/>
      </w:r>
      <w:r w:rsidRPr="0057755C">
        <w:rPr>
          <w:sz w:val="24"/>
          <w:lang w:val="cs-CZ"/>
        </w:rPr>
        <w:t xml:space="preserve"> </w:t>
      </w:r>
      <w:r w:rsidRPr="0057755C">
        <w:rPr>
          <w:sz w:val="24"/>
          <w:lang w:val="cs-CZ"/>
        </w:rPr>
        <w:tab/>
        <w:t>Směrnice Rady 2006/112/ES ze dne 28. listopadu 2006 o společném systému daně z přidané hodnoty (</w:t>
      </w:r>
      <w:proofErr w:type="spellStart"/>
      <w:r w:rsidRPr="0057755C">
        <w:rPr>
          <w:sz w:val="24"/>
          <w:lang w:val="cs-CZ"/>
        </w:rPr>
        <w:t>Úř</w:t>
      </w:r>
      <w:proofErr w:type="spellEnd"/>
      <w:r w:rsidRPr="0057755C">
        <w:rPr>
          <w:sz w:val="24"/>
          <w:lang w:val="cs-CZ"/>
        </w:rPr>
        <w:t xml:space="preserve">. </w:t>
      </w:r>
      <w:proofErr w:type="spellStart"/>
      <w:r w:rsidRPr="0057755C">
        <w:rPr>
          <w:sz w:val="24"/>
          <w:lang w:val="cs-CZ"/>
        </w:rPr>
        <w:t>věst</w:t>
      </w:r>
      <w:proofErr w:type="spellEnd"/>
      <w:r w:rsidRPr="0057755C">
        <w:rPr>
          <w:sz w:val="24"/>
          <w:lang w:val="cs-CZ"/>
        </w:rPr>
        <w:t xml:space="preserve">. L 347, 11.12.2006, s. 1, ELI: </w:t>
      </w:r>
      <w:hyperlink r:id="rId8" w:tgtFrame="http://data.europa.eu/eli/dir/2006/112/oj" w:history="1">
        <w:r w:rsidRPr="0057755C">
          <w:rPr>
            <w:rStyle w:val="Hyperlink"/>
            <w:sz w:val="24"/>
            <w:lang w:val="cs-CZ"/>
          </w:rPr>
          <w:t>http://data.europa.eu/eli/dir/2006/112/oj</w:t>
        </w:r>
      </w:hyperlink>
      <w:r w:rsidRPr="0057755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C8C06" w14:textId="77777777" w:rsidR="00064002" w:rsidRPr="005775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5FA2" w14:textId="77777777" w:rsidR="00064002" w:rsidRPr="005775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311D" w14:textId="77777777" w:rsidR="00064002" w:rsidRPr="005775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8580865">
    <w:abstractNumId w:val="9"/>
  </w:num>
  <w:num w:numId="2" w16cid:durableId="727843519">
    <w:abstractNumId w:val="9"/>
  </w:num>
  <w:num w:numId="3" w16cid:durableId="1347749775">
    <w:abstractNumId w:val="7"/>
  </w:num>
  <w:num w:numId="4" w16cid:durableId="85421310">
    <w:abstractNumId w:val="7"/>
  </w:num>
  <w:num w:numId="5" w16cid:durableId="794913365">
    <w:abstractNumId w:val="6"/>
  </w:num>
  <w:num w:numId="6" w16cid:durableId="119541878">
    <w:abstractNumId w:val="6"/>
  </w:num>
  <w:num w:numId="7" w16cid:durableId="1724525915">
    <w:abstractNumId w:val="5"/>
  </w:num>
  <w:num w:numId="8" w16cid:durableId="255871674">
    <w:abstractNumId w:val="5"/>
  </w:num>
  <w:num w:numId="9" w16cid:durableId="625432608">
    <w:abstractNumId w:val="4"/>
  </w:num>
  <w:num w:numId="10" w16cid:durableId="500655578">
    <w:abstractNumId w:val="4"/>
  </w:num>
  <w:num w:numId="11" w16cid:durableId="1765954186">
    <w:abstractNumId w:val="8"/>
  </w:num>
  <w:num w:numId="12" w16cid:durableId="279189815">
    <w:abstractNumId w:val="8"/>
  </w:num>
  <w:num w:numId="13" w16cid:durableId="1663194281">
    <w:abstractNumId w:val="3"/>
  </w:num>
  <w:num w:numId="14" w16cid:durableId="706101468">
    <w:abstractNumId w:val="3"/>
  </w:num>
  <w:num w:numId="15" w16cid:durableId="882060180">
    <w:abstractNumId w:val="2"/>
  </w:num>
  <w:num w:numId="16" w16cid:durableId="1177840529">
    <w:abstractNumId w:val="2"/>
  </w:num>
  <w:num w:numId="17" w16cid:durableId="786922814">
    <w:abstractNumId w:val="1"/>
  </w:num>
  <w:num w:numId="18" w16cid:durableId="1340547322">
    <w:abstractNumId w:val="1"/>
  </w:num>
  <w:num w:numId="19" w16cid:durableId="155148912">
    <w:abstractNumId w:val="0"/>
  </w:num>
  <w:num w:numId="20" w16cid:durableId="7365824">
    <w:abstractNumId w:val="0"/>
  </w:num>
  <w:num w:numId="21" w16cid:durableId="256712697">
    <w:abstractNumId w:val="9"/>
  </w:num>
  <w:num w:numId="22" w16cid:durableId="144510500">
    <w:abstractNumId w:val="7"/>
  </w:num>
  <w:num w:numId="23" w16cid:durableId="1655261386">
    <w:abstractNumId w:val="6"/>
  </w:num>
  <w:num w:numId="24" w16cid:durableId="1951937147">
    <w:abstractNumId w:val="5"/>
  </w:num>
  <w:num w:numId="25" w16cid:durableId="2141343374">
    <w:abstractNumId w:val="4"/>
  </w:num>
  <w:num w:numId="26" w16cid:durableId="1369571601">
    <w:abstractNumId w:val="8"/>
  </w:num>
  <w:num w:numId="27" w16cid:durableId="328486054">
    <w:abstractNumId w:val="3"/>
  </w:num>
  <w:num w:numId="28" w16cid:durableId="1497065572">
    <w:abstractNumId w:val="2"/>
  </w:num>
  <w:num w:numId="29" w16cid:durableId="1765344535">
    <w:abstractNumId w:val="1"/>
  </w:num>
  <w:num w:numId="30" w16cid:durableId="1495680833">
    <w:abstractNumId w:val="0"/>
  </w:num>
  <w:num w:numId="31" w16cid:durableId="338048535">
    <w:abstractNumId w:val="9"/>
  </w:num>
  <w:num w:numId="32" w16cid:durableId="1635715601">
    <w:abstractNumId w:val="7"/>
  </w:num>
  <w:num w:numId="33" w16cid:durableId="292059328">
    <w:abstractNumId w:val="6"/>
  </w:num>
  <w:num w:numId="34" w16cid:durableId="1694113789">
    <w:abstractNumId w:val="5"/>
  </w:num>
  <w:num w:numId="35" w16cid:durableId="735010194">
    <w:abstractNumId w:val="4"/>
  </w:num>
  <w:num w:numId="36" w16cid:durableId="1767339493">
    <w:abstractNumId w:val="8"/>
  </w:num>
  <w:num w:numId="37" w16cid:durableId="1147630784">
    <w:abstractNumId w:val="3"/>
  </w:num>
  <w:num w:numId="38" w16cid:durableId="282809642">
    <w:abstractNumId w:val="2"/>
  </w:num>
  <w:num w:numId="39" w16cid:durableId="988940164">
    <w:abstractNumId w:val="1"/>
  </w:num>
  <w:num w:numId="40" w16cid:durableId="109785190">
    <w:abstractNumId w:val="0"/>
  </w:num>
  <w:num w:numId="41" w16cid:durableId="2012174826">
    <w:abstractNumId w:val="10"/>
  </w:num>
  <w:num w:numId="42" w16cid:durableId="914165581">
    <w:abstractNumId w:val="10"/>
  </w:num>
  <w:num w:numId="43" w16cid:durableId="400296309">
    <w:abstractNumId w:val="10"/>
  </w:num>
  <w:num w:numId="44" w16cid:durableId="19405965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CS"/>
    <w:docVar w:name="dvnumam" w:val="0"/>
    <w:docVar w:name="dvpe" w:val="779.360"/>
    <w:docVar w:name="dvrapporteur" w:val="Zpravodaj: "/>
    <w:docVar w:name="dvtitre" w:val="Usnesení Evropského parlamentu ze dne 7. července 2026 o uceleném daňovém rámci pro finanční sektor EU(2024/2117(INI))"/>
  </w:docVars>
  <w:rsids>
    <w:rsidRoot w:val="0043305F"/>
    <w:rsid w:val="00002272"/>
    <w:rsid w:val="00031929"/>
    <w:rsid w:val="00064002"/>
    <w:rsid w:val="000677B9"/>
    <w:rsid w:val="000831BA"/>
    <w:rsid w:val="000A42CC"/>
    <w:rsid w:val="000E7DD9"/>
    <w:rsid w:val="0010095E"/>
    <w:rsid w:val="00125B37"/>
    <w:rsid w:val="00187494"/>
    <w:rsid w:val="001C345C"/>
    <w:rsid w:val="001F32AE"/>
    <w:rsid w:val="00247558"/>
    <w:rsid w:val="002767FF"/>
    <w:rsid w:val="002B18FE"/>
    <w:rsid w:val="002B5493"/>
    <w:rsid w:val="002F648D"/>
    <w:rsid w:val="00327A4F"/>
    <w:rsid w:val="00343214"/>
    <w:rsid w:val="00361C00"/>
    <w:rsid w:val="00395FA1"/>
    <w:rsid w:val="003E15D4"/>
    <w:rsid w:val="00411CCE"/>
    <w:rsid w:val="0041666E"/>
    <w:rsid w:val="00421060"/>
    <w:rsid w:val="0043305F"/>
    <w:rsid w:val="00471C19"/>
    <w:rsid w:val="004867E3"/>
    <w:rsid w:val="00492FD7"/>
    <w:rsid w:val="00494A28"/>
    <w:rsid w:val="004C0004"/>
    <w:rsid w:val="004C5D52"/>
    <w:rsid w:val="0050519A"/>
    <w:rsid w:val="005072A1"/>
    <w:rsid w:val="00514517"/>
    <w:rsid w:val="00545827"/>
    <w:rsid w:val="00560270"/>
    <w:rsid w:val="0057755C"/>
    <w:rsid w:val="005C2568"/>
    <w:rsid w:val="005F1B17"/>
    <w:rsid w:val="006037C0"/>
    <w:rsid w:val="006631B6"/>
    <w:rsid w:val="00680577"/>
    <w:rsid w:val="006F74FA"/>
    <w:rsid w:val="00731ADD"/>
    <w:rsid w:val="00734777"/>
    <w:rsid w:val="00747932"/>
    <w:rsid w:val="00751A4A"/>
    <w:rsid w:val="00756632"/>
    <w:rsid w:val="00762C74"/>
    <w:rsid w:val="00781E5A"/>
    <w:rsid w:val="00786EC0"/>
    <w:rsid w:val="007D1690"/>
    <w:rsid w:val="007E22AD"/>
    <w:rsid w:val="00817416"/>
    <w:rsid w:val="00836077"/>
    <w:rsid w:val="00842779"/>
    <w:rsid w:val="00865F67"/>
    <w:rsid w:val="00881A7B"/>
    <w:rsid w:val="008840E5"/>
    <w:rsid w:val="00887B3E"/>
    <w:rsid w:val="008C2AC6"/>
    <w:rsid w:val="00930C23"/>
    <w:rsid w:val="0093193B"/>
    <w:rsid w:val="009509D8"/>
    <w:rsid w:val="00950B64"/>
    <w:rsid w:val="00981893"/>
    <w:rsid w:val="00A021BC"/>
    <w:rsid w:val="00A1687D"/>
    <w:rsid w:val="00A43E52"/>
    <w:rsid w:val="00A4678D"/>
    <w:rsid w:val="00A778C7"/>
    <w:rsid w:val="00AB441E"/>
    <w:rsid w:val="00AB6293"/>
    <w:rsid w:val="00AE0928"/>
    <w:rsid w:val="00AF3B82"/>
    <w:rsid w:val="00AF55DD"/>
    <w:rsid w:val="00B12E95"/>
    <w:rsid w:val="00B22876"/>
    <w:rsid w:val="00B558F0"/>
    <w:rsid w:val="00BD48FE"/>
    <w:rsid w:val="00BD7BD8"/>
    <w:rsid w:val="00BE6ADC"/>
    <w:rsid w:val="00C05BFE"/>
    <w:rsid w:val="00C23CD4"/>
    <w:rsid w:val="00C428F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81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639D6"/>
  <w15:chartTrackingRefBased/>
  <w15:docId w15:val="{45BB22A4-EB97-4E74-9345-32F70EBF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428FE"/>
    <w:pPr>
      <w:widowControl/>
      <w:spacing w:after="240"/>
    </w:pPr>
    <w:rPr>
      <w:szCs w:val="24"/>
      <w:lang w:eastAsia="en-US"/>
    </w:rPr>
  </w:style>
  <w:style w:type="paragraph" w:customStyle="1" w:styleId="NormalHanging12a">
    <w:name w:val="NormalHanging12a"/>
    <w:basedOn w:val="Normal"/>
    <w:rsid w:val="00C428FE"/>
    <w:pPr>
      <w:widowControl/>
      <w:spacing w:after="240"/>
      <w:ind w:left="566" w:hanging="566"/>
    </w:pPr>
    <w:rPr>
      <w:szCs w:val="24"/>
      <w:lang w:eastAsia="en-US"/>
    </w:rPr>
  </w:style>
  <w:style w:type="paragraph" w:customStyle="1" w:styleId="Normal12">
    <w:name w:val="Normal12"/>
    <w:basedOn w:val="Normal"/>
    <w:rsid w:val="00C428FE"/>
    <w:pPr>
      <w:spacing w:after="240"/>
    </w:pPr>
    <w:rPr>
      <w:szCs w:val="24"/>
      <w:lang w:eastAsia="en-US"/>
    </w:rPr>
  </w:style>
  <w:style w:type="paragraph" w:customStyle="1" w:styleId="NormalHanging">
    <w:name w:val="NormalHanging"/>
    <w:basedOn w:val="Normal"/>
    <w:rsid w:val="00C428FE"/>
    <w:pPr>
      <w:spacing w:after="240"/>
      <w:ind w:left="566" w:hanging="566"/>
    </w:pPr>
    <w:rPr>
      <w:szCs w:val="24"/>
      <w:lang w:eastAsia="en-US"/>
    </w:rPr>
  </w:style>
  <w:style w:type="paragraph" w:customStyle="1" w:styleId="NormalCenter12a">
    <w:name w:val="NormalCenter12a"/>
    <w:basedOn w:val="Normal"/>
    <w:rsid w:val="00C428FE"/>
    <w:pPr>
      <w:widowControl/>
      <w:spacing w:after="240"/>
      <w:jc w:val="center"/>
    </w:pPr>
    <w:rPr>
      <w:szCs w:val="24"/>
      <w:lang w:eastAsia="en-US"/>
    </w:rPr>
  </w:style>
  <w:style w:type="character" w:styleId="Hyperlink">
    <w:name w:val="Hyperlink"/>
    <w:basedOn w:val="DefaultParagraphFont"/>
    <w:rsid w:val="00C428FE"/>
    <w:rPr>
      <w:color w:val="0000FF"/>
      <w:u w:val="single"/>
    </w:rPr>
  </w:style>
  <w:style w:type="paragraph" w:styleId="Revision">
    <w:name w:val="Revision"/>
    <w:hidden/>
    <w:uiPriority w:val="99"/>
    <w:semiHidden/>
    <w:rsid w:val="00492FD7"/>
    <w:rPr>
      <w:sz w:val="24"/>
      <w:lang w:val="cs-CZ"/>
    </w:rPr>
  </w:style>
  <w:style w:type="character" w:styleId="UnresolvedMention">
    <w:name w:val="Unresolved Mention"/>
    <w:basedOn w:val="DefaultParagraphFont"/>
    <w:uiPriority w:val="99"/>
    <w:semiHidden/>
    <w:unhideWhenUsed/>
    <w:rsid w:val="002F64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3557</Words>
  <Characters>21324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2026-07-07T12:44:00Z</dcterms:created>
  <dcterms:modified xsi:type="dcterms:W3CDTF">2026-07-07T12:44:00Z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A10-0169/2026</vt:lpwstr>
  </property>
  <property fmtid="{D5CDD505-2E9C-101B-9397-08002B2CF9AE}" pid="4" name="&lt;Type&gt;">
    <vt:lpwstr>RR</vt:lpwstr>
  </property>
</Properties>
</file>