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4A0B" w14:paraId="12D91538" w14:textId="77777777" w:rsidTr="0010095E">
        <w:trPr>
          <w:trHeight w:hRule="exact" w:val="1418"/>
        </w:trPr>
        <w:tc>
          <w:tcPr>
            <w:tcW w:w="6804" w:type="dxa"/>
            <w:shd w:val="clear" w:color="auto" w:fill="auto"/>
            <w:vAlign w:val="center"/>
          </w:tcPr>
          <w:p w14:paraId="50644E42" w14:textId="77777777" w:rsidR="00751A4A" w:rsidRPr="005E4A0B" w:rsidRDefault="00BF4119" w:rsidP="0010095E">
            <w:pPr>
              <w:pStyle w:val="EPName"/>
            </w:pPr>
            <w:r w:rsidRPr="005E4A0B">
              <w:t>Europa-Parlamentet</w:t>
            </w:r>
          </w:p>
          <w:p w14:paraId="331B0B6D" w14:textId="44598761" w:rsidR="00751A4A" w:rsidRPr="005E4A0B" w:rsidRDefault="00A519C8" w:rsidP="005F1B17">
            <w:pPr>
              <w:pStyle w:val="EPTerm"/>
              <w:rPr>
                <w:rStyle w:val="HideTWBExt"/>
                <w:noProof w:val="0"/>
                <w:vanish w:val="0"/>
                <w:color w:val="auto"/>
              </w:rPr>
            </w:pPr>
            <w:r w:rsidRPr="005E4A0B">
              <w:t>2024</w:t>
            </w:r>
            <w:r w:rsidR="00817416" w:rsidRPr="005E4A0B">
              <w:t>-</w:t>
            </w:r>
            <w:r w:rsidRPr="005E4A0B">
              <w:t>2029</w:t>
            </w:r>
          </w:p>
        </w:tc>
        <w:tc>
          <w:tcPr>
            <w:tcW w:w="2268" w:type="dxa"/>
            <w:shd w:val="clear" w:color="auto" w:fill="auto"/>
          </w:tcPr>
          <w:p w14:paraId="2F921915" w14:textId="77777777" w:rsidR="00751A4A" w:rsidRPr="005E4A0B" w:rsidRDefault="00187494" w:rsidP="0010095E">
            <w:pPr>
              <w:pStyle w:val="EPLogo"/>
            </w:pPr>
            <w:r w:rsidRPr="005E4A0B">
              <w:rPr>
                <w:noProof/>
                <w:lang w:eastAsia="ja-JP"/>
              </w:rPr>
              <w:drawing>
                <wp:inline distT="0" distB="0" distL="0" distR="0" wp14:anchorId="5DD02EA2" wp14:editId="1699D9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0FCFF9" w14:textId="77777777" w:rsidR="00D058B8" w:rsidRPr="005E4A0B" w:rsidRDefault="00D058B8" w:rsidP="004C5D52">
      <w:pPr>
        <w:pStyle w:val="LineTop"/>
      </w:pPr>
    </w:p>
    <w:p w14:paraId="52AA5A00" w14:textId="77777777" w:rsidR="00680577" w:rsidRPr="005E4A0B" w:rsidRDefault="00BF4119" w:rsidP="00680577">
      <w:pPr>
        <w:pStyle w:val="EPBodyTA1"/>
      </w:pPr>
      <w:r w:rsidRPr="005E4A0B">
        <w:t>VEDTAGNE TEKSTER</w:t>
      </w:r>
    </w:p>
    <w:p w14:paraId="6C4B83F8" w14:textId="77777777" w:rsidR="00D058B8" w:rsidRPr="005E4A0B" w:rsidRDefault="00D058B8" w:rsidP="00D058B8">
      <w:pPr>
        <w:pStyle w:val="LineBottom"/>
      </w:pPr>
    </w:p>
    <w:p w14:paraId="2812B65C" w14:textId="44756A21" w:rsidR="00BF4119" w:rsidRPr="004F6F74" w:rsidRDefault="00BF4119" w:rsidP="00BF4119">
      <w:pPr>
        <w:pStyle w:val="ATHeading1"/>
      </w:pPr>
      <w:bookmarkStart w:id="0" w:name="TANumber"/>
      <w:r w:rsidRPr="004F6F74">
        <w:t>P</w:t>
      </w:r>
      <w:r w:rsidR="00A519C8" w:rsidRPr="004F6F74">
        <w:t>10</w:t>
      </w:r>
      <w:r w:rsidRPr="004F6F74">
        <w:t>_</w:t>
      </w:r>
      <w:proofErr w:type="gramStart"/>
      <w:r w:rsidRPr="004F6F74">
        <w:t>TA(</w:t>
      </w:r>
      <w:proofErr w:type="gramEnd"/>
      <w:r w:rsidR="00A519C8" w:rsidRPr="004F6F74">
        <w:t>2026</w:t>
      </w:r>
      <w:r w:rsidRPr="004F6F74">
        <w:t>)</w:t>
      </w:r>
      <w:r w:rsidR="00A519C8" w:rsidRPr="004F6F74">
        <w:t>0</w:t>
      </w:r>
      <w:r w:rsidR="00087B63">
        <w:t>248</w:t>
      </w:r>
      <w:bookmarkEnd w:id="0"/>
    </w:p>
    <w:p w14:paraId="70EAA53C" w14:textId="77777777" w:rsidR="00BF4119" w:rsidRPr="004F6F74" w:rsidRDefault="00BF4119" w:rsidP="00BF4119">
      <w:pPr>
        <w:pStyle w:val="ATHeading2"/>
      </w:pPr>
      <w:bookmarkStart w:id="1" w:name="title"/>
      <w:r w:rsidRPr="004F6F74">
        <w:t>En sammenhængende skatteramme for EU's finanssektor</w:t>
      </w:r>
      <w:bookmarkEnd w:id="1"/>
    </w:p>
    <w:p w14:paraId="74D1E960" w14:textId="3CEFA53C" w:rsidR="00BF4119" w:rsidRPr="005E4A0B" w:rsidRDefault="00BF4119" w:rsidP="00BF4119">
      <w:pPr>
        <w:rPr>
          <w:i/>
          <w:vanish/>
        </w:rPr>
      </w:pPr>
      <w:r w:rsidRPr="005E4A0B">
        <w:rPr>
          <w:i/>
        </w:rPr>
        <w:fldChar w:fldCharType="begin"/>
      </w:r>
      <w:r w:rsidRPr="005E4A0B">
        <w:rPr>
          <w:i/>
        </w:rPr>
        <w:instrText xml:space="preserve"> TC"(</w:instrText>
      </w:r>
      <w:bookmarkStart w:id="2" w:name="DocNumber"/>
      <w:r w:rsidRPr="005E4A0B">
        <w:rPr>
          <w:i/>
        </w:rPr>
        <w:instrText>A</w:instrText>
      </w:r>
      <w:r w:rsidR="00A519C8" w:rsidRPr="005E4A0B">
        <w:rPr>
          <w:i/>
        </w:rPr>
        <w:instrText>10</w:instrText>
      </w:r>
      <w:r w:rsidRPr="005E4A0B">
        <w:rPr>
          <w:i/>
        </w:rPr>
        <w:instrText>-</w:instrText>
      </w:r>
      <w:r w:rsidR="00A519C8" w:rsidRPr="005E4A0B">
        <w:rPr>
          <w:i/>
        </w:rPr>
        <w:instrText>0169</w:instrText>
      </w:r>
      <w:r w:rsidRPr="005E4A0B">
        <w:rPr>
          <w:i/>
        </w:rPr>
        <w:instrText>/</w:instrText>
      </w:r>
      <w:r w:rsidR="00A519C8" w:rsidRPr="005E4A0B">
        <w:rPr>
          <w:i/>
        </w:rPr>
        <w:instrText>20</w:instrText>
      </w:r>
      <w:bookmarkEnd w:id="2"/>
      <w:r w:rsidR="00A519C8" w:rsidRPr="005E4A0B">
        <w:rPr>
          <w:i/>
        </w:rPr>
        <w:instrText>26</w:instrText>
      </w:r>
      <w:r w:rsidRPr="005E4A0B">
        <w:rPr>
          <w:i/>
        </w:rPr>
        <w:instrText xml:space="preserve"> - Ordfører: Matthias </w:instrText>
      </w:r>
      <w:proofErr w:type="spellStart"/>
      <w:r w:rsidRPr="005E4A0B">
        <w:rPr>
          <w:i/>
        </w:rPr>
        <w:instrText>Ecke</w:instrText>
      </w:r>
      <w:proofErr w:type="spellEnd"/>
      <w:r w:rsidRPr="005E4A0B">
        <w:rPr>
          <w:i/>
        </w:rPr>
        <w:instrText>)"\l</w:instrText>
      </w:r>
      <w:r w:rsidR="00A519C8" w:rsidRPr="005E4A0B">
        <w:rPr>
          <w:i/>
        </w:rPr>
        <w:instrText>3</w:instrText>
      </w:r>
      <w:r w:rsidRPr="005E4A0B">
        <w:rPr>
          <w:i/>
        </w:rPr>
        <w:instrText xml:space="preserve"> \n&gt; \* MERGEFORMAT </w:instrText>
      </w:r>
      <w:r w:rsidRPr="005E4A0B">
        <w:rPr>
          <w:i/>
        </w:rPr>
        <w:fldChar w:fldCharType="end"/>
      </w:r>
    </w:p>
    <w:p w14:paraId="33F30E5F" w14:textId="77777777" w:rsidR="00BF4119" w:rsidRPr="005E4A0B" w:rsidRDefault="00BF4119" w:rsidP="00BF4119">
      <w:pPr>
        <w:rPr>
          <w:vanish/>
        </w:rPr>
      </w:pPr>
      <w:bookmarkStart w:id="3" w:name="Commission"/>
      <w:r w:rsidRPr="005E4A0B">
        <w:rPr>
          <w:vanish/>
        </w:rPr>
        <w:t>Økonomi- og Valutaudvalget</w:t>
      </w:r>
      <w:bookmarkEnd w:id="3"/>
    </w:p>
    <w:p w14:paraId="0E7B2E27" w14:textId="6C9C01F5" w:rsidR="00BF4119" w:rsidRPr="005E4A0B" w:rsidRDefault="00BF4119" w:rsidP="00BF4119">
      <w:pPr>
        <w:rPr>
          <w:vanish/>
        </w:rPr>
      </w:pPr>
      <w:bookmarkStart w:id="4" w:name="PE"/>
      <w:r w:rsidRPr="005E4A0B">
        <w:rPr>
          <w:vanish/>
        </w:rPr>
        <w:t>PE</w:t>
      </w:r>
      <w:r w:rsidR="00A519C8" w:rsidRPr="005E4A0B">
        <w:rPr>
          <w:vanish/>
        </w:rPr>
        <w:t>779</w:t>
      </w:r>
      <w:r w:rsidRPr="005E4A0B">
        <w:rPr>
          <w:vanish/>
        </w:rPr>
        <w:t>.</w:t>
      </w:r>
      <w:r w:rsidR="00A519C8" w:rsidRPr="005E4A0B">
        <w:rPr>
          <w:vanish/>
        </w:rPr>
        <w:t>3</w:t>
      </w:r>
      <w:bookmarkEnd w:id="4"/>
      <w:r w:rsidR="00A519C8" w:rsidRPr="005E4A0B">
        <w:rPr>
          <w:vanish/>
        </w:rPr>
        <w:t>60</w:t>
      </w:r>
    </w:p>
    <w:p w14:paraId="26A64744" w14:textId="7E377F67" w:rsidR="00BF4119" w:rsidRPr="004F6F74" w:rsidRDefault="00BF4119" w:rsidP="00BF4119">
      <w:pPr>
        <w:pStyle w:val="ATHeading3"/>
      </w:pPr>
      <w:bookmarkStart w:id="5" w:name="Sujet"/>
      <w:r w:rsidRPr="004F6F74">
        <w:t xml:space="preserve">Europa-Parlamentets beslutning af </w:t>
      </w:r>
      <w:r w:rsidR="00A519C8" w:rsidRPr="004F6F74">
        <w:t>7</w:t>
      </w:r>
      <w:r w:rsidRPr="004F6F74">
        <w:t xml:space="preserve">. juli </w:t>
      </w:r>
      <w:r w:rsidR="00A519C8" w:rsidRPr="004F6F74">
        <w:t>2026</w:t>
      </w:r>
      <w:r w:rsidRPr="004F6F74">
        <w:t xml:space="preserve"> om en sammenhængende skatteramme for EU's finanssektor</w:t>
      </w:r>
      <w:bookmarkEnd w:id="5"/>
      <w:r w:rsidRPr="004F6F74">
        <w:t xml:space="preserve"> </w:t>
      </w:r>
      <w:bookmarkStart w:id="6" w:name="References"/>
      <w:r w:rsidRPr="004F6F74">
        <w:t>(</w:t>
      </w:r>
      <w:r w:rsidR="00A519C8" w:rsidRPr="004F6F74">
        <w:t>2024</w:t>
      </w:r>
      <w:r w:rsidRPr="004F6F74">
        <w:t>/</w:t>
      </w:r>
      <w:r w:rsidR="00A519C8" w:rsidRPr="004F6F74">
        <w:t>2117</w:t>
      </w:r>
      <w:r w:rsidRPr="004F6F74">
        <w:t>(INI))</w:t>
      </w:r>
      <w:bookmarkEnd w:id="6"/>
    </w:p>
    <w:p w14:paraId="7D9DFECF" w14:textId="77777777" w:rsidR="00BA09B2" w:rsidRPr="004F6F74" w:rsidRDefault="00BA09B2" w:rsidP="004F6F74">
      <w:pPr>
        <w:pStyle w:val="Normal12"/>
        <w:spacing w:before="480"/>
        <w:rPr>
          <w:i/>
          <w:iCs/>
        </w:rPr>
      </w:pPr>
      <w:r w:rsidRPr="004F6F74">
        <w:rPr>
          <w:i/>
          <w:iCs/>
        </w:rPr>
        <w:t>Europa-Parlamentet,</w:t>
      </w:r>
    </w:p>
    <w:p w14:paraId="314551B2" w14:textId="7A063470" w:rsidR="00BA09B2" w:rsidRPr="005E4A0B" w:rsidRDefault="00BA09B2" w:rsidP="00BA09B2">
      <w:pPr>
        <w:pStyle w:val="NormalHanging"/>
      </w:pPr>
      <w:r w:rsidRPr="005E4A0B">
        <w:t>–</w:t>
      </w:r>
      <w:r w:rsidRPr="005E4A0B">
        <w:tab/>
        <w:t xml:space="preserve">der henviser til traktaten om Den Europæiske Unions funktionsmåde, særlig artikel </w:t>
      </w:r>
      <w:r w:rsidR="00A519C8" w:rsidRPr="005E4A0B">
        <w:t>113</w:t>
      </w:r>
      <w:r w:rsidRPr="005E4A0B">
        <w:t xml:space="preserve">, </w:t>
      </w:r>
      <w:r w:rsidR="00A519C8" w:rsidRPr="005E4A0B">
        <w:t>114</w:t>
      </w:r>
      <w:r w:rsidRPr="005E4A0B">
        <w:t xml:space="preserve"> og </w:t>
      </w:r>
      <w:r w:rsidR="00A519C8" w:rsidRPr="005E4A0B">
        <w:t>115</w:t>
      </w:r>
      <w:r w:rsidRPr="005E4A0B">
        <w:t>,</w:t>
      </w:r>
    </w:p>
    <w:p w14:paraId="4B5BF54D" w14:textId="04754CAF" w:rsidR="00BA09B2" w:rsidRPr="005E4A0B" w:rsidRDefault="00BA09B2" w:rsidP="00BA09B2">
      <w:pPr>
        <w:pStyle w:val="NormalHanging"/>
      </w:pPr>
      <w:r w:rsidRPr="005E4A0B">
        <w:t>–</w:t>
      </w:r>
      <w:r w:rsidRPr="005E4A0B">
        <w:tab/>
        <w:t xml:space="preserve">der henviser til Kommissionens forslag af </w:t>
      </w:r>
      <w:r w:rsidR="00A519C8" w:rsidRPr="005E4A0B">
        <w:t>28</w:t>
      </w:r>
      <w:r w:rsidRPr="005E4A0B">
        <w:t xml:space="preserve">. september </w:t>
      </w:r>
      <w:r w:rsidR="00A519C8" w:rsidRPr="005E4A0B">
        <w:t>2011</w:t>
      </w:r>
      <w:r w:rsidRPr="005E4A0B">
        <w:t xml:space="preserve"> til Rådets direktiv om en fælles ordning for beskatning af finansielle transaktioner og om ændring af direktiv </w:t>
      </w:r>
      <w:r w:rsidR="00A519C8" w:rsidRPr="005E4A0B">
        <w:t>2008</w:t>
      </w:r>
      <w:r w:rsidRPr="005E4A0B">
        <w:t>/</w:t>
      </w:r>
      <w:r w:rsidR="00A519C8" w:rsidRPr="005E4A0B">
        <w:t>7</w:t>
      </w:r>
      <w:r w:rsidRPr="005E4A0B">
        <w:t>/EF (</w:t>
      </w:r>
      <w:proofErr w:type="gramStart"/>
      <w:r w:rsidRPr="005E4A0B">
        <w:t>COM(</w:t>
      </w:r>
      <w:proofErr w:type="gramEnd"/>
      <w:r w:rsidR="00A519C8" w:rsidRPr="005E4A0B">
        <w:t>2011</w:t>
      </w:r>
      <w:r w:rsidRPr="005E4A0B">
        <w:t>)</w:t>
      </w:r>
      <w:r w:rsidR="00A519C8" w:rsidRPr="005E4A0B">
        <w:t>0594</w:t>
      </w:r>
      <w:r w:rsidRPr="005E4A0B">
        <w:t>),</w:t>
      </w:r>
    </w:p>
    <w:p w14:paraId="21DE6A6F" w14:textId="4C119845" w:rsidR="00BA09B2" w:rsidRPr="005E4A0B" w:rsidRDefault="00BA09B2" w:rsidP="00BA09B2">
      <w:pPr>
        <w:pStyle w:val="NormalHanging"/>
      </w:pPr>
      <w:r w:rsidRPr="005E4A0B">
        <w:t>–</w:t>
      </w:r>
      <w:r w:rsidRPr="005E4A0B">
        <w:tab/>
        <w:t xml:space="preserve">der henviser til Kommissionens forslag af </w:t>
      </w:r>
      <w:r w:rsidR="00A519C8" w:rsidRPr="005E4A0B">
        <w:t>14</w:t>
      </w:r>
      <w:r w:rsidRPr="005E4A0B">
        <w:t xml:space="preserve">. februar </w:t>
      </w:r>
      <w:r w:rsidR="00A519C8" w:rsidRPr="005E4A0B">
        <w:t>2013</w:t>
      </w:r>
      <w:r w:rsidRPr="005E4A0B">
        <w:t xml:space="preserve"> til Rådets direktiv om gennemførelse af forstærket samarbejde på området for afgift på finansielle transaktioner (</w:t>
      </w:r>
      <w:proofErr w:type="gramStart"/>
      <w:r w:rsidRPr="005E4A0B">
        <w:t>COM(</w:t>
      </w:r>
      <w:proofErr w:type="gramEnd"/>
      <w:r w:rsidR="00A519C8" w:rsidRPr="005E4A0B">
        <w:t>2013</w:t>
      </w:r>
      <w:r w:rsidRPr="005E4A0B">
        <w:t>)</w:t>
      </w:r>
      <w:r w:rsidR="00A519C8" w:rsidRPr="005E4A0B">
        <w:t>0071</w:t>
      </w:r>
      <w:r w:rsidRPr="005E4A0B">
        <w:t>) (AFT-forslaget),</w:t>
      </w:r>
    </w:p>
    <w:p w14:paraId="6CA5E788" w14:textId="0DA54B33" w:rsidR="00BA09B2" w:rsidRPr="005E4A0B" w:rsidRDefault="00BA09B2" w:rsidP="00BA09B2">
      <w:pPr>
        <w:pStyle w:val="NormalHanging"/>
      </w:pPr>
      <w:r w:rsidRPr="005E4A0B">
        <w:t>–</w:t>
      </w:r>
      <w:r w:rsidRPr="005E4A0B">
        <w:tab/>
        <w:t xml:space="preserve">der henviser til Kommissionens forslag af </w:t>
      </w:r>
      <w:r w:rsidR="00A519C8" w:rsidRPr="005E4A0B">
        <w:t>28</w:t>
      </w:r>
      <w:r w:rsidRPr="005E4A0B">
        <w:t xml:space="preserve">. november </w:t>
      </w:r>
      <w:r w:rsidR="00A519C8" w:rsidRPr="005E4A0B">
        <w:t>2007</w:t>
      </w:r>
      <w:r w:rsidRPr="005E4A0B">
        <w:t xml:space="preserve"> til Rådets forordning om gennemførelsesbestemmelser til direktiv </w:t>
      </w:r>
      <w:r w:rsidR="00A519C8" w:rsidRPr="005E4A0B">
        <w:t>2006</w:t>
      </w:r>
      <w:r w:rsidRPr="005E4A0B">
        <w:t>/</w:t>
      </w:r>
      <w:r w:rsidR="00A519C8" w:rsidRPr="005E4A0B">
        <w:t>112</w:t>
      </w:r>
      <w:r w:rsidRPr="005E4A0B">
        <w:t>/EF om det fælles merværdiafgiftssystem med hensyn til behandlingen af forsikringstjenester og finansielle tjenester (</w:t>
      </w:r>
      <w:proofErr w:type="gramStart"/>
      <w:r w:rsidRPr="005E4A0B">
        <w:t>COM(</w:t>
      </w:r>
      <w:proofErr w:type="gramEnd"/>
      <w:r w:rsidR="00A519C8" w:rsidRPr="005E4A0B">
        <w:t>2007</w:t>
      </w:r>
      <w:r w:rsidRPr="005E4A0B">
        <w:t>)</w:t>
      </w:r>
      <w:r w:rsidR="00A519C8" w:rsidRPr="005E4A0B">
        <w:t>0746</w:t>
      </w:r>
      <w:r w:rsidRPr="005E4A0B">
        <w:t>),</w:t>
      </w:r>
    </w:p>
    <w:p w14:paraId="33B049FD" w14:textId="3D9B84D1" w:rsidR="00BA09B2" w:rsidRPr="005E4A0B" w:rsidRDefault="00BA09B2" w:rsidP="00BA09B2">
      <w:pPr>
        <w:pStyle w:val="NormalHanging"/>
      </w:pPr>
      <w:r w:rsidRPr="005E4A0B">
        <w:t>–</w:t>
      </w:r>
      <w:r w:rsidRPr="005E4A0B">
        <w:tab/>
        <w:t xml:space="preserve">der henviser til Kommissionens forslag af </w:t>
      </w:r>
      <w:r w:rsidR="00A519C8" w:rsidRPr="005E4A0B">
        <w:t>28</w:t>
      </w:r>
      <w:r w:rsidRPr="005E4A0B">
        <w:t xml:space="preserve">. november </w:t>
      </w:r>
      <w:r w:rsidR="00A519C8" w:rsidRPr="005E4A0B">
        <w:t>2007</w:t>
      </w:r>
      <w:r w:rsidRPr="005E4A0B">
        <w:t xml:space="preserve"> til Rådets direktiv om ændring af direktiv </w:t>
      </w:r>
      <w:r w:rsidR="00A519C8" w:rsidRPr="005E4A0B">
        <w:t>2006</w:t>
      </w:r>
      <w:r w:rsidRPr="005E4A0B">
        <w:t>/</w:t>
      </w:r>
      <w:r w:rsidR="00A519C8" w:rsidRPr="005E4A0B">
        <w:t>112</w:t>
      </w:r>
      <w:r w:rsidRPr="005E4A0B">
        <w:t>/EF om det fælles merværdiafgiftssystem med hensyn til behandlingen af forsikringstjenester og finansielle tjenester (</w:t>
      </w:r>
      <w:proofErr w:type="gramStart"/>
      <w:r w:rsidRPr="005E4A0B">
        <w:t>COM(</w:t>
      </w:r>
      <w:proofErr w:type="gramEnd"/>
      <w:r w:rsidR="00A519C8" w:rsidRPr="005E4A0B">
        <w:t>2007</w:t>
      </w:r>
      <w:r w:rsidRPr="005E4A0B">
        <w:t>)</w:t>
      </w:r>
      <w:r w:rsidR="00A519C8" w:rsidRPr="005E4A0B">
        <w:t>0747</w:t>
      </w:r>
      <w:r w:rsidRPr="005E4A0B">
        <w:t>),</w:t>
      </w:r>
    </w:p>
    <w:p w14:paraId="0D1332E0" w14:textId="2FE3F9F3" w:rsidR="00BA09B2" w:rsidRPr="005E4A0B" w:rsidRDefault="00BA09B2" w:rsidP="00BA09B2">
      <w:pPr>
        <w:pStyle w:val="NormalHanging"/>
      </w:pPr>
      <w:r w:rsidRPr="005E4A0B">
        <w:t>–</w:t>
      </w:r>
      <w:r w:rsidRPr="005E4A0B">
        <w:tab/>
        <w:t xml:space="preserve">der henviser til Europa-Parlamentets og Rådets forordning (EU) </w:t>
      </w:r>
      <w:r w:rsidR="00A519C8" w:rsidRPr="005E4A0B">
        <w:t>2023</w:t>
      </w:r>
      <w:r w:rsidRPr="005E4A0B">
        <w:t>/</w:t>
      </w:r>
      <w:r w:rsidR="00A519C8" w:rsidRPr="005E4A0B">
        <w:t>1114</w:t>
      </w:r>
      <w:r w:rsidRPr="005E4A0B">
        <w:t xml:space="preserve"> af </w:t>
      </w:r>
      <w:r w:rsidR="00A519C8" w:rsidRPr="005E4A0B">
        <w:t>31</w:t>
      </w:r>
      <w:r w:rsidRPr="005E4A0B">
        <w:t xml:space="preserve">. maj </w:t>
      </w:r>
      <w:r w:rsidR="00A519C8" w:rsidRPr="005E4A0B">
        <w:t>2023</w:t>
      </w:r>
      <w:r w:rsidRPr="005E4A0B">
        <w:t xml:space="preserve"> om markeder for </w:t>
      </w:r>
      <w:proofErr w:type="spellStart"/>
      <w:r w:rsidRPr="005E4A0B">
        <w:t>kryptoaktiver</w:t>
      </w:r>
      <w:proofErr w:type="spellEnd"/>
      <w:r w:rsidRPr="005E4A0B">
        <w:t xml:space="preserve"> og om ændring af forordning (EU) nr. </w:t>
      </w:r>
      <w:r w:rsidR="00A519C8" w:rsidRPr="005E4A0B">
        <w:t>1093</w:t>
      </w:r>
      <w:r w:rsidRPr="005E4A0B">
        <w:t>/</w:t>
      </w:r>
      <w:r w:rsidR="00A519C8" w:rsidRPr="005E4A0B">
        <w:t>2010</w:t>
      </w:r>
      <w:r w:rsidRPr="005E4A0B">
        <w:t xml:space="preserve"> og (EU) nr. </w:t>
      </w:r>
      <w:r w:rsidR="00A519C8" w:rsidRPr="005E4A0B">
        <w:t>1095</w:t>
      </w:r>
      <w:r w:rsidRPr="005E4A0B">
        <w:t>/</w:t>
      </w:r>
      <w:r w:rsidR="00A519C8" w:rsidRPr="005E4A0B">
        <w:t>2010</w:t>
      </w:r>
      <w:r w:rsidRPr="005E4A0B">
        <w:t xml:space="preserve"> og direktiv </w:t>
      </w:r>
      <w:r w:rsidR="00A519C8" w:rsidRPr="005E4A0B">
        <w:t>2013</w:t>
      </w:r>
      <w:r w:rsidRPr="005E4A0B">
        <w:t>/</w:t>
      </w:r>
      <w:r w:rsidR="00A519C8" w:rsidRPr="005E4A0B">
        <w:t>36</w:t>
      </w:r>
      <w:r w:rsidRPr="005E4A0B">
        <w:t xml:space="preserve">/EU og (EU) </w:t>
      </w:r>
      <w:r w:rsidR="00A519C8" w:rsidRPr="005E4A0B">
        <w:t>2019</w:t>
      </w:r>
      <w:r w:rsidRPr="005E4A0B">
        <w:t>/</w:t>
      </w:r>
      <w:r w:rsidR="00A519C8" w:rsidRPr="005E4A0B">
        <w:t>1937</w:t>
      </w:r>
      <w:r w:rsidR="00A519C8" w:rsidRPr="005E4A0B">
        <w:rPr>
          <w:rStyle w:val="FootnoteReference"/>
        </w:rPr>
        <w:footnoteReference w:id="1"/>
      </w:r>
      <w:r w:rsidRPr="005E4A0B">
        <w:t>,</w:t>
      </w:r>
    </w:p>
    <w:p w14:paraId="34936530" w14:textId="649B9CC5" w:rsidR="00BA09B2" w:rsidRPr="005E4A0B" w:rsidRDefault="00BA09B2" w:rsidP="00BA09B2">
      <w:pPr>
        <w:pStyle w:val="NormalHanging"/>
      </w:pPr>
      <w:r w:rsidRPr="005E4A0B">
        <w:t>–</w:t>
      </w:r>
      <w:r w:rsidRPr="005E4A0B">
        <w:tab/>
        <w:t xml:space="preserve">der henviser til Kommissionens indledende konsekvensanalyse af </w:t>
      </w:r>
      <w:r w:rsidR="00A519C8" w:rsidRPr="005E4A0B">
        <w:t>22</w:t>
      </w:r>
      <w:r w:rsidRPr="005E4A0B">
        <w:t xml:space="preserve">. oktober </w:t>
      </w:r>
      <w:r w:rsidR="00A519C8" w:rsidRPr="005E4A0B">
        <w:t>2020</w:t>
      </w:r>
      <w:r w:rsidRPr="005E4A0B">
        <w:t xml:space="preserve"> om en revision af momsreglerne for finansielle tjenester og forsikringstjenester,</w:t>
      </w:r>
    </w:p>
    <w:p w14:paraId="159DA38E" w14:textId="087DA0E0" w:rsidR="00BA09B2" w:rsidRPr="005E4A0B" w:rsidRDefault="00BA09B2" w:rsidP="00BA09B2">
      <w:pPr>
        <w:pStyle w:val="NormalHanging"/>
      </w:pPr>
      <w:r w:rsidRPr="005E4A0B">
        <w:t>–</w:t>
      </w:r>
      <w:r w:rsidRPr="005E4A0B">
        <w:tab/>
        <w:t xml:space="preserve">der henviser til Kommissionens forslag af </w:t>
      </w:r>
      <w:r w:rsidR="00A519C8" w:rsidRPr="005E4A0B">
        <w:t>12</w:t>
      </w:r>
      <w:r w:rsidRPr="005E4A0B">
        <w:t xml:space="preserve">. september </w:t>
      </w:r>
      <w:r w:rsidR="00A519C8" w:rsidRPr="005E4A0B">
        <w:t>2023</w:t>
      </w:r>
      <w:r w:rsidRPr="005E4A0B">
        <w:t xml:space="preserve"> om indførelse af et </w:t>
      </w:r>
      <w:r w:rsidRPr="005E4A0B">
        <w:lastRenderedPageBreak/>
        <w:t xml:space="preserve">hovedkontorsbaseret beskatningssystem for mikrovirksomheder og små og mellemstore virksomheder og om ændring af direktiv </w:t>
      </w:r>
      <w:r w:rsidR="00A519C8" w:rsidRPr="005E4A0B">
        <w:t>2011</w:t>
      </w:r>
      <w:r w:rsidRPr="005E4A0B">
        <w:t>/</w:t>
      </w:r>
      <w:r w:rsidR="00A519C8" w:rsidRPr="005E4A0B">
        <w:t>16</w:t>
      </w:r>
      <w:r w:rsidRPr="005E4A0B">
        <w:t>/EU,</w:t>
      </w:r>
    </w:p>
    <w:p w14:paraId="5B982C24" w14:textId="360E4DA6" w:rsidR="00BA09B2" w:rsidRPr="005E4A0B" w:rsidRDefault="00BA09B2" w:rsidP="00BA09B2">
      <w:pPr>
        <w:pStyle w:val="NormalHanging"/>
      </w:pPr>
      <w:r w:rsidRPr="005E4A0B">
        <w:t>–</w:t>
      </w:r>
      <w:r w:rsidRPr="005E4A0B">
        <w:tab/>
        <w:t xml:space="preserve">der henviser til Rådets afgørelse (EU, </w:t>
      </w:r>
      <w:proofErr w:type="spellStart"/>
      <w:r w:rsidRPr="005E4A0B">
        <w:t>Euratom</w:t>
      </w:r>
      <w:proofErr w:type="spellEnd"/>
      <w:r w:rsidRPr="005E4A0B">
        <w:t xml:space="preserve">) </w:t>
      </w:r>
      <w:r w:rsidR="00A519C8" w:rsidRPr="005E4A0B">
        <w:t>2020</w:t>
      </w:r>
      <w:r w:rsidRPr="005E4A0B">
        <w:t>/</w:t>
      </w:r>
      <w:r w:rsidR="00A519C8" w:rsidRPr="005E4A0B">
        <w:t>2053</w:t>
      </w:r>
      <w:r w:rsidRPr="005E4A0B">
        <w:t xml:space="preserve"> af </w:t>
      </w:r>
      <w:r w:rsidR="00A519C8" w:rsidRPr="005E4A0B">
        <w:t>14</w:t>
      </w:r>
      <w:r w:rsidRPr="005E4A0B">
        <w:t xml:space="preserve">. december </w:t>
      </w:r>
      <w:r w:rsidR="00A519C8" w:rsidRPr="005E4A0B">
        <w:t>2020</w:t>
      </w:r>
      <w:r w:rsidRPr="005E4A0B">
        <w:t xml:space="preserve"> om ordningen for Den Europæiske Unions egne indtægter og om ophævelse af afgørelse </w:t>
      </w:r>
      <w:r w:rsidR="00A519C8" w:rsidRPr="005E4A0B">
        <w:t>2014</w:t>
      </w:r>
      <w:r w:rsidRPr="005E4A0B">
        <w:t>/</w:t>
      </w:r>
      <w:r w:rsidR="00A519C8" w:rsidRPr="005E4A0B">
        <w:t>335</w:t>
      </w:r>
      <w:r w:rsidRPr="005E4A0B">
        <w:t xml:space="preserve">/EU, </w:t>
      </w:r>
      <w:proofErr w:type="spellStart"/>
      <w:r w:rsidRPr="005E4A0B">
        <w:t>Euratom</w:t>
      </w:r>
      <w:proofErr w:type="spellEnd"/>
      <w:r w:rsidR="00A519C8" w:rsidRPr="005E4A0B">
        <w:rPr>
          <w:rStyle w:val="FootnoteReference"/>
        </w:rPr>
        <w:footnoteReference w:id="2"/>
      </w:r>
      <w:r w:rsidRPr="005E4A0B">
        <w:t>,</w:t>
      </w:r>
    </w:p>
    <w:p w14:paraId="77E24BB3" w14:textId="494B49AE" w:rsidR="00BA09B2" w:rsidRPr="005E4A0B" w:rsidRDefault="00BA09B2" w:rsidP="00BA09B2">
      <w:pPr>
        <w:pStyle w:val="NormalHanging"/>
      </w:pPr>
      <w:r w:rsidRPr="005E4A0B">
        <w:t>–</w:t>
      </w:r>
      <w:r w:rsidRPr="005E4A0B">
        <w:tab/>
        <w:t xml:space="preserve">der henviser til Kommissionens meddelelse af </w:t>
      </w:r>
      <w:r w:rsidR="00A519C8" w:rsidRPr="005E4A0B">
        <w:t>22</w:t>
      </w:r>
      <w:r w:rsidRPr="005E4A0B">
        <w:t xml:space="preserve">. december </w:t>
      </w:r>
      <w:r w:rsidR="00A519C8" w:rsidRPr="005E4A0B">
        <w:t>2021</w:t>
      </w:r>
      <w:r w:rsidRPr="005E4A0B">
        <w:t xml:space="preserve"> med titlen "Næste generation af egne indtægter til EU-budgettet" (</w:t>
      </w:r>
      <w:proofErr w:type="gramStart"/>
      <w:r w:rsidRPr="005E4A0B">
        <w:t>COM(</w:t>
      </w:r>
      <w:proofErr w:type="gramEnd"/>
      <w:r w:rsidR="00A519C8" w:rsidRPr="005E4A0B">
        <w:t>2021</w:t>
      </w:r>
      <w:r w:rsidRPr="005E4A0B">
        <w:t>)</w:t>
      </w:r>
      <w:r w:rsidR="00A519C8" w:rsidRPr="005E4A0B">
        <w:t>0566</w:t>
      </w:r>
      <w:r w:rsidRPr="005E4A0B">
        <w:t>),</w:t>
      </w:r>
    </w:p>
    <w:p w14:paraId="3F7EFE13" w14:textId="631AB52A" w:rsidR="00BA09B2" w:rsidRPr="005E4A0B" w:rsidRDefault="00BA09B2" w:rsidP="00BA09B2">
      <w:pPr>
        <w:pStyle w:val="NormalHanging"/>
      </w:pPr>
      <w:r w:rsidRPr="005E4A0B">
        <w:t>–</w:t>
      </w:r>
      <w:r w:rsidRPr="005E4A0B">
        <w:tab/>
        <w:t xml:space="preserve">der henviser til undersøgelsen bestilt af Parlamentets Underudvalg om Skattespørgsmål med titlen "The </w:t>
      </w:r>
      <w:proofErr w:type="spellStart"/>
      <w:r w:rsidRPr="005E4A0B">
        <w:t>taxation</w:t>
      </w:r>
      <w:proofErr w:type="spellEnd"/>
      <w:r w:rsidRPr="005E4A0B">
        <w:t xml:space="preserve"> of the EU's </w:t>
      </w:r>
      <w:proofErr w:type="spellStart"/>
      <w:r w:rsidRPr="005E4A0B">
        <w:t>financial</w:t>
      </w:r>
      <w:proofErr w:type="spellEnd"/>
      <w:r w:rsidRPr="005E4A0B">
        <w:t xml:space="preserve"> </w:t>
      </w:r>
      <w:proofErr w:type="spellStart"/>
      <w:r w:rsidRPr="005E4A0B">
        <w:t>sector</w:t>
      </w:r>
      <w:proofErr w:type="spellEnd"/>
      <w:r w:rsidRPr="005E4A0B">
        <w:t xml:space="preserve">" (beskatning af EU's finanssektor), som blev offentliggjort af Parlamentets Generaldirektorat for Økonomi, Omstilling og Industri i juni </w:t>
      </w:r>
      <w:r w:rsidR="00A519C8" w:rsidRPr="005E4A0B">
        <w:t>2025</w:t>
      </w:r>
      <w:r w:rsidR="00A519C8" w:rsidRPr="005E4A0B">
        <w:rPr>
          <w:rStyle w:val="FootnoteReference"/>
        </w:rPr>
        <w:footnoteReference w:id="3"/>
      </w:r>
      <w:r w:rsidRPr="005E4A0B">
        <w:t>,</w:t>
      </w:r>
    </w:p>
    <w:p w14:paraId="05E5F60C" w14:textId="77777777" w:rsidR="00BA09B2" w:rsidRPr="005E4A0B" w:rsidRDefault="00BA09B2" w:rsidP="00BA09B2">
      <w:pPr>
        <w:pStyle w:val="NormalHanging"/>
      </w:pPr>
      <w:r w:rsidRPr="005E4A0B">
        <w:t>–</w:t>
      </w:r>
      <w:r w:rsidRPr="005E4A0B">
        <w:tab/>
        <w:t>der henviser til Den Europæiske Unions Domstols retspraksis om momsfritagelse for finansielle tjenesteydelser og forsikringstjenesteydelser,</w:t>
      </w:r>
    </w:p>
    <w:p w14:paraId="621CE759" w14:textId="776291E6" w:rsidR="00BA09B2" w:rsidRPr="005E4A0B" w:rsidRDefault="00BA09B2" w:rsidP="00BA09B2">
      <w:pPr>
        <w:pStyle w:val="NormalHanging"/>
      </w:pPr>
      <w:r w:rsidRPr="005E4A0B">
        <w:t>–</w:t>
      </w:r>
      <w:r w:rsidRPr="005E4A0B">
        <w:tab/>
        <w:t xml:space="preserve">der henviser til den </w:t>
      </w:r>
      <w:proofErr w:type="spellStart"/>
      <w:r w:rsidRPr="005E4A0B">
        <w:t>interinstitutionelle</w:t>
      </w:r>
      <w:proofErr w:type="spellEnd"/>
      <w:r w:rsidRPr="005E4A0B">
        <w:t xml:space="preserve"> aftale af </w:t>
      </w:r>
      <w:r w:rsidR="00A519C8" w:rsidRPr="005E4A0B">
        <w:t>16</w:t>
      </w:r>
      <w:r w:rsidRPr="005E4A0B">
        <w:t xml:space="preserve">. december </w:t>
      </w:r>
      <w:r w:rsidR="00A519C8" w:rsidRPr="005E4A0B">
        <w:t>2020</w:t>
      </w:r>
      <w:r w:rsidRPr="005E4A0B">
        <w:t xml:space="preserve"> mellem Europa-Parlamentet, Rådet for Den Europæiske Union og Europa-Kommissionen om budgetdisciplin, om samarbejde på budgetområdet og om forsvarlig økonomisk forvaltning samt om nye egne indtægter, herunder en køreplan hen imod indførelse af nye egne indtægter</w:t>
      </w:r>
      <w:r w:rsidR="00A519C8" w:rsidRPr="005E4A0B">
        <w:rPr>
          <w:rStyle w:val="FootnoteReference"/>
        </w:rPr>
        <w:footnoteReference w:id="4"/>
      </w:r>
      <w:r w:rsidRPr="005E4A0B">
        <w:t>,</w:t>
      </w:r>
    </w:p>
    <w:p w14:paraId="09E43BFE" w14:textId="334EDCBF" w:rsidR="00BA09B2" w:rsidRPr="005E4A0B" w:rsidRDefault="00BA09B2" w:rsidP="00BA09B2">
      <w:pPr>
        <w:pStyle w:val="NormalHanging"/>
      </w:pPr>
      <w:r w:rsidRPr="005E4A0B">
        <w:t>–</w:t>
      </w:r>
      <w:r w:rsidRPr="005E4A0B">
        <w:tab/>
        <w:t xml:space="preserve">der henviser til sin beslutning af </w:t>
      </w:r>
      <w:r w:rsidR="00A519C8" w:rsidRPr="005E4A0B">
        <w:t>10</w:t>
      </w:r>
      <w:r w:rsidRPr="005E4A0B">
        <w:t xml:space="preserve">. maj </w:t>
      </w:r>
      <w:r w:rsidR="00A519C8" w:rsidRPr="005E4A0B">
        <w:t>2023</w:t>
      </w:r>
      <w:r w:rsidRPr="005E4A0B">
        <w:t xml:space="preserve"> om egne indtægter: en ny start for EU's finanser, en ny start for Europa</w:t>
      </w:r>
      <w:r w:rsidR="00A519C8" w:rsidRPr="005E4A0B">
        <w:rPr>
          <w:rStyle w:val="FootnoteReference"/>
        </w:rPr>
        <w:footnoteReference w:id="5"/>
      </w:r>
      <w:r w:rsidRPr="005E4A0B">
        <w:t>,</w:t>
      </w:r>
    </w:p>
    <w:p w14:paraId="13DE4004" w14:textId="551BD8C4" w:rsidR="00BA09B2" w:rsidRPr="005E4A0B" w:rsidRDefault="00BA09B2" w:rsidP="00BA09B2">
      <w:pPr>
        <w:pStyle w:val="NormalHanging"/>
      </w:pPr>
      <w:r w:rsidRPr="005E4A0B">
        <w:t>–</w:t>
      </w:r>
      <w:r w:rsidRPr="005E4A0B">
        <w:tab/>
        <w:t xml:space="preserve">der henviser til Enrico </w:t>
      </w:r>
      <w:proofErr w:type="spellStart"/>
      <w:r w:rsidRPr="005E4A0B">
        <w:t>Lettas</w:t>
      </w:r>
      <w:proofErr w:type="spellEnd"/>
      <w:r w:rsidRPr="005E4A0B">
        <w:t xml:space="preserve"> rapport fra april </w:t>
      </w:r>
      <w:r w:rsidR="00A519C8" w:rsidRPr="005E4A0B">
        <w:t>2024</w:t>
      </w:r>
      <w:r w:rsidRPr="005E4A0B">
        <w:t xml:space="preserve"> med titlen "Much </w:t>
      </w:r>
      <w:proofErr w:type="gramStart"/>
      <w:r w:rsidRPr="005E4A0B">
        <w:t>more</w:t>
      </w:r>
      <w:proofErr w:type="gramEnd"/>
      <w:r w:rsidRPr="005E4A0B">
        <w:t xml:space="preserve"> </w:t>
      </w:r>
      <w:proofErr w:type="spellStart"/>
      <w:r w:rsidRPr="005E4A0B">
        <w:t>than</w:t>
      </w:r>
      <w:proofErr w:type="spellEnd"/>
      <w:r w:rsidRPr="005E4A0B">
        <w:t xml:space="preserve"> a </w:t>
      </w:r>
      <w:proofErr w:type="spellStart"/>
      <w:r w:rsidRPr="005E4A0B">
        <w:t>market</w:t>
      </w:r>
      <w:proofErr w:type="spellEnd"/>
      <w:r w:rsidRPr="005E4A0B">
        <w:t xml:space="preserve"> – Speed, Security, </w:t>
      </w:r>
      <w:proofErr w:type="spellStart"/>
      <w:r w:rsidRPr="005E4A0B">
        <w:t>Solidarity</w:t>
      </w:r>
      <w:proofErr w:type="spellEnd"/>
      <w:r w:rsidRPr="005E4A0B">
        <w:t xml:space="preserve">: </w:t>
      </w:r>
      <w:proofErr w:type="spellStart"/>
      <w:r w:rsidRPr="005E4A0B">
        <w:t>Empowering</w:t>
      </w:r>
      <w:proofErr w:type="spellEnd"/>
      <w:r w:rsidRPr="005E4A0B">
        <w:t xml:space="preserve"> the Single Market to deliver a </w:t>
      </w:r>
      <w:proofErr w:type="spellStart"/>
      <w:r w:rsidRPr="005E4A0B">
        <w:t>sustainable</w:t>
      </w:r>
      <w:proofErr w:type="spellEnd"/>
      <w:r w:rsidRPr="005E4A0B">
        <w:t xml:space="preserve"> future and </w:t>
      </w:r>
      <w:proofErr w:type="spellStart"/>
      <w:r w:rsidRPr="005E4A0B">
        <w:t>prosperity</w:t>
      </w:r>
      <w:proofErr w:type="spellEnd"/>
      <w:r w:rsidRPr="005E4A0B">
        <w:t xml:space="preserve"> for all EU Citizens" (Meget mere end et marked – hurtighed, sikkerhed og solidaritet: styrkelse af det indre marked for at skabe en bæredygtig fremtid og velstand for alle EU-borgere) (</w:t>
      </w:r>
      <w:proofErr w:type="spellStart"/>
      <w:r w:rsidRPr="005E4A0B">
        <w:t>Lettarapporten</w:t>
      </w:r>
      <w:proofErr w:type="spellEnd"/>
      <w:r w:rsidRPr="005E4A0B">
        <w:t>),</w:t>
      </w:r>
    </w:p>
    <w:p w14:paraId="504A8A88" w14:textId="0429C035" w:rsidR="00BA09B2" w:rsidRPr="005E4A0B" w:rsidRDefault="00BA09B2" w:rsidP="00BA09B2">
      <w:pPr>
        <w:pStyle w:val="NormalHanging"/>
      </w:pPr>
      <w:r w:rsidRPr="005E4A0B">
        <w:t>–</w:t>
      </w:r>
      <w:r w:rsidRPr="005E4A0B">
        <w:tab/>
        <w:t xml:space="preserve">der henviser til Mario </w:t>
      </w:r>
      <w:proofErr w:type="spellStart"/>
      <w:r w:rsidRPr="005E4A0B">
        <w:t>Draghis</w:t>
      </w:r>
      <w:proofErr w:type="spellEnd"/>
      <w:r w:rsidRPr="005E4A0B">
        <w:t xml:space="preserve"> rapport af </w:t>
      </w:r>
      <w:r w:rsidR="00A519C8" w:rsidRPr="005E4A0B">
        <w:t>9</w:t>
      </w:r>
      <w:r w:rsidRPr="005E4A0B">
        <w:t xml:space="preserve">. september </w:t>
      </w:r>
      <w:r w:rsidR="00A519C8" w:rsidRPr="005E4A0B">
        <w:t>2024</w:t>
      </w:r>
      <w:r w:rsidRPr="005E4A0B">
        <w:t xml:space="preserve"> med titlen "The future of European </w:t>
      </w:r>
      <w:proofErr w:type="spellStart"/>
      <w:r w:rsidRPr="005E4A0B">
        <w:t>competitiveness</w:t>
      </w:r>
      <w:proofErr w:type="spellEnd"/>
      <w:r w:rsidRPr="005E4A0B">
        <w:t>" (Fremtiden for den europæiske konkurrenceevne) (</w:t>
      </w:r>
      <w:proofErr w:type="spellStart"/>
      <w:r w:rsidRPr="005E4A0B">
        <w:t>Draghirapporten</w:t>
      </w:r>
      <w:proofErr w:type="spellEnd"/>
      <w:r w:rsidRPr="005E4A0B">
        <w:t>),</w:t>
      </w:r>
    </w:p>
    <w:p w14:paraId="56B15C45" w14:textId="46D2AE6C" w:rsidR="00BA09B2" w:rsidRPr="005E4A0B" w:rsidRDefault="00BA09B2" w:rsidP="00BA09B2">
      <w:pPr>
        <w:pStyle w:val="NormalHanging"/>
      </w:pPr>
      <w:r w:rsidRPr="005E4A0B">
        <w:t>–</w:t>
      </w:r>
      <w:r w:rsidRPr="005E4A0B">
        <w:tab/>
        <w:t>der henviser til Kommissionens meddelelse med titlen "Opsparings- og investeringsunionen: En strategi til fremme af borgernes velstand og økonomisk konkurrenceevne i EU" (</w:t>
      </w:r>
      <w:proofErr w:type="gramStart"/>
      <w:r w:rsidRPr="005E4A0B">
        <w:t>COM(</w:t>
      </w:r>
      <w:proofErr w:type="gramEnd"/>
      <w:r w:rsidR="00A519C8" w:rsidRPr="005E4A0B">
        <w:t>2025</w:t>
      </w:r>
      <w:r w:rsidRPr="005E4A0B">
        <w:t>)</w:t>
      </w:r>
      <w:r w:rsidR="00A519C8" w:rsidRPr="005E4A0B">
        <w:t>0124</w:t>
      </w:r>
      <w:r w:rsidRPr="005E4A0B">
        <w:t>),</w:t>
      </w:r>
    </w:p>
    <w:p w14:paraId="6D2DAD3D" w14:textId="26CA7BD9" w:rsidR="00BA09B2" w:rsidRPr="005E4A0B" w:rsidRDefault="00BA09B2" w:rsidP="00BA09B2">
      <w:pPr>
        <w:pStyle w:val="NormalHanging"/>
      </w:pPr>
      <w:r w:rsidRPr="005E4A0B">
        <w:t>–</w:t>
      </w:r>
      <w:r w:rsidRPr="005E4A0B">
        <w:tab/>
        <w:t xml:space="preserve">der henviser til Kommissionens henstilling (EU) </w:t>
      </w:r>
      <w:r w:rsidR="00A519C8" w:rsidRPr="005E4A0B">
        <w:t>2025</w:t>
      </w:r>
      <w:r w:rsidRPr="005E4A0B">
        <w:t>/</w:t>
      </w:r>
      <w:r w:rsidR="00A519C8" w:rsidRPr="005E4A0B">
        <w:t>2029</w:t>
      </w:r>
      <w:r w:rsidRPr="005E4A0B">
        <w:t xml:space="preserve"> af </w:t>
      </w:r>
      <w:r w:rsidR="00A519C8" w:rsidRPr="005E4A0B">
        <w:t>30</w:t>
      </w:r>
      <w:r w:rsidRPr="005E4A0B">
        <w:t xml:space="preserve">. september </w:t>
      </w:r>
      <w:r w:rsidR="00A519C8" w:rsidRPr="005E4A0B">
        <w:t>2025</w:t>
      </w:r>
      <w:r w:rsidRPr="005E4A0B">
        <w:t xml:space="preserve"> om forøgelse af tilgængeligheden af opsparings- og investeringskonti med forenklet og gunstig skattemæssig behandling</w:t>
      </w:r>
      <w:r w:rsidR="00A519C8" w:rsidRPr="005E4A0B">
        <w:rPr>
          <w:rStyle w:val="FootnoteReference"/>
        </w:rPr>
        <w:footnoteReference w:id="6"/>
      </w:r>
      <w:r w:rsidRPr="005E4A0B">
        <w:t>,</w:t>
      </w:r>
    </w:p>
    <w:p w14:paraId="0C5BE5C3" w14:textId="26EC815D" w:rsidR="00BA09B2" w:rsidRPr="005E4A0B" w:rsidRDefault="00BA09B2" w:rsidP="00BA09B2">
      <w:pPr>
        <w:pStyle w:val="NormalHanging"/>
      </w:pPr>
      <w:r w:rsidRPr="005E4A0B">
        <w:t>–</w:t>
      </w:r>
      <w:r w:rsidRPr="005E4A0B">
        <w:tab/>
        <w:t xml:space="preserve">der henviser til Verdensbankens arbejdsdokument fra maj </w:t>
      </w:r>
      <w:r w:rsidR="00A519C8" w:rsidRPr="005E4A0B">
        <w:t>2025</w:t>
      </w:r>
      <w:r w:rsidRPr="005E4A0B">
        <w:t xml:space="preserve"> med titlen "VAT </w:t>
      </w:r>
      <w:proofErr w:type="spellStart"/>
      <w:r w:rsidRPr="005E4A0B">
        <w:t>exemptions</w:t>
      </w:r>
      <w:proofErr w:type="spellEnd"/>
      <w:r w:rsidRPr="005E4A0B">
        <w:t xml:space="preserve">, Embedded </w:t>
      </w:r>
      <w:proofErr w:type="spellStart"/>
      <w:r w:rsidRPr="005E4A0B">
        <w:t>Tax</w:t>
      </w:r>
      <w:proofErr w:type="spellEnd"/>
      <w:r w:rsidRPr="005E4A0B">
        <w:t xml:space="preserve">, and </w:t>
      </w:r>
      <w:proofErr w:type="spellStart"/>
      <w:r w:rsidRPr="005E4A0B">
        <w:t>Unintended</w:t>
      </w:r>
      <w:proofErr w:type="spellEnd"/>
      <w:r w:rsidRPr="005E4A0B">
        <w:t xml:space="preserve"> </w:t>
      </w:r>
      <w:proofErr w:type="spellStart"/>
      <w:r w:rsidRPr="005E4A0B">
        <w:t>Consequences</w:t>
      </w:r>
      <w:proofErr w:type="spellEnd"/>
      <w:r w:rsidRPr="005E4A0B">
        <w:t>" (Momsfritagelser, indbygget skat og utilsigtede konsekvenser),</w:t>
      </w:r>
    </w:p>
    <w:p w14:paraId="3C8A3332" w14:textId="0DE01D14" w:rsidR="00BA09B2" w:rsidRPr="005E4A0B" w:rsidRDefault="00BA09B2" w:rsidP="00BA09B2">
      <w:pPr>
        <w:pStyle w:val="NormalHanging"/>
      </w:pPr>
      <w:r w:rsidRPr="005E4A0B">
        <w:t>–</w:t>
      </w:r>
      <w:r w:rsidRPr="005E4A0B">
        <w:tab/>
        <w:t xml:space="preserve">der henviser til forretningsordenens artikel </w:t>
      </w:r>
      <w:r w:rsidR="00A519C8" w:rsidRPr="005E4A0B">
        <w:t>55</w:t>
      </w:r>
      <w:r w:rsidRPr="005E4A0B">
        <w:t>,</w:t>
      </w:r>
    </w:p>
    <w:p w14:paraId="1CDAD856" w14:textId="2BB23292" w:rsidR="00BA09B2" w:rsidRPr="005E4A0B" w:rsidRDefault="00BA09B2" w:rsidP="00BA09B2">
      <w:pPr>
        <w:pStyle w:val="NormalHanging"/>
      </w:pPr>
      <w:r w:rsidRPr="005E4A0B">
        <w:t>–</w:t>
      </w:r>
      <w:r w:rsidRPr="005E4A0B">
        <w:tab/>
        <w:t>der henviser til betænkning fra Økonomi- og Valutaudvalget (A</w:t>
      </w:r>
      <w:r w:rsidR="00A519C8" w:rsidRPr="005E4A0B">
        <w:t>10</w:t>
      </w:r>
      <w:r w:rsidRPr="005E4A0B">
        <w:t>-</w:t>
      </w:r>
      <w:r w:rsidR="00A519C8" w:rsidRPr="005E4A0B">
        <w:t>0169</w:t>
      </w:r>
      <w:r w:rsidRPr="005E4A0B">
        <w:t>/</w:t>
      </w:r>
      <w:r w:rsidR="00A519C8" w:rsidRPr="005E4A0B">
        <w:t>2026</w:t>
      </w:r>
      <w:r w:rsidRPr="005E4A0B">
        <w:t>),</w:t>
      </w:r>
    </w:p>
    <w:p w14:paraId="12AA268C" w14:textId="2070FA5E" w:rsidR="00BA09B2" w:rsidRPr="005E4A0B" w:rsidRDefault="00BA09B2" w:rsidP="00BA09B2">
      <w:pPr>
        <w:pStyle w:val="NormalHanging"/>
      </w:pPr>
      <w:r w:rsidRPr="005E4A0B">
        <w:t>A.</w:t>
      </w:r>
      <w:r w:rsidRPr="005E4A0B">
        <w:tab/>
        <w:t xml:space="preserve">der henviser til, at ifølge Kommissionsformandens opgavebeskrivelse fra </w:t>
      </w:r>
      <w:r w:rsidR="00A519C8" w:rsidRPr="005E4A0B">
        <w:t>2024</w:t>
      </w:r>
      <w:r w:rsidRPr="005E4A0B">
        <w:t xml:space="preserve"> til kommissæren med ansvar for beskatning har Kommissionen til opgave at finde innovative løsninger til beskatning af EU's finanssektor for at støtte yderligere integration af sektoren, grænseoverskridende aktivitet, digitalisering og innovation; der henviser til, at Kommissionen har iværksat en undersøgelse af beskatning af EU's finansielle sektor;</w:t>
      </w:r>
    </w:p>
    <w:p w14:paraId="24959164" w14:textId="77777777" w:rsidR="00BA09B2" w:rsidRPr="005E4A0B" w:rsidRDefault="00BA09B2" w:rsidP="00BA09B2">
      <w:pPr>
        <w:pStyle w:val="NormalHanging"/>
      </w:pPr>
      <w:r w:rsidRPr="005E4A0B">
        <w:t>B.</w:t>
      </w:r>
      <w:r w:rsidRPr="005E4A0B">
        <w:tab/>
        <w:t xml:space="preserve">der henviser til, at finansielle tjenesteydelser generelt er fritaget for merværdiafgift (moms) i EU; der henviser til, at finansielle institutioner på grund af denne fritagelse ikke kan fratrække indgående moms, hvilket forårsager det såkaldte "problem med ikkefradragsberettiget moms"; der henviser til, at denne fritagelse kan skabe manglende gennemsigtighed, øge omkostningerne for forbrugerne og resultere i yderligere omkostninger for finansielle institutioner, påvirke organisations- og </w:t>
      </w:r>
      <w:proofErr w:type="spellStart"/>
      <w:r w:rsidRPr="005E4A0B">
        <w:t>outsourcingbeslutninger</w:t>
      </w:r>
      <w:proofErr w:type="spellEnd"/>
      <w:r w:rsidRPr="005E4A0B">
        <w:t xml:space="preserve"> og føre til konkurrencemæssige ulemper for mindre, digitale og grænseoverskridende tjenesteudbydere;</w:t>
      </w:r>
    </w:p>
    <w:p w14:paraId="18F77C93" w14:textId="77777777" w:rsidR="00BA09B2" w:rsidRPr="005E4A0B" w:rsidRDefault="00BA09B2" w:rsidP="00BA09B2">
      <w:pPr>
        <w:pStyle w:val="NormalHanging"/>
      </w:pPr>
      <w:r w:rsidRPr="005E4A0B">
        <w:t>C.</w:t>
      </w:r>
      <w:r w:rsidRPr="005E4A0B">
        <w:tab/>
        <w:t>der henviser til, at de finansielle institutioners mulighed for at vælge at betale moms ikke anvendes konsekvent på tværs af medlemsstaterne, hvilket fører til yderligere administrativ kompleksitet;</w:t>
      </w:r>
    </w:p>
    <w:p w14:paraId="6972E5AC" w14:textId="2384029D" w:rsidR="00BA09B2" w:rsidRPr="005E4A0B" w:rsidRDefault="00BA09B2" w:rsidP="00BA09B2">
      <w:pPr>
        <w:pStyle w:val="NormalHanging"/>
      </w:pPr>
      <w:r w:rsidRPr="005E4A0B">
        <w:t>D.</w:t>
      </w:r>
      <w:r w:rsidRPr="005E4A0B">
        <w:tab/>
        <w:t xml:space="preserve">der henviser til, at momsfritagelsen går tilbage til </w:t>
      </w:r>
      <w:r w:rsidR="00A519C8" w:rsidRPr="005E4A0B">
        <w:t>1977</w:t>
      </w:r>
      <w:r w:rsidRPr="005E4A0B">
        <w:t>, hvor momspligt på disse finansielle tjenesteydelser indebar betydelige tekniske og administrative vanskeligheder; der henviser til, at den oprindelige tekniske begrundelse for momsfritagelsen nu kan håndteres gennem teknologiske, digitale og tilsynsmæssige fremskridt, herunder databehandling i realtid og forbedrede indberetningskrav;</w:t>
      </w:r>
    </w:p>
    <w:p w14:paraId="77E1E241" w14:textId="77777777" w:rsidR="00BA09B2" w:rsidRPr="005E4A0B" w:rsidRDefault="00BA09B2" w:rsidP="00BA09B2">
      <w:pPr>
        <w:pStyle w:val="NormalHanging"/>
      </w:pPr>
      <w:r w:rsidRPr="005E4A0B">
        <w:t>E.</w:t>
      </w:r>
      <w:r w:rsidRPr="005E4A0B">
        <w:tab/>
        <w:t>der henviser til, at flere jurisdiktioner verden over har revideret lignende fritagelser eller har indført alternative former for beskatning af finansielle tjenesteydelser med henblik på at håndtere de utilsigtede skatte- og konkurrencemæssige virkninger af ikkefradragsberettiget moms og for fortsat at sikre et retfærdigt og forsvarligt bidrag fra finanssektoren til de offentlige indtægter;</w:t>
      </w:r>
    </w:p>
    <w:p w14:paraId="2FB1D199" w14:textId="11D613B2" w:rsidR="00BA09B2" w:rsidRPr="005E4A0B" w:rsidRDefault="00BA09B2" w:rsidP="00BA09B2">
      <w:pPr>
        <w:pStyle w:val="NormalHanging"/>
      </w:pPr>
      <w:r w:rsidRPr="005E4A0B">
        <w:t>F.</w:t>
      </w:r>
      <w:r w:rsidRPr="005E4A0B">
        <w:tab/>
        <w:t xml:space="preserve">der henviser til, at det understreges i både </w:t>
      </w:r>
      <w:proofErr w:type="spellStart"/>
      <w:r w:rsidRPr="005E4A0B">
        <w:t>Letta</w:t>
      </w:r>
      <w:proofErr w:type="spellEnd"/>
      <w:r w:rsidRPr="005E4A0B">
        <w:t xml:space="preserve">- og </w:t>
      </w:r>
      <w:proofErr w:type="spellStart"/>
      <w:r w:rsidRPr="005E4A0B">
        <w:t>Draghirapporten</w:t>
      </w:r>
      <w:proofErr w:type="spellEnd"/>
      <w:r w:rsidRPr="005E4A0B">
        <w:t xml:space="preserve">, at skattefragmentering på det indre marked, herunder administrative og skattemæssige hindringer, hæmmer økonomisk vækst, handel og grænseoverskridende virksomhed; der henviser til, at interne hindringer i EU reelt pålægger finansielle tjenesteydelser en told på næsten </w:t>
      </w:r>
      <w:r w:rsidR="00A519C8" w:rsidRPr="005E4A0B">
        <w:t>100</w:t>
      </w:r>
      <w:r w:rsidRPr="005E4A0B">
        <w:t xml:space="preserve"> %; der henviser til, at disse barrierer og lovgivningsmæssige hindringer ifølge </w:t>
      </w:r>
      <w:proofErr w:type="spellStart"/>
      <w:r w:rsidRPr="005E4A0B">
        <w:t>Draghi</w:t>
      </w:r>
      <w:proofErr w:type="spellEnd"/>
      <w:r w:rsidRPr="005E4A0B">
        <w:t xml:space="preserve"> er langt mere skadelige for den økonomiske vækst end de toldsatser, som USA måtte indføre;</w:t>
      </w:r>
    </w:p>
    <w:p w14:paraId="53C2A955" w14:textId="22B7F2D1" w:rsidR="00BA09B2" w:rsidRPr="005E4A0B" w:rsidRDefault="00BA09B2" w:rsidP="00BA09B2">
      <w:pPr>
        <w:pStyle w:val="NormalHanging"/>
      </w:pPr>
      <w:r w:rsidRPr="005E4A0B">
        <w:t>G.</w:t>
      </w:r>
      <w:r w:rsidRPr="005E4A0B">
        <w:tab/>
        <w:t xml:space="preserve">der henviser til, at finanssektoren ifølge data fra Eurostat er en væsentlig del af EU's økonomi og genererede ca. </w:t>
      </w:r>
      <w:r w:rsidR="00A519C8" w:rsidRPr="005E4A0B">
        <w:t>0</w:t>
      </w:r>
      <w:r w:rsidRPr="005E4A0B">
        <w:t>,</w:t>
      </w:r>
      <w:r w:rsidR="00A519C8" w:rsidRPr="005E4A0B">
        <w:t>9</w:t>
      </w:r>
      <w:r w:rsidRPr="005E4A0B">
        <w:t xml:space="preserve"> billioner EUR i merværdi i </w:t>
      </w:r>
      <w:r w:rsidR="00A519C8" w:rsidRPr="005E4A0B">
        <w:t>2022</w:t>
      </w:r>
      <w:r w:rsidRPr="005E4A0B">
        <w:t xml:space="preserve">, beskæftigede næsten </w:t>
      </w:r>
      <w:r w:rsidR="00A519C8" w:rsidRPr="005E4A0B">
        <w:t>5</w:t>
      </w:r>
      <w:r w:rsidRPr="005E4A0B">
        <w:t xml:space="preserve"> millioner mennesker og havde en nettoomsætning på ca. </w:t>
      </w:r>
      <w:r w:rsidR="00A519C8" w:rsidRPr="005E4A0B">
        <w:t>2</w:t>
      </w:r>
      <w:r w:rsidRPr="005E4A0B">
        <w:t>,</w:t>
      </w:r>
      <w:r w:rsidR="00A519C8" w:rsidRPr="005E4A0B">
        <w:t>4</w:t>
      </w:r>
      <w:r w:rsidRPr="005E4A0B">
        <w:t> billioner EUR; der henviser til, at sektoren bidrager til de offentlige finanser gennem selskabsbeskatning, lønskat og sektorspecifikke afgifter; der henviser til, at EU's finanssektor spiller en central rolle med hensyn til at finansiere realøkonomien, støtte innovation og lette investeringer;</w:t>
      </w:r>
    </w:p>
    <w:p w14:paraId="6DE6F80B" w14:textId="0A29B256" w:rsidR="00BA09B2" w:rsidRPr="005E4A0B" w:rsidRDefault="00BA09B2" w:rsidP="00BA09B2">
      <w:pPr>
        <w:pStyle w:val="NormalHanging"/>
      </w:pPr>
      <w:r w:rsidRPr="005E4A0B">
        <w:t>H.</w:t>
      </w:r>
      <w:r w:rsidRPr="005E4A0B">
        <w:tab/>
        <w:t>der henviser til, at nylige initiativer såsom Rådets direktiv</w:t>
      </w:r>
      <w:r w:rsidR="00A519C8" w:rsidRPr="005E4A0B">
        <w:t>2025</w:t>
      </w:r>
      <w:r w:rsidRPr="005E4A0B">
        <w:t>/</w:t>
      </w:r>
      <w:r w:rsidR="00A519C8" w:rsidRPr="005E4A0B">
        <w:t>50</w:t>
      </w:r>
      <w:r w:rsidRPr="005E4A0B">
        <w:t xml:space="preserve"> af </w:t>
      </w:r>
      <w:r w:rsidR="00A519C8" w:rsidRPr="005E4A0B">
        <w:t>10</w:t>
      </w:r>
      <w:r w:rsidRPr="005E4A0B">
        <w:t xml:space="preserve">. december </w:t>
      </w:r>
      <w:r w:rsidR="00A519C8" w:rsidRPr="005E4A0B">
        <w:t>2024</w:t>
      </w:r>
      <w:r w:rsidRPr="005E4A0B">
        <w:t xml:space="preserve"> om hurtigere og sikrere lempelse af overskydende kildeskat </w:t>
      </w:r>
      <w:r w:rsidR="00A519C8" w:rsidRPr="005E4A0B">
        <w:rPr>
          <w:rStyle w:val="FootnoteReference"/>
        </w:rPr>
        <w:footnoteReference w:id="7"/>
      </w:r>
      <w:r w:rsidR="009464C1" w:rsidRPr="005E4A0B">
        <w:t xml:space="preserve"> </w:t>
      </w:r>
      <w:r w:rsidRPr="005E4A0B">
        <w:t>(FASTER-direktivet) har sikret betydelige fremskridt med hensyn til at reducere de administrative byrder og lette grænseoverskridende økonomisk aktivitet i EU, og at lignende bestræbelser bør fortsætte for at styrke det indre markeds integration og effektivitet yderligere;</w:t>
      </w:r>
    </w:p>
    <w:p w14:paraId="50C6B9DA" w14:textId="288346C1" w:rsidR="00BA09B2" w:rsidRPr="005E4A0B" w:rsidRDefault="00BA09B2" w:rsidP="00BA09B2">
      <w:pPr>
        <w:pStyle w:val="NormalHanging"/>
      </w:pPr>
      <w:r w:rsidRPr="005E4A0B">
        <w:t>I.</w:t>
      </w:r>
      <w:r w:rsidRPr="005E4A0B">
        <w:tab/>
        <w:t xml:space="preserve">der henviser til, at Rådet har forsinket en afgørelse om Kommissionens forslag til direktiv om indførelse af et hovedkontorsbaseret beskatningssystem for mikrovirksomheder og små og mellemstore virksomheder og om ændring af direktiv </w:t>
      </w:r>
      <w:r w:rsidR="00A519C8" w:rsidRPr="005E4A0B">
        <w:t>2011</w:t>
      </w:r>
      <w:r w:rsidRPr="005E4A0B">
        <w:t>/</w:t>
      </w:r>
      <w:r w:rsidR="00A519C8" w:rsidRPr="005E4A0B">
        <w:t>16</w:t>
      </w:r>
      <w:r w:rsidRPr="005E4A0B">
        <w:t xml:space="preserve">/EU, mens Parlamentet allerede godkendte en lovgivningsmæssig beslutning den </w:t>
      </w:r>
      <w:r w:rsidR="00A519C8" w:rsidRPr="005E4A0B">
        <w:t>10</w:t>
      </w:r>
      <w:r w:rsidRPr="005E4A0B">
        <w:t xml:space="preserve">. april </w:t>
      </w:r>
      <w:r w:rsidR="00A519C8" w:rsidRPr="005E4A0B">
        <w:t>2024</w:t>
      </w:r>
      <w:r w:rsidR="00A519C8" w:rsidRPr="005E4A0B">
        <w:rPr>
          <w:rStyle w:val="FootnoteReference"/>
        </w:rPr>
        <w:footnoteReference w:id="8"/>
      </w:r>
      <w:r w:rsidRPr="005E4A0B">
        <w:t>;</w:t>
      </w:r>
    </w:p>
    <w:p w14:paraId="72D4C3C6" w14:textId="77777777" w:rsidR="00BA09B2" w:rsidRPr="005E4A0B" w:rsidRDefault="00BA09B2" w:rsidP="00BA09B2">
      <w:pPr>
        <w:pStyle w:val="NormalHanging"/>
      </w:pPr>
      <w:r w:rsidRPr="005E4A0B">
        <w:t>J.</w:t>
      </w:r>
      <w:r w:rsidRPr="005E4A0B">
        <w:tab/>
        <w:t>der henviser til, at eventuelle fremtidige initiativer bør mindske fragmenteringen af det indre marked og styrke konkurrenceevnen ved at sikre en sammenhængende, forudsigelig og neutral skatteramme for finansielle tjenesteydelser, samtidig med at der tages hensyn til forskellige forretningsmodeller og skatteinteraktioner på tværs af EU's finansielle sektor;</w:t>
      </w:r>
    </w:p>
    <w:p w14:paraId="67676C20" w14:textId="77777777" w:rsidR="00BA09B2" w:rsidRPr="005E4A0B" w:rsidRDefault="00BA09B2" w:rsidP="00BA09B2">
      <w:pPr>
        <w:pStyle w:val="NormalHanging"/>
      </w:pPr>
      <w:r w:rsidRPr="005E4A0B">
        <w:t>K.</w:t>
      </w:r>
      <w:r w:rsidRPr="005E4A0B">
        <w:tab/>
        <w:t>der henviser til, at beskatningen af finansielle tjenesteydelser i EU fortsat er meget fragmenteret med forskellige nationale tilgange til afgifter på forsikringspræmier, afgifter på finansielle transaktioner (AFT), bankafgifter, afgifter på finansielle aktiviteter og andre overskudsbaserede afgifter; der henviser til, at denne fragmentering skaber juridisk usikkerhed og kompleksitet, medfører markedsforvridninger, tilskynder til skatteundgåelse og mindsker EU's konkurrenceevne;</w:t>
      </w:r>
    </w:p>
    <w:p w14:paraId="05AC08BB" w14:textId="77777777" w:rsidR="00BA09B2" w:rsidRPr="005E4A0B" w:rsidRDefault="00BA09B2" w:rsidP="00BA09B2">
      <w:pPr>
        <w:pStyle w:val="NormalHanging"/>
      </w:pPr>
      <w:r w:rsidRPr="005E4A0B">
        <w:t>L.</w:t>
      </w:r>
      <w:r w:rsidRPr="005E4A0B">
        <w:tab/>
        <w:t>der henviser til, at opsparings- og investeringsunionen kræver stærkere incitamenter, for at borgerne sparer op og investerer på de europæiske kapitalmarkeder; der henviser til, at gennemførelsen af opsparings- og investeringsunionen kræver en samlet tilgang til finansiel stabilitet, markedsintegration og investorbeskyttelse; der henviser til, at det er afgørende for opsparings- og investeringsunionens succes og troværdighed at sikre, at finanssektoren yder et meningsfuldt bidrag til de offentlige finanser, internaliserer de risici, den genererer, og støtter langsigtede bæredygtige investeringer;</w:t>
      </w:r>
    </w:p>
    <w:p w14:paraId="33D7A023" w14:textId="414AE03B" w:rsidR="00BA09B2" w:rsidRPr="005E4A0B" w:rsidRDefault="00BA09B2" w:rsidP="00BA09B2">
      <w:pPr>
        <w:pStyle w:val="NormalHanging"/>
      </w:pPr>
      <w:r w:rsidRPr="005E4A0B">
        <w:t>M.</w:t>
      </w:r>
      <w:r w:rsidRPr="005E4A0B">
        <w:tab/>
        <w:t xml:space="preserve">der henviser til, at afgifter på finansielle transaktioner og bankafgifter blev drøftet efter finanskrisen i </w:t>
      </w:r>
      <w:r w:rsidR="00A519C8" w:rsidRPr="005E4A0B">
        <w:t>2008</w:t>
      </w:r>
      <w:r w:rsidRPr="005E4A0B">
        <w:t xml:space="preserve"> og </w:t>
      </w:r>
      <w:r w:rsidR="00A519C8" w:rsidRPr="005E4A0B">
        <w:t>2009</w:t>
      </w:r>
      <w:r w:rsidRPr="005E4A0B">
        <w:t>; der henviser til, at disse foranstaltninger havde til formål at kompensere for omkostningerne ved krisen;</w:t>
      </w:r>
    </w:p>
    <w:p w14:paraId="72272D03" w14:textId="23D15978" w:rsidR="00BA09B2" w:rsidRPr="005E4A0B" w:rsidRDefault="00BA09B2" w:rsidP="00BA09B2">
      <w:pPr>
        <w:pStyle w:val="NormalHanging"/>
      </w:pPr>
      <w:r w:rsidRPr="005E4A0B">
        <w:t>N.</w:t>
      </w:r>
      <w:r w:rsidRPr="005E4A0B">
        <w:tab/>
        <w:t xml:space="preserve">der henviser til, at mindst syv medlemsstater i øjeblikket opkræver en afgift på finansielle transaktioner; der henviser til, at disse medlemsstater ikke har koordineret deres afgifter på finansielle transaktioner med hensyn til anvendelsesområde, sats eller anvendelse; der henviser til, at der ikke er opnået enighed om en EU-dækkende afgift på finansielle transaktioner på trods af flere lovgivningsforslag fra Kommissionen siden </w:t>
      </w:r>
      <w:r w:rsidR="00A519C8" w:rsidRPr="005E4A0B">
        <w:t>2011</w:t>
      </w:r>
      <w:r w:rsidRPr="005E4A0B">
        <w:t>;</w:t>
      </w:r>
    </w:p>
    <w:p w14:paraId="63F6C52C" w14:textId="360DA0C3" w:rsidR="00BA09B2" w:rsidRPr="005E4A0B" w:rsidRDefault="00BA09B2" w:rsidP="00BA09B2">
      <w:pPr>
        <w:pStyle w:val="NormalHanging"/>
      </w:pPr>
      <w:r w:rsidRPr="005E4A0B">
        <w:t>O.</w:t>
      </w:r>
      <w:r w:rsidRPr="005E4A0B">
        <w:tab/>
        <w:t xml:space="preserve">der henviser til, at Parlamentet konsekvent har støttet indførelsen af en EU-dækkende afgift på finansielle transaktioner, herunder som en mulig egen indtægt, senest i sin beslutning fra maj </w:t>
      </w:r>
      <w:r w:rsidR="00A519C8" w:rsidRPr="005E4A0B">
        <w:t>2023</w:t>
      </w:r>
      <w:r w:rsidRPr="005E4A0B">
        <w:t xml:space="preserve">; der henviser til, at Kommissionen i sit arbejdsprogram for </w:t>
      </w:r>
      <w:r w:rsidR="00A519C8" w:rsidRPr="005E4A0B">
        <w:t>2026</w:t>
      </w:r>
      <w:r w:rsidRPr="005E4A0B">
        <w:t xml:space="preserve"> foreslog at trække sit tidligere forslag om en afgift på finansielle transaktioner tilbage på grund af manglende konsensus blandt medlemsstaterne, som ikke var nået til enighed;</w:t>
      </w:r>
    </w:p>
    <w:p w14:paraId="0CF71735" w14:textId="77777777" w:rsidR="00BA09B2" w:rsidRPr="005E4A0B" w:rsidRDefault="00BA09B2" w:rsidP="00BA09B2">
      <w:pPr>
        <w:pStyle w:val="NormalHanging"/>
      </w:pPr>
      <w:r w:rsidRPr="005E4A0B">
        <w:t>P.</w:t>
      </w:r>
      <w:r w:rsidRPr="005E4A0B">
        <w:tab/>
        <w:t>der henviser til, at medlemsstaterne fortsat indfører midlertidig beskatning af ekstraordinære overskud eller solidaritetsafgifter på bankernes overskud for at imødegå ekstraordinære stigninger i rentabiliteten som følge af pengepolitikken;</w:t>
      </w:r>
    </w:p>
    <w:p w14:paraId="7E420725" w14:textId="77777777" w:rsidR="00BA09B2" w:rsidRPr="005E4A0B" w:rsidRDefault="00BA09B2" w:rsidP="00BA09B2">
      <w:pPr>
        <w:pStyle w:val="Normal12a"/>
      </w:pPr>
      <w:r w:rsidRPr="005E4A0B">
        <w:rPr>
          <w:b/>
          <w:i/>
        </w:rPr>
        <w:t>Håndtering af skattefragmenteringen i den finansielle sektor og forøgelse af sektorens konkurrenceevne</w:t>
      </w:r>
    </w:p>
    <w:p w14:paraId="46190DCD" w14:textId="025D91AC" w:rsidR="00BA09B2" w:rsidRPr="005E4A0B" w:rsidRDefault="00A519C8" w:rsidP="00BA09B2">
      <w:pPr>
        <w:pStyle w:val="NormalHanging12a"/>
      </w:pPr>
      <w:r w:rsidRPr="005E4A0B">
        <w:t>1</w:t>
      </w:r>
      <w:r w:rsidR="00BA09B2" w:rsidRPr="005E4A0B">
        <w:t>.</w:t>
      </w:r>
      <w:r w:rsidR="00BA09B2" w:rsidRPr="005E4A0B">
        <w:tab/>
        <w:t xml:space="preserve">bemærker, at medlemsstaterne i </w:t>
      </w:r>
      <w:r w:rsidR="00087B63" w:rsidRPr="00087B63">
        <w:t xml:space="preserve">kølvandet på den store finanskrise </w:t>
      </w:r>
      <w:r w:rsidR="00BA09B2" w:rsidRPr="005E4A0B">
        <w:t xml:space="preserve">har indført </w:t>
      </w:r>
      <w:r w:rsidRPr="005E4A0B">
        <w:t>91</w:t>
      </w:r>
      <w:r w:rsidR="00BA09B2" w:rsidRPr="005E4A0B">
        <w:t xml:space="preserve"> sektorspecifikke skatter for at beskatte den finansielle sektor, hvilket har resulteret i et meget fragmenteret skattelandskab; bemærker, at dette fragmenterede skattelandskab, skaber yderligere operationelle og administrative omkostninger og øger de strukturelle hindringer for grænseoverskridende udvidelse for udbydere af finansielle tjenesteydelser, og dermed svækker EU's finanssektor og dens investeringskapacitet og underminerer målene for opsparings- og investeringsunionen og bankunionen;</w:t>
      </w:r>
    </w:p>
    <w:p w14:paraId="2EE83633" w14:textId="7428904B" w:rsidR="00BA09B2" w:rsidRPr="005E4A0B" w:rsidRDefault="000A71C6" w:rsidP="00BA09B2">
      <w:pPr>
        <w:pStyle w:val="NormalHanging12a"/>
      </w:pPr>
      <w:r>
        <w:t>2</w:t>
      </w:r>
      <w:r w:rsidR="00BA09B2" w:rsidRPr="005E4A0B">
        <w:t>.</w:t>
      </w:r>
      <w:r w:rsidR="00BA09B2" w:rsidRPr="005E4A0B">
        <w:tab/>
        <w:t xml:space="preserve">bemærker, at forskelle i de nationale skatteordninger afspejler nationale politiske valg; bemærker det igangværende arbejde på internationalt plan med hensyn til overskudsudflytning; opfordrer til styrket koordinering på EU-plan, herunder i forbindelse med gennemførelsen af søjle </w:t>
      </w:r>
      <w:r w:rsidR="00A519C8" w:rsidRPr="005E4A0B">
        <w:t>2</w:t>
      </w:r>
      <w:r w:rsidR="00BA09B2" w:rsidRPr="005E4A0B">
        <w:t>-direktivet, solide regler til bekæmpelse af skatteundgåelse og gennemsigtighedskrav, navnlig inden for offentlig landeopdelt rapportering;</w:t>
      </w:r>
    </w:p>
    <w:p w14:paraId="1D7406CA" w14:textId="5334770B" w:rsidR="00BA09B2" w:rsidRPr="005E4A0B" w:rsidRDefault="000A71C6" w:rsidP="00BA09B2">
      <w:pPr>
        <w:pStyle w:val="NormalHanging12a"/>
      </w:pPr>
      <w:r>
        <w:t>3</w:t>
      </w:r>
      <w:r w:rsidR="00BA09B2" w:rsidRPr="005E4A0B">
        <w:t>.</w:t>
      </w:r>
      <w:r w:rsidR="00BA09B2" w:rsidRPr="005E4A0B">
        <w:tab/>
        <w:t>bemærker, at fragmenteringen af de nationale skatteordninger øger risikoen for grænseoverskridende dobbeltbeskatning og som følge af administrativ og juridisk kompleksitet kan hæmme væksten i EU's finansielle sektor og udgøre en hindring for dybere integration af EU's finansmarkeder; understreger, at det fortsat bør være afgørende at undgå dobbeltbeskatning og mindske de administrative byrder; understreger imidlertid, at forenklingsbestræbelserne ikke må føre til deregulering eller et kapløb mod bunden med hensyn til skattestandarder;</w:t>
      </w:r>
    </w:p>
    <w:p w14:paraId="07353912" w14:textId="1EC7CD1F" w:rsidR="00BA09B2" w:rsidRPr="005E4A0B" w:rsidRDefault="000A71C6" w:rsidP="00BA09B2">
      <w:pPr>
        <w:pStyle w:val="NormalHanging12a"/>
      </w:pPr>
      <w:r>
        <w:t>4</w:t>
      </w:r>
      <w:r w:rsidR="00BA09B2" w:rsidRPr="005E4A0B">
        <w:t>.</w:t>
      </w:r>
      <w:r w:rsidR="00BA09B2" w:rsidRPr="005E4A0B">
        <w:tab/>
        <w:t>understreger, at forskelle i de nationale procedurer for kildeskat skaber administrative byrder og hindringer for grænseoverskridende investeringer, som anerkendt i Kommissionens strategi for opsparings- og investeringsunionen; glæder sig over vedtagelsen af FASTER-direktivet; opfordrer til yderligere fremskridt hen imod en mere koordineret og ambitiøs ramme;</w:t>
      </w:r>
    </w:p>
    <w:p w14:paraId="1FDB182B" w14:textId="7214D5DB" w:rsidR="00BA09B2" w:rsidRPr="005E4A0B" w:rsidRDefault="000A71C6" w:rsidP="00BA09B2">
      <w:pPr>
        <w:pStyle w:val="NormalHanging12a"/>
      </w:pPr>
      <w:r>
        <w:t>5</w:t>
      </w:r>
      <w:r w:rsidR="00BA09B2" w:rsidRPr="005E4A0B">
        <w:t>.</w:t>
      </w:r>
      <w:r w:rsidR="00BA09B2" w:rsidRPr="005E4A0B">
        <w:tab/>
        <w:t xml:space="preserve">opfordrer Rådet til at træffe afgørelse om Kommissionens forslag til direktiv om indførelse af et hovedkontorsbaseret beskatningssystem for mikrovirksomheder og små og mellemstore virksomheder og om ændring af direktiv </w:t>
      </w:r>
      <w:r w:rsidR="00A519C8" w:rsidRPr="005E4A0B">
        <w:t>2011</w:t>
      </w:r>
      <w:r w:rsidR="00BA09B2" w:rsidRPr="005E4A0B">
        <w:t>/</w:t>
      </w:r>
      <w:r w:rsidR="00A519C8" w:rsidRPr="005E4A0B">
        <w:t>16</w:t>
      </w:r>
      <w:r w:rsidR="00BA09B2" w:rsidRPr="005E4A0B">
        <w:t xml:space="preserve">/EU, under behørig hensyntagen til Europa-Parlamentets lovgivningsmæssig beslutning af </w:t>
      </w:r>
      <w:r w:rsidR="00A519C8" w:rsidRPr="005E4A0B">
        <w:t>10</w:t>
      </w:r>
      <w:r w:rsidR="00BA09B2" w:rsidRPr="005E4A0B">
        <w:t xml:space="preserve">. april </w:t>
      </w:r>
      <w:r w:rsidR="00A519C8" w:rsidRPr="005E4A0B">
        <w:t>2024</w:t>
      </w:r>
      <w:r w:rsidR="00BA09B2" w:rsidRPr="005E4A0B">
        <w:t>;</w:t>
      </w:r>
    </w:p>
    <w:p w14:paraId="333AFF0A" w14:textId="245D2A39" w:rsidR="00BA09B2" w:rsidRPr="005E4A0B" w:rsidRDefault="000A71C6" w:rsidP="00BA09B2">
      <w:pPr>
        <w:pStyle w:val="NormalHanging12a"/>
      </w:pPr>
      <w:r>
        <w:t>6</w:t>
      </w:r>
      <w:r w:rsidR="00BA09B2" w:rsidRPr="005E4A0B">
        <w:t>.</w:t>
      </w:r>
      <w:r w:rsidR="00BA09B2" w:rsidRPr="005E4A0B">
        <w:tab/>
        <w:t>bemærker endvidere, at de eksisterende skatteregler ikke fuldt ud har holdt trit med fremkomsten af nye finansielle produkter og markedsinfrastrukturer; understreger, at denne fragmentering hurtigt bliver mere og mere bekymrende med neobankernes succes, f.eks. rene digitale banker, "</w:t>
      </w:r>
      <w:proofErr w:type="spellStart"/>
      <w:r w:rsidR="00BA09B2" w:rsidRPr="005E4A0B">
        <w:t>challenger</w:t>
      </w:r>
      <w:proofErr w:type="spellEnd"/>
      <w:r w:rsidR="00BA09B2" w:rsidRPr="005E4A0B">
        <w:t xml:space="preserve"> banks" eller </w:t>
      </w:r>
      <w:proofErr w:type="spellStart"/>
      <w:r w:rsidR="00BA09B2" w:rsidRPr="005E4A0B">
        <w:t>fintechbanker</w:t>
      </w:r>
      <w:proofErr w:type="spellEnd"/>
      <w:r w:rsidR="00BA09B2" w:rsidRPr="005E4A0B">
        <w:t>; påpeger den betydelige stigning i disse bankers andel af grænseoverskridende indskud i de seneste seks år; understreger, at forskellen på skattereglerne mellem banker og ikkebanker kan forårsage forvridninger;</w:t>
      </w:r>
    </w:p>
    <w:p w14:paraId="7956FF2B" w14:textId="44A01750" w:rsidR="00BA09B2" w:rsidRPr="005E4A0B" w:rsidRDefault="000A71C6" w:rsidP="00BA09B2">
      <w:pPr>
        <w:pStyle w:val="NormalHanging12a"/>
      </w:pPr>
      <w:r>
        <w:t>7</w:t>
      </w:r>
      <w:r w:rsidR="00BA09B2" w:rsidRPr="005E4A0B">
        <w:t>.</w:t>
      </w:r>
      <w:r w:rsidR="00BA09B2" w:rsidRPr="005E4A0B">
        <w:tab/>
        <w:t xml:space="preserve">understreger, at de utilstrækkelige data om den effektive skattebyrde i hele EU's finanssektor hindrer evidensbaseret politikudformning og vurdering af politikkernes indvirkning på markedsadfærd, konkurrence og finansiel stabilitet; understreger behovet for forbedret gennemsigtighed og </w:t>
      </w:r>
      <w:r w:rsidR="00087B63" w:rsidRPr="00087B63">
        <w:t xml:space="preserve">bedre anvendelse af de eksisterende data </w:t>
      </w:r>
      <w:r w:rsidR="00BA09B2" w:rsidRPr="005E4A0B">
        <w:t>som en forudsætning for en sammenhængende reform af beskatningen af finanssektoren;</w:t>
      </w:r>
    </w:p>
    <w:p w14:paraId="1987FAFA" w14:textId="4CAB442F" w:rsidR="00BA09B2" w:rsidRPr="005E4A0B" w:rsidRDefault="000A71C6" w:rsidP="00BA09B2">
      <w:pPr>
        <w:pStyle w:val="NormalHanging12a"/>
      </w:pPr>
      <w:r>
        <w:t>8</w:t>
      </w:r>
      <w:r w:rsidR="00BA09B2" w:rsidRPr="005E4A0B">
        <w:t>.</w:t>
      </w:r>
      <w:r w:rsidR="00BA09B2" w:rsidRPr="005E4A0B">
        <w:tab/>
        <w:t>understreger, at en fjernelse af de skattemæssige hindringer for grænseoverskridende investeringer gennem sammenhængende regler på EU-plan ville reducere overholdelsesomkostningerne, forbedre markedseffektiviteten, øge den juridiske klarhed for grænseoverskridende kapitalstrømme og styrke konkurrenceevnen for EU's finansielle tjenesteydelser og samtidig dæmme op for skatteunddragelse og aggressiv skatteplanlægning; understreger behovet for et sammenhængende regelsæt for EU's finansielle sektor, samtidig med at medlemsstaternes skattemæssige suverænitet og nærhedsprincippet respekteres; understreger, at beskatning af finansielle tjenesteydelser bør bidrage til at opretholde den finansielle sektors konkurrenceevne;</w:t>
      </w:r>
    </w:p>
    <w:p w14:paraId="10B40118" w14:textId="61639D08" w:rsidR="00BA09B2" w:rsidRPr="005E4A0B" w:rsidRDefault="000A71C6" w:rsidP="00BA09B2">
      <w:pPr>
        <w:pStyle w:val="NormalHanging12a"/>
      </w:pPr>
      <w:r>
        <w:t>9</w:t>
      </w:r>
      <w:r w:rsidR="00BA09B2" w:rsidRPr="005E4A0B">
        <w:t>.</w:t>
      </w:r>
      <w:r w:rsidR="00BA09B2" w:rsidRPr="005E4A0B">
        <w:tab/>
        <w:t xml:space="preserve">bemærker, at husholdningernes opsparingskvote i EU ifølge Kommissionens europæiske makroøkonomiske rapport for </w:t>
      </w:r>
      <w:r w:rsidR="00A519C8" w:rsidRPr="005E4A0B">
        <w:t>2026</w:t>
      </w:r>
      <w:r w:rsidR="00A519C8" w:rsidRPr="005E4A0B">
        <w:rPr>
          <w:rStyle w:val="FootnoteReference"/>
        </w:rPr>
        <w:footnoteReference w:id="9"/>
      </w:r>
      <w:r w:rsidR="00BA09B2" w:rsidRPr="005E4A0B">
        <w:t xml:space="preserve"> fortsat ligger et godt stykke over gennemsnittet for landene i Organisationen for Økonomisk Samarbejde og Udvikling; beklager, at ca. en tredjedel af disse opsparinger er investeret uden for EU, hvilket viser manglerne i EU's finansielle rammer med hensyn til at fastholde investeringer; opfordrer Kommissionen til at vurdere, hvordan skatteforanstaltninger kan tilskynde til investeringer i EU; understreger betydningen af modvirke de finansielle udgående pengestrømme til lande på EU-listen over ikkesamarbejdsvillige skattejurisdiktioner;</w:t>
      </w:r>
    </w:p>
    <w:p w14:paraId="649AB901" w14:textId="458C3391" w:rsidR="00BA09B2" w:rsidRPr="005E4A0B" w:rsidRDefault="000A71C6" w:rsidP="00BA09B2">
      <w:pPr>
        <w:pStyle w:val="NormalHanging12a"/>
      </w:pPr>
      <w:r>
        <w:t>10</w:t>
      </w:r>
      <w:r w:rsidR="00BA09B2" w:rsidRPr="005E4A0B">
        <w:t>.</w:t>
      </w:r>
      <w:r w:rsidR="00BA09B2" w:rsidRPr="005E4A0B">
        <w:tab/>
        <w:t>understreger betydningen af at fremme opsparings- og investeringsunionen for at mobilisere opsparing til produktive investeringer; betragter en reduktion af skattefragmenteringen og forbedring af de grænseoverskridende investeringskanaler som afgørende for at mobilisere europæisk opsparing til investeringer i EU;</w:t>
      </w:r>
    </w:p>
    <w:p w14:paraId="1EB8398D" w14:textId="2EA31E97" w:rsidR="00BA09B2" w:rsidRPr="005E4A0B" w:rsidRDefault="000A71C6" w:rsidP="00BA09B2">
      <w:pPr>
        <w:pStyle w:val="NormalHanging12a"/>
      </w:pPr>
      <w:r>
        <w:t>11</w:t>
      </w:r>
      <w:r w:rsidR="00BA09B2" w:rsidRPr="005E4A0B">
        <w:t>.</w:t>
      </w:r>
      <w:r w:rsidR="00BA09B2" w:rsidRPr="005E4A0B">
        <w:tab/>
        <w:t>understreger, at en skatteramme for finansielle tjenesteydelser bør udformes sideløbende med målene for opsparings- og investeringsunionen med fokus på at øge effektiviteten, tackle markedsforvridninger og fremme investeringer og langsigtet vækst, samtidig med at der sikres en afbalanceret tilgang, der også afspejler bredere økonomiske og sociale hensyn;</w:t>
      </w:r>
    </w:p>
    <w:p w14:paraId="1C849610" w14:textId="42D94353" w:rsidR="00BA09B2" w:rsidRPr="005E4A0B" w:rsidRDefault="000A71C6" w:rsidP="00BA09B2">
      <w:pPr>
        <w:pStyle w:val="NormalHanging12a"/>
      </w:pPr>
      <w:r>
        <w:t>12</w:t>
      </w:r>
      <w:r w:rsidR="00BA09B2" w:rsidRPr="005E4A0B">
        <w:t>.</w:t>
      </w:r>
      <w:r w:rsidR="00BA09B2" w:rsidRPr="005E4A0B">
        <w:tab/>
        <w:t>bemærker, at beskatningen af den finansielle sektor bør styres af principperne om enkelhed, neutralitet, retfærdighed, økonomisk, miljømæssig og social bæredygtighed og retssikkerhed; bemærker, at den også bør afspejle konjunkturdynamikken i bankernes rentabilitet i forbindelse med pengepolitikken og de økonomiske forhold;</w:t>
      </w:r>
    </w:p>
    <w:p w14:paraId="257DB45D" w14:textId="23F89109" w:rsidR="00BA09B2" w:rsidRPr="005E4A0B" w:rsidRDefault="000A71C6" w:rsidP="00BA09B2">
      <w:pPr>
        <w:pStyle w:val="NormalHanging12a"/>
      </w:pPr>
      <w:r>
        <w:t>13</w:t>
      </w:r>
      <w:r w:rsidR="00BA09B2" w:rsidRPr="005E4A0B">
        <w:t>.</w:t>
      </w:r>
      <w:r w:rsidR="00BA09B2" w:rsidRPr="005E4A0B">
        <w:tab/>
        <w:t>opfordrer Kommissionen til at holde sit løfte om at foreslå innovative løsninger til beskatning af sektoren, nemlig løsninger som mindsker fragmenteringen, støtter yderligere integration på EU-plan og bidrager til at gennemføre opsparings- og investeringsunionen;</w:t>
      </w:r>
    </w:p>
    <w:p w14:paraId="627D1160" w14:textId="77777777" w:rsidR="00BA09B2" w:rsidRPr="005E4A0B" w:rsidRDefault="00BA09B2" w:rsidP="00BA09B2">
      <w:pPr>
        <w:pStyle w:val="Normal12a"/>
      </w:pPr>
      <w:r w:rsidRPr="005E4A0B">
        <w:rPr>
          <w:b/>
          <w:i/>
        </w:rPr>
        <w:t>Håndtering af momsordningen for finansielle tjenesteydelser</w:t>
      </w:r>
    </w:p>
    <w:p w14:paraId="7310758D" w14:textId="11E0BD7F" w:rsidR="00BA09B2" w:rsidRPr="005E4A0B" w:rsidRDefault="000A71C6" w:rsidP="00BA09B2">
      <w:pPr>
        <w:pStyle w:val="NormalHanging12a"/>
      </w:pPr>
      <w:r>
        <w:t>14</w:t>
      </w:r>
      <w:r w:rsidR="00BA09B2" w:rsidRPr="005E4A0B">
        <w:t>.</w:t>
      </w:r>
      <w:r w:rsidR="00BA09B2" w:rsidRPr="005E4A0B">
        <w:tab/>
        <w:t xml:space="preserve">bemærker, at momsfritagelsen for finansielle tjenesteydelser går tilbage til </w:t>
      </w:r>
      <w:r w:rsidR="00A519C8" w:rsidRPr="005E4A0B">
        <w:t>1977</w:t>
      </w:r>
      <w:r w:rsidR="00BA09B2" w:rsidRPr="005E4A0B">
        <w:t>, hvilket gjorde det muligt at undgå tekniske vanskeligheder med at anvende moms på komplekse finansielle tjenesteydelser, som blev anset som uigennemførlige på det administrative plan; anerkender, at den oprindelige tekniske begrundelse for momsfritagelsen nu kan imødegås af realiteterne med hensyn til fremskridt inden for teknologi og digitalisering;</w:t>
      </w:r>
    </w:p>
    <w:p w14:paraId="597A8EB8" w14:textId="75D25F97" w:rsidR="00BA09B2" w:rsidRPr="005E4A0B" w:rsidRDefault="000A71C6" w:rsidP="00BA09B2">
      <w:pPr>
        <w:pStyle w:val="NormalHanging12a"/>
      </w:pPr>
      <w:r>
        <w:t>15</w:t>
      </w:r>
      <w:r w:rsidR="00BA09B2" w:rsidRPr="005E4A0B">
        <w:t>.</w:t>
      </w:r>
      <w:r w:rsidR="00BA09B2" w:rsidRPr="005E4A0B">
        <w:tab/>
        <w:t>bemærker, at fritagelsen ikke nødvendigvis udgør en fordel for de finansielle institutioner, da den forhindrer dem i at få tilbagebetalt moms; er af den opfattelse, at status quo fastholder markedsforvridninger, kan skabe en mangel på gennemsigtighed og øge omkostningerne for forbrugerne, forstærker selvforsyningsskævheden i finanssektoren og skaber konkurrencemæssige ulemper i forhold til institutioner fra lande uden for EU;</w:t>
      </w:r>
    </w:p>
    <w:p w14:paraId="4DC20348" w14:textId="22AA1560" w:rsidR="00BA09B2" w:rsidRPr="005E4A0B" w:rsidRDefault="000A71C6" w:rsidP="00BA09B2">
      <w:pPr>
        <w:pStyle w:val="NormalHanging12a"/>
      </w:pPr>
      <w:r>
        <w:t>16</w:t>
      </w:r>
      <w:r w:rsidR="00BA09B2" w:rsidRPr="005E4A0B">
        <w:t>.</w:t>
      </w:r>
      <w:r w:rsidR="00BA09B2" w:rsidRPr="005E4A0B">
        <w:tab/>
        <w:t>understreger, at der ofte indrømmes momsfritagelser for aktiviteter af almen interesse i erkendelse af deres væsentlige sociale funktion; understreger, at visse centrale finansielle tjenesteydelser – navnlig betalingstjenester, indlån og grundlæggende kreditgivning – kan udføre en sammenlignelig næsten offentlig nyttefunktion ved at beskytte opsparinger, muliggøre den økonomiske udveksling og sikre, at mennesker og virksomheder kan deltage sikkert i økonomien;</w:t>
      </w:r>
    </w:p>
    <w:p w14:paraId="2704C437" w14:textId="7202BE8B" w:rsidR="00BA09B2" w:rsidRPr="005E4A0B" w:rsidRDefault="000A71C6" w:rsidP="00BA09B2">
      <w:pPr>
        <w:pStyle w:val="NormalHanging12a"/>
      </w:pPr>
      <w:r>
        <w:t>17</w:t>
      </w:r>
      <w:r w:rsidR="00BA09B2" w:rsidRPr="005E4A0B">
        <w:t>.</w:t>
      </w:r>
      <w:r w:rsidR="00BA09B2" w:rsidRPr="005E4A0B">
        <w:tab/>
        <w:t xml:space="preserve">noterer sig, at gentagne initiativer fra Kommissionen, herunder dens forslag fra </w:t>
      </w:r>
      <w:r w:rsidR="00A519C8" w:rsidRPr="005E4A0B">
        <w:t>2007</w:t>
      </w:r>
      <w:r w:rsidR="00BA09B2" w:rsidRPr="005E4A0B">
        <w:t xml:space="preserve"> og den indledende konsekvensanalyse fra </w:t>
      </w:r>
      <w:r w:rsidR="00A519C8" w:rsidRPr="005E4A0B">
        <w:t>2020</w:t>
      </w:r>
      <w:r w:rsidR="00BA09B2" w:rsidRPr="005E4A0B">
        <w:t>, ikke førte til en reform af momsfritagelsen for finanssektoren, fordi medlemsstaterne ikke opnåede konsensus; bemærker, at Kommissionen senest havde til hensigt at offentliggøre ændringer af momsdirektivet</w:t>
      </w:r>
      <w:r w:rsidR="00A519C8" w:rsidRPr="005E4A0B">
        <w:rPr>
          <w:rStyle w:val="FootnoteReference"/>
        </w:rPr>
        <w:footnoteReference w:id="10"/>
      </w:r>
      <w:r w:rsidR="00BA09B2" w:rsidRPr="005E4A0B">
        <w:t xml:space="preserve"> i begyndelsen af </w:t>
      </w:r>
      <w:r w:rsidR="00A519C8" w:rsidRPr="005E4A0B">
        <w:t>2023</w:t>
      </w:r>
      <w:r w:rsidR="00BA09B2" w:rsidRPr="005E4A0B">
        <w:t>; bemærker, at disse planer blev sat i bero, og at denne vigtige reform derfor endnu ikke er gennemført;</w:t>
      </w:r>
    </w:p>
    <w:p w14:paraId="7CE82A66" w14:textId="6E54BCF3" w:rsidR="00BA09B2" w:rsidRPr="005E4A0B" w:rsidRDefault="000A71C6" w:rsidP="00BA09B2">
      <w:pPr>
        <w:pStyle w:val="NormalHanging12a"/>
      </w:pPr>
      <w:r>
        <w:t>18</w:t>
      </w:r>
      <w:r w:rsidR="00BA09B2" w:rsidRPr="005E4A0B">
        <w:t>.</w:t>
      </w:r>
      <w:r w:rsidR="00BA09B2" w:rsidRPr="005E4A0B">
        <w:tab/>
        <w:t>bemærker, at momsgrupper i henhold til momsdirektivets artikel </w:t>
      </w:r>
      <w:r w:rsidR="00A519C8" w:rsidRPr="005E4A0B">
        <w:t>11</w:t>
      </w:r>
      <w:r w:rsidR="00BA09B2" w:rsidRPr="005E4A0B">
        <w:t xml:space="preserve"> fortsat er valgfrie for medlemsstaterne og er begrænset af territoriale begrænsninger, hvilket skaber juridiske og praktiske hindringer for grænseoverskridende grupper, der er aktive inden for finansielle tjenesteydelser;</w:t>
      </w:r>
    </w:p>
    <w:p w14:paraId="71AF82A3" w14:textId="43E1AA31" w:rsidR="00BA09B2" w:rsidRPr="005E4A0B" w:rsidRDefault="000A71C6" w:rsidP="00BA09B2">
      <w:pPr>
        <w:pStyle w:val="NormalHanging12a"/>
      </w:pPr>
      <w:r>
        <w:t>19</w:t>
      </w:r>
      <w:r w:rsidR="00BA09B2" w:rsidRPr="005E4A0B">
        <w:t>.</w:t>
      </w:r>
      <w:r w:rsidR="00BA09B2" w:rsidRPr="005E4A0B">
        <w:tab/>
        <w:t>understreger, at momsfritagelsen, på trods af anvendelsen af momsgrupper og omkostningsdelingsordninger i nogle medlemsstater, kombineret med forskellige kompenserende nationale skatteregler såsom afgifter på forsikringspræmier, skaber et komplekst og fragmenteret skattelandskab, hvilket gør grænseoverskridende overholdelse af skattereglerne bekostelig og øger virksomhedernes driftsomkostninger; understreger, at der er behov for klarere momsdefinitioner og forenklede regler for at mindske disse byrder, sikre en konsekvent anvendelse af reglerne i hele EU, fremme grænseoverskridende virksomhed og støtte innovation;</w:t>
      </w:r>
    </w:p>
    <w:p w14:paraId="7533A385" w14:textId="434AF3A4" w:rsidR="00BA09B2" w:rsidRPr="005E4A0B" w:rsidRDefault="000A71C6" w:rsidP="00BA09B2">
      <w:pPr>
        <w:pStyle w:val="NormalHanging12a"/>
      </w:pPr>
      <w:r>
        <w:t>20</w:t>
      </w:r>
      <w:r w:rsidR="00BA09B2" w:rsidRPr="005E4A0B">
        <w:t>.</w:t>
      </w:r>
      <w:r w:rsidR="00BA09B2" w:rsidRPr="005E4A0B">
        <w:tab/>
        <w:t xml:space="preserve">bemærker, at momsgrupper, som kan mindske de administrative byrder og forbedre effektiviteten af finansielle institutioner, i øjeblikket anvendes forskelligt på tværs af medlemsstaterne og generelt er begrænset til enheder, der er etableret i en enkelt medlemsstat; fremhæver, at større konvergens i anvendelsen af momsgrupper kan mindske fragmenteringen og </w:t>
      </w:r>
      <w:proofErr w:type="spellStart"/>
      <w:r w:rsidR="00BA09B2" w:rsidRPr="005E4A0B">
        <w:t>retsusikkerheden</w:t>
      </w:r>
      <w:proofErr w:type="spellEnd"/>
      <w:r w:rsidR="00BA09B2" w:rsidRPr="005E4A0B">
        <w:t xml:space="preserve"> på det indre marked og lette grænseoverskridende aktiviteter inden for finansielle tjenesteydelser;</w:t>
      </w:r>
    </w:p>
    <w:p w14:paraId="59150C57" w14:textId="2D71AC40" w:rsidR="00BA09B2" w:rsidRPr="005E4A0B" w:rsidRDefault="000A71C6" w:rsidP="00BA09B2">
      <w:pPr>
        <w:pStyle w:val="NormalHanging12a"/>
      </w:pPr>
      <w:r>
        <w:t>21</w:t>
      </w:r>
      <w:r w:rsidR="00BA09B2" w:rsidRPr="005E4A0B">
        <w:t>.</w:t>
      </w:r>
      <w:r w:rsidR="00BA09B2" w:rsidRPr="005E4A0B">
        <w:tab/>
        <w:t>opfordrer Kommissionen til at tilskynde medlemsstaterne til at gennemføre momsgrupper på en konsekvent måde og til at undersøge mulighederne for en klarere retlig ramme, herunder muligheden for grænseoverskridende momsgrupper; understreger, at en bredere anvendelse af momsgrupper for finansielle tjenesteydelser og forsikringstjenester skal være i overensstemmelse med selskabsskattereglerne, navnlig reglerne om fastsættelse af intern afregningspris, og skal ledsages af bindende sikkerhedsforanstaltninger mod misbrug for at forhindre svig og skatteundgåelse, momslækage inden for koncernen og misbrug af omkostningsdeling;</w:t>
      </w:r>
    </w:p>
    <w:p w14:paraId="17875C85" w14:textId="7CE9ECA3" w:rsidR="00BA09B2" w:rsidRPr="005E4A0B" w:rsidRDefault="000A71C6" w:rsidP="00BA09B2">
      <w:pPr>
        <w:pStyle w:val="NormalHanging12a"/>
      </w:pPr>
      <w:r>
        <w:t>22</w:t>
      </w:r>
      <w:r w:rsidR="00BA09B2" w:rsidRPr="005E4A0B">
        <w:t>.</w:t>
      </w:r>
      <w:r w:rsidR="00BA09B2" w:rsidRPr="005E4A0B">
        <w:tab/>
        <w:t xml:space="preserve">bemærker, at momsdirektivet mangler specifikke bestemmelser for nye finansielle instrumenter, herunder </w:t>
      </w:r>
      <w:proofErr w:type="spellStart"/>
      <w:r w:rsidR="00BA09B2" w:rsidRPr="005E4A0B">
        <w:t>kryptoaktiver</w:t>
      </w:r>
      <w:proofErr w:type="spellEnd"/>
      <w:r w:rsidR="00BA09B2" w:rsidRPr="005E4A0B">
        <w:t xml:space="preserve">, decentraliseret finans og </w:t>
      </w:r>
      <w:proofErr w:type="spellStart"/>
      <w:r w:rsidR="00BA09B2" w:rsidRPr="005E4A0B">
        <w:t>fintech</w:t>
      </w:r>
      <w:proofErr w:type="spellEnd"/>
      <w:r w:rsidR="00BA09B2" w:rsidRPr="005E4A0B">
        <w:t>; fremhæver desuden, at direktivet ikke omhandler momsbehandlingen af derivater, og at behandlingen af investeringsfonde fortsat er forskellig fra medlemsstat til medlemsstat; bemærker, at dette har ført til divergerende nationale fortolkninger af momsreglerne, juridisk usikkerhed for tjenesteudbydere og ulige behandling mellem traditionelle og nye finansielle tjenesteydelser og risikerer at hindre innovation og konkurrenceevne;</w:t>
      </w:r>
    </w:p>
    <w:p w14:paraId="3EF517E8" w14:textId="35281DCE" w:rsidR="00BA09B2" w:rsidRPr="005E4A0B" w:rsidRDefault="000A71C6" w:rsidP="00BA09B2">
      <w:pPr>
        <w:pStyle w:val="NormalHanging12a"/>
      </w:pPr>
      <w:r>
        <w:t>23</w:t>
      </w:r>
      <w:r w:rsidR="00BA09B2" w:rsidRPr="005E4A0B">
        <w:t>.</w:t>
      </w:r>
      <w:r w:rsidR="00BA09B2" w:rsidRPr="005E4A0B">
        <w:tab/>
        <w:t xml:space="preserve">understreger, at en moderne skatteramme bør støtte innovation inden for </w:t>
      </w:r>
      <w:proofErr w:type="spellStart"/>
      <w:r w:rsidR="00BA09B2" w:rsidRPr="005E4A0B">
        <w:t>fintech</w:t>
      </w:r>
      <w:proofErr w:type="spellEnd"/>
      <w:r w:rsidR="00BA09B2" w:rsidRPr="005E4A0B">
        <w:t xml:space="preserve"> og digital finansiering og undgå at skabe lovgivningsmæssige modincitamenter for nye markedsdeltagere; opfordrer Kommissionen til at præcisere momsbehandlingen af nye finansielle tjenesteydelser for at sikre teknologisk neutralitet og lige vilkår i hele EU;</w:t>
      </w:r>
    </w:p>
    <w:p w14:paraId="5BA304F5" w14:textId="5F0C3396" w:rsidR="00BA09B2" w:rsidRPr="005E4A0B" w:rsidRDefault="000A71C6" w:rsidP="00BA09B2">
      <w:pPr>
        <w:pStyle w:val="NormalHanging12a"/>
      </w:pPr>
      <w:r>
        <w:t>24</w:t>
      </w:r>
      <w:r w:rsidR="00BA09B2" w:rsidRPr="005E4A0B">
        <w:t>.</w:t>
      </w:r>
      <w:r w:rsidR="00BA09B2" w:rsidRPr="005E4A0B">
        <w:tab/>
        <w:t>mener, at en bred og udifferentieret momsfritagelse for hele den finansielle sektor rejser spørgsmål om skattesystemets overordnede sammenhæng og balance; understreger, at en reform af momsfritagelsen kan mindske forvridninger og omfanget af ikkefradragsberettiget moms uden at skabe uforholdsmæssig administrativ kompleksitet; bemærker, at muligheder for at fjerne momsfritagelsen effektivt kunne fjerne den ikkefradragsberettigede moms ved at give finansielle selskaber mulighed for fuldt ud at få tilbagebetalt den moms, som de betaler for varer og tjenesteydelser, der anvendes i deres aktiviteter; understreger, at dette vil fjerne den nuværende tendens til at internalisere tjenester i stedet for at outsource dem, hvilket kan begrænse en virksomheds evne til at specialisere sig, få adgang til ekstern ekspertise og innovere; anerkender, at denne reform også kan skabe lige vilkår for så vidt angår andre jurisdiktioner og styrke den internationale konkurrenceevne for EU's finansielle institutioner;</w:t>
      </w:r>
    </w:p>
    <w:p w14:paraId="18021781" w14:textId="7223F3D4" w:rsidR="00BA09B2" w:rsidRPr="005E4A0B" w:rsidRDefault="000A71C6" w:rsidP="00BA09B2">
      <w:pPr>
        <w:pStyle w:val="NormalHanging12a"/>
      </w:pPr>
      <w:r>
        <w:t>25</w:t>
      </w:r>
      <w:r w:rsidR="00BA09B2" w:rsidRPr="005E4A0B">
        <w:t>.</w:t>
      </w:r>
      <w:r w:rsidR="00BA09B2" w:rsidRPr="005E4A0B">
        <w:tab/>
        <w:t>minder om, at moms er en harmoniseret skatteramme på EU-plan, selv om medlemsstaterne bevarer et vist råderum for at gennemføre den; anerkender derfor, at en reform af momssystemet for finansielle tjenesteydelser bør behandles på EU-plan;</w:t>
      </w:r>
    </w:p>
    <w:p w14:paraId="234C63F1" w14:textId="1645C5F0" w:rsidR="00BA09B2" w:rsidRPr="005E4A0B" w:rsidRDefault="000A71C6" w:rsidP="00BA09B2">
      <w:pPr>
        <w:pStyle w:val="NormalHanging12a"/>
      </w:pPr>
      <w:r>
        <w:t>26</w:t>
      </w:r>
      <w:r w:rsidR="00BA09B2" w:rsidRPr="005E4A0B">
        <w:t>.</w:t>
      </w:r>
      <w:r w:rsidR="00BA09B2" w:rsidRPr="005E4A0B">
        <w:tab/>
        <w:t>opfordrer Kommissionen til at gennemgå virkningerne af den nuværende momsordning for den finansielle sektor og til offentligt at dele denne analyse; opfordrer Kommissionen til at overveje politiske muligheder for at imødegå identificerede forvridende virkninger; understreger, at en sådan reform bør reducere ikkefradragsberettiget moms og den fragmenterede anvendelse af regler, forbedre retssikkerheden og den skattemæssige retfærdighed og styrke konkurrenceevnen på EU's finansielle markeder, samtidig med at den finansielle stabilitet sikres, og regelarbitrage mellem medlemsstaterne minimeres; understreger, at enhver sådan reform også skal beskytte forbrugerne og fortsat sikre, at den finansielle sektor yder et rimeligt bidrag til de offentlige indtægter;</w:t>
      </w:r>
    </w:p>
    <w:p w14:paraId="44A2D13E" w14:textId="0DC73E70" w:rsidR="00BA09B2" w:rsidRPr="005E4A0B" w:rsidRDefault="000A71C6" w:rsidP="00BA09B2">
      <w:pPr>
        <w:pStyle w:val="NormalHanging12a"/>
      </w:pPr>
      <w:r>
        <w:t>27</w:t>
      </w:r>
      <w:r w:rsidR="00BA09B2" w:rsidRPr="005E4A0B">
        <w:t>.</w:t>
      </w:r>
      <w:r w:rsidR="00BA09B2" w:rsidRPr="005E4A0B">
        <w:tab/>
        <w:t>bemærker, at ethvert forslag om revision af momsrammen bør baseres på en dybdegående analyse på makroøkonomisk plan og en omfattende kortlægning af nationale bankskatter og -afgifter; understreger, at en sådan analyse bør tage hensyn til de administrative konsekvenser for finansielle tjenesteydelser, samspillet mellem eksisterende nationale bankskatter, afgifter i den finansielle sektor og momssystemet og indvirkningen på det indre marked;</w:t>
      </w:r>
    </w:p>
    <w:p w14:paraId="3542164F" w14:textId="2FB315A5" w:rsidR="00BA09B2" w:rsidRPr="005E4A0B" w:rsidRDefault="000A71C6" w:rsidP="00BA09B2">
      <w:pPr>
        <w:pStyle w:val="NormalHanging12a"/>
      </w:pPr>
      <w:r>
        <w:t>28</w:t>
      </w:r>
      <w:r w:rsidR="00BA09B2" w:rsidRPr="005E4A0B">
        <w:t>.</w:t>
      </w:r>
      <w:r w:rsidR="00BA09B2" w:rsidRPr="005E4A0B">
        <w:tab/>
        <w:t xml:space="preserve">understreger, at enhver ændring af momsbehandlingen af finansielle tjenesteydelser nøje skal vurdere indvirkningen på de tjenesteydelser, der leveres til detailforbrugere, navnlig lav- og </w:t>
      </w:r>
      <w:proofErr w:type="spellStart"/>
      <w:r w:rsidR="00BA09B2" w:rsidRPr="005E4A0B">
        <w:t>mellemindkomsthusstande</w:t>
      </w:r>
      <w:proofErr w:type="spellEnd"/>
      <w:r w:rsidR="00BA09B2" w:rsidRPr="005E4A0B">
        <w:t>, og undgå yderligere samlede omkostninger;</w:t>
      </w:r>
    </w:p>
    <w:p w14:paraId="435EA5EC" w14:textId="0452354F" w:rsidR="00BA09B2" w:rsidRPr="005E4A0B" w:rsidRDefault="000A71C6" w:rsidP="00BA09B2">
      <w:pPr>
        <w:pStyle w:val="NormalHanging12a"/>
      </w:pPr>
      <w:r>
        <w:t>29</w:t>
      </w:r>
      <w:r w:rsidR="00BA09B2" w:rsidRPr="005E4A0B">
        <w:t>.</w:t>
      </w:r>
      <w:r w:rsidR="00BA09B2" w:rsidRPr="005E4A0B">
        <w:tab/>
        <w:t>opfordrer Kommissionen til, som en del af en eventuel reform af momsfritagelsen, at vurdere muligheden for at erstatte nationale afgifter på forsikringspræmier med fuld integration af forsikringstjenesteydelser i momssystemet;</w:t>
      </w:r>
    </w:p>
    <w:p w14:paraId="211024AE" w14:textId="77777777" w:rsidR="00BA09B2" w:rsidRPr="005E4A0B" w:rsidRDefault="00BA09B2" w:rsidP="00BA09B2">
      <w:pPr>
        <w:pStyle w:val="Normal12a"/>
      </w:pPr>
      <w:r w:rsidRPr="005E4A0B">
        <w:rPr>
          <w:b/>
          <w:i/>
        </w:rPr>
        <w:t>Fremme af en mere konsekvent finanspolitisk ramme for finanssektoren</w:t>
      </w:r>
    </w:p>
    <w:p w14:paraId="035BE7CE" w14:textId="387C8B24" w:rsidR="00BA09B2" w:rsidRPr="005E4A0B" w:rsidRDefault="000A71C6" w:rsidP="00BA09B2">
      <w:pPr>
        <w:pStyle w:val="NormalHanging12a"/>
      </w:pPr>
      <w:r>
        <w:t>30</w:t>
      </w:r>
      <w:r w:rsidR="00BA09B2" w:rsidRPr="005E4A0B">
        <w:t>.</w:t>
      </w:r>
      <w:r w:rsidR="00BA09B2" w:rsidRPr="005E4A0B">
        <w:tab/>
        <w:t xml:space="preserve">minder om, at EU står over for et betydeligt investeringsgab på </w:t>
      </w:r>
      <w:r w:rsidR="00A519C8" w:rsidRPr="005E4A0B">
        <w:t>750</w:t>
      </w:r>
      <w:r w:rsidR="00BA09B2" w:rsidRPr="005E4A0B">
        <w:t>-</w:t>
      </w:r>
      <w:r w:rsidR="00A519C8" w:rsidRPr="005E4A0B">
        <w:t>800</w:t>
      </w:r>
      <w:r w:rsidR="00BA09B2" w:rsidRPr="005E4A0B">
        <w:t> mia. EUR om året med hensyn til at opfylde sine mål for klima, det digitale område og strategisk autonomi; minder om medlemsstaternes og EU's tilsagn om i væsentlig grad at øge de europæiske forsvarsinvesteringer; understreger, at en retfærdig og mere sammenhængende beskatning af den finansielle sektor, for at reagere på disse udfordringer kan bidrage til at mobilisere privat kapital og dermed stimulere detailinvesteringer og styrke de europæiske kapitalmarkeder og samtidig øge indtægterne til offentlige investeringer til strategiske prioriteter og vores sociale, klima- og investeringsbehov og dermed styrke EU's konkurrenceevne;</w:t>
      </w:r>
    </w:p>
    <w:p w14:paraId="77D86CF9" w14:textId="1CF2B4EE" w:rsidR="00BA09B2" w:rsidRPr="005E4A0B" w:rsidRDefault="000A71C6" w:rsidP="00BA09B2">
      <w:pPr>
        <w:pStyle w:val="NormalHanging12a"/>
      </w:pPr>
      <w:r>
        <w:t>31</w:t>
      </w:r>
      <w:r w:rsidR="00BA09B2" w:rsidRPr="005E4A0B">
        <w:t>.</w:t>
      </w:r>
      <w:r w:rsidR="00BA09B2" w:rsidRPr="005E4A0B">
        <w:tab/>
        <w:t xml:space="preserve">minder i den henseende om aftalen fra </w:t>
      </w:r>
      <w:r w:rsidR="00A519C8" w:rsidRPr="005E4A0B">
        <w:t>2020</w:t>
      </w:r>
      <w:r w:rsidR="00BA09B2" w:rsidRPr="005E4A0B">
        <w:t xml:space="preserve"> mellem Parlamentet, Rådet og Kommissionen om en køreplan for indførelse af nye egne indtægter, herunder en afgift på finansielle transaktioner baseret på resultaterne af en konsekvensanalyse;</w:t>
      </w:r>
    </w:p>
    <w:p w14:paraId="44D993ED" w14:textId="2613C190" w:rsidR="00BA09B2" w:rsidRPr="005E4A0B" w:rsidRDefault="000A71C6" w:rsidP="00BA09B2">
      <w:pPr>
        <w:pStyle w:val="NormalHanging12a"/>
      </w:pPr>
      <w:r>
        <w:t>32</w:t>
      </w:r>
      <w:r w:rsidR="00BA09B2" w:rsidRPr="005E4A0B">
        <w:t>.</w:t>
      </w:r>
      <w:r w:rsidR="00BA09B2" w:rsidRPr="005E4A0B">
        <w:tab/>
        <w:t xml:space="preserve">erkender manglen på fremskridt med hensyn til forslaget om en afgift på finansielle transaktioner i Rådet, på trods af en omfattende drøftelse, både med enstemmighed og forstærket samarbejde, og noterer sig Kommissionens meddelelse om tilbagetrækningen af forslaget om en afgift på finansielle transaktioner i sit arbejdsprogram for </w:t>
      </w:r>
      <w:r w:rsidR="00A519C8" w:rsidRPr="005E4A0B">
        <w:t>2026</w:t>
      </w:r>
      <w:r w:rsidR="00BA09B2" w:rsidRPr="005E4A0B">
        <w:t>;</w:t>
      </w:r>
    </w:p>
    <w:p w14:paraId="6A0CD485" w14:textId="5EF58681" w:rsidR="00BA09B2" w:rsidRPr="005E4A0B" w:rsidRDefault="000A71C6" w:rsidP="00BA09B2">
      <w:pPr>
        <w:pStyle w:val="NormalHanging12a"/>
      </w:pPr>
      <w:r>
        <w:t>33</w:t>
      </w:r>
      <w:r w:rsidR="00BA09B2" w:rsidRPr="005E4A0B">
        <w:t>.</w:t>
      </w:r>
      <w:r w:rsidR="00BA09B2" w:rsidRPr="005E4A0B">
        <w:tab/>
        <w:t>er af den opfattelse, at regelmæssige vurderinger af de økonomiske virkninger og den fortsatte relevans af skattepolitikken i den finansielle sektor er afgørende for at undgå utilsigtede eller varige forvridninger af de finansielle markeder; glæder sig over, at Kommissionen er i færd med at foretage en omfattende analyse af den potentielle indvirkning af den overordnede beskatning af den finansielle sektor på markedets funktion, grænseoverskridende investeringer og konkurrenceevnen på EU's finansielle markeder;</w:t>
      </w:r>
    </w:p>
    <w:p w14:paraId="0941E1F7" w14:textId="0C35F0DD" w:rsidR="00BA09B2" w:rsidRPr="005E4A0B" w:rsidRDefault="000A71C6" w:rsidP="00BA09B2">
      <w:pPr>
        <w:pStyle w:val="NormalHanging12a"/>
      </w:pPr>
      <w:r>
        <w:t>34</w:t>
      </w:r>
      <w:r w:rsidR="00BA09B2" w:rsidRPr="005E4A0B">
        <w:t>.</w:t>
      </w:r>
      <w:r w:rsidR="00BA09B2" w:rsidRPr="005E4A0B">
        <w:tab/>
        <w:t>understreger, at skattereglerne for den finansielle sektor bør forenkles og sikre, at sektoren yder et retfærdigt og forsvarligt finansielt bidrag, og at de bør være klare, gennemsigtige og forudsigelige med henblik på at mindske fragmenteringen, muliggøre investeringer og grænseoverskridende aktiviteter og samtidig sikre et højt forbrugerbeskyttelsesniveau; understreger, at disse regler bør forbedre effektiviteten og kapitalallokeringen, sikre markedsstabiliteten og konkurrenceevnen og mindske overholdelsesomkostningerne, navnlig for detailforbrugere og små og mellemstore virksomheder;</w:t>
      </w:r>
    </w:p>
    <w:p w14:paraId="3F866692" w14:textId="77777777" w:rsidR="00BA09B2" w:rsidRPr="005E4A0B" w:rsidRDefault="00BA09B2" w:rsidP="00BA09B2">
      <w:pPr>
        <w:pStyle w:val="NormalCenter12a"/>
      </w:pPr>
      <w:r w:rsidRPr="005E4A0B">
        <w:t>°</w:t>
      </w:r>
    </w:p>
    <w:p w14:paraId="2219BE77" w14:textId="77777777" w:rsidR="00BA09B2" w:rsidRPr="005E4A0B" w:rsidRDefault="00BA09B2" w:rsidP="00BA09B2">
      <w:pPr>
        <w:pStyle w:val="NormalCenter12a"/>
      </w:pPr>
      <w:r w:rsidRPr="005E4A0B">
        <w:t>°</w:t>
      </w:r>
      <w:r w:rsidRPr="005E4A0B">
        <w:tab/>
        <w:t>°</w:t>
      </w:r>
    </w:p>
    <w:p w14:paraId="50ACA363" w14:textId="0C65F447" w:rsidR="00816A5C" w:rsidRPr="005E4A0B" w:rsidRDefault="000A71C6" w:rsidP="00816A5C">
      <w:pPr>
        <w:pStyle w:val="NormalHanging12a"/>
      </w:pPr>
      <w:r>
        <w:t>35</w:t>
      </w:r>
      <w:r w:rsidR="00BA09B2" w:rsidRPr="005E4A0B">
        <w:t>.</w:t>
      </w:r>
      <w:r w:rsidR="00BA09B2" w:rsidRPr="005E4A0B">
        <w:tab/>
        <w:t>pålægger sin formand at sende denne beslutning til Rådet og Kommissionen.</w:t>
      </w:r>
    </w:p>
    <w:p w14:paraId="490FEB08" w14:textId="5B9B62FC" w:rsidR="00E365E1" w:rsidRPr="005E4A0B" w:rsidRDefault="00E365E1" w:rsidP="00BF4119"/>
    <w:sectPr w:rsidR="00E365E1" w:rsidRPr="005E4A0B" w:rsidSect="00816A5C">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A162D" w14:textId="77777777" w:rsidR="00BF4119" w:rsidRPr="00816A5C" w:rsidRDefault="00BF4119">
      <w:r w:rsidRPr="00816A5C">
        <w:separator/>
      </w:r>
    </w:p>
  </w:endnote>
  <w:endnote w:type="continuationSeparator" w:id="0">
    <w:p w14:paraId="1C13BB0D" w14:textId="77777777" w:rsidR="00BF4119" w:rsidRPr="00816A5C" w:rsidRDefault="00BF4119">
      <w:r w:rsidRPr="00816A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19425" w14:textId="77777777" w:rsidR="00BF4119" w:rsidRPr="00816A5C" w:rsidRDefault="00BF4119">
      <w:r w:rsidRPr="00816A5C">
        <w:separator/>
      </w:r>
    </w:p>
  </w:footnote>
  <w:footnote w:type="continuationSeparator" w:id="0">
    <w:p w14:paraId="5CF1F911" w14:textId="77777777" w:rsidR="00BF4119" w:rsidRPr="00816A5C" w:rsidRDefault="00BF4119">
      <w:r w:rsidRPr="00816A5C">
        <w:continuationSeparator/>
      </w:r>
    </w:p>
  </w:footnote>
  <w:footnote w:id="1">
    <w:p w14:paraId="5D415EF0" w14:textId="7B24CE1A" w:rsidR="00A519C8" w:rsidRPr="00816A5C" w:rsidRDefault="00A519C8" w:rsidP="00816A5C">
      <w:pPr>
        <w:pStyle w:val="FootnoteText"/>
        <w:ind w:left="567" w:hanging="567"/>
        <w:rPr>
          <w:sz w:val="24"/>
          <w:lang w:val="da-DK"/>
        </w:rPr>
      </w:pPr>
      <w:r>
        <w:rPr>
          <w:rStyle w:val="FootnoteReference"/>
        </w:rPr>
        <w:footnoteRef/>
      </w:r>
      <w:r w:rsidRPr="00816A5C">
        <w:rPr>
          <w:sz w:val="24"/>
          <w:lang w:val="da-DK"/>
        </w:rPr>
        <w:t xml:space="preserve"> </w:t>
      </w:r>
      <w:r w:rsidRPr="00816A5C">
        <w:rPr>
          <w:sz w:val="24"/>
          <w:lang w:val="da-DK"/>
        </w:rPr>
        <w:tab/>
        <w:t>EUT L </w:t>
      </w:r>
      <w:r w:rsidRPr="00A519C8">
        <w:rPr>
          <w:sz w:val="24"/>
          <w:lang w:val="da-DK"/>
        </w:rPr>
        <w:t>150</w:t>
      </w:r>
      <w:r w:rsidRPr="00816A5C">
        <w:rPr>
          <w:sz w:val="24"/>
          <w:lang w:val="da-DK"/>
        </w:rPr>
        <w:t xml:space="preserve"> af </w:t>
      </w:r>
      <w:r w:rsidRPr="00A519C8">
        <w:rPr>
          <w:sz w:val="24"/>
          <w:lang w:val="da-DK"/>
        </w:rPr>
        <w:t>9</w:t>
      </w:r>
      <w:r w:rsidRPr="00816A5C">
        <w:rPr>
          <w:sz w:val="24"/>
          <w:lang w:val="da-DK"/>
        </w:rPr>
        <w:t>.</w:t>
      </w:r>
      <w:r w:rsidRPr="00A519C8">
        <w:rPr>
          <w:sz w:val="24"/>
          <w:lang w:val="da-DK"/>
        </w:rPr>
        <w:t>6</w:t>
      </w:r>
      <w:r w:rsidRPr="00816A5C">
        <w:rPr>
          <w:sz w:val="24"/>
          <w:lang w:val="da-DK"/>
        </w:rPr>
        <w:t>.</w:t>
      </w:r>
      <w:r w:rsidRPr="00A519C8">
        <w:rPr>
          <w:sz w:val="24"/>
          <w:lang w:val="da-DK"/>
        </w:rPr>
        <w:t>2023</w:t>
      </w:r>
      <w:r w:rsidRPr="00816A5C">
        <w:rPr>
          <w:sz w:val="24"/>
          <w:lang w:val="da-DK"/>
        </w:rPr>
        <w:t>, s. </w:t>
      </w:r>
      <w:r w:rsidRPr="00A519C8">
        <w:rPr>
          <w:sz w:val="24"/>
          <w:lang w:val="da-DK"/>
        </w:rPr>
        <w:t>40</w:t>
      </w:r>
      <w:r w:rsidRPr="00816A5C">
        <w:rPr>
          <w:sz w:val="24"/>
          <w:lang w:val="da-DK"/>
        </w:rPr>
        <w:t xml:space="preserve">, ELI: </w:t>
      </w:r>
      <w:hyperlink r:id="rId1" w:tgtFrame="http://data.europa.eu/eli/reg/2023/1114/oj" w:history="1">
        <w:r w:rsidRPr="00816A5C">
          <w:rPr>
            <w:rStyle w:val="Hyperlink"/>
            <w:sz w:val="24"/>
            <w:lang w:val="da-DK"/>
          </w:rPr>
          <w:t>http://data.europa.eu/eli/reg/</w:t>
        </w:r>
        <w:r w:rsidRPr="00A519C8">
          <w:rPr>
            <w:rStyle w:val="Hyperlink"/>
            <w:sz w:val="24"/>
            <w:lang w:val="da-DK"/>
          </w:rPr>
          <w:t>2023</w:t>
        </w:r>
        <w:r w:rsidRPr="00816A5C">
          <w:rPr>
            <w:rStyle w:val="Hyperlink"/>
            <w:sz w:val="24"/>
            <w:lang w:val="da-DK"/>
          </w:rPr>
          <w:t>/</w:t>
        </w:r>
        <w:r w:rsidRPr="00A519C8">
          <w:rPr>
            <w:rStyle w:val="Hyperlink"/>
            <w:sz w:val="24"/>
            <w:lang w:val="da-DK"/>
          </w:rPr>
          <w:t>1114</w:t>
        </w:r>
        <w:r w:rsidRPr="00816A5C">
          <w:rPr>
            <w:rStyle w:val="Hyperlink"/>
            <w:sz w:val="24"/>
            <w:lang w:val="da-DK"/>
          </w:rPr>
          <w:t>/oj</w:t>
        </w:r>
      </w:hyperlink>
      <w:r w:rsidRPr="00816A5C">
        <w:rPr>
          <w:sz w:val="24"/>
          <w:lang w:val="da-DK"/>
        </w:rPr>
        <w:t>.</w:t>
      </w:r>
    </w:p>
  </w:footnote>
  <w:footnote w:id="2">
    <w:p w14:paraId="2ADE87D9" w14:textId="039ECDD1" w:rsidR="00A519C8" w:rsidRPr="00816A5C" w:rsidRDefault="00A519C8" w:rsidP="00816A5C">
      <w:pPr>
        <w:pStyle w:val="FootnoteText"/>
        <w:ind w:left="567" w:hanging="567"/>
        <w:rPr>
          <w:sz w:val="24"/>
          <w:lang w:val="da-DK"/>
        </w:rPr>
      </w:pPr>
      <w:r>
        <w:rPr>
          <w:rStyle w:val="FootnoteReference"/>
        </w:rPr>
        <w:footnoteRef/>
      </w:r>
      <w:r w:rsidRPr="00816A5C">
        <w:rPr>
          <w:sz w:val="24"/>
          <w:lang w:val="da-DK"/>
        </w:rPr>
        <w:t xml:space="preserve"> </w:t>
      </w:r>
      <w:r w:rsidRPr="00816A5C">
        <w:rPr>
          <w:sz w:val="24"/>
          <w:lang w:val="da-DK"/>
        </w:rPr>
        <w:tab/>
        <w:t>EUT L </w:t>
      </w:r>
      <w:r w:rsidRPr="00A519C8">
        <w:rPr>
          <w:sz w:val="24"/>
          <w:lang w:val="da-DK"/>
        </w:rPr>
        <w:t>424</w:t>
      </w:r>
      <w:r w:rsidRPr="00816A5C">
        <w:rPr>
          <w:sz w:val="24"/>
          <w:lang w:val="da-DK"/>
        </w:rPr>
        <w:t xml:space="preserve"> af </w:t>
      </w:r>
      <w:r w:rsidRPr="00A519C8">
        <w:rPr>
          <w:sz w:val="24"/>
          <w:lang w:val="da-DK"/>
        </w:rPr>
        <w:t>15</w:t>
      </w:r>
      <w:r w:rsidRPr="00816A5C">
        <w:rPr>
          <w:sz w:val="24"/>
          <w:lang w:val="da-DK"/>
        </w:rPr>
        <w:t>.</w:t>
      </w:r>
      <w:r w:rsidRPr="00A519C8">
        <w:rPr>
          <w:sz w:val="24"/>
          <w:lang w:val="da-DK"/>
        </w:rPr>
        <w:t>12</w:t>
      </w:r>
      <w:r w:rsidRPr="00816A5C">
        <w:rPr>
          <w:sz w:val="24"/>
          <w:lang w:val="da-DK"/>
        </w:rPr>
        <w:t>.</w:t>
      </w:r>
      <w:r w:rsidRPr="00A519C8">
        <w:rPr>
          <w:sz w:val="24"/>
          <w:lang w:val="da-DK"/>
        </w:rPr>
        <w:t>2020</w:t>
      </w:r>
      <w:r w:rsidRPr="00816A5C">
        <w:rPr>
          <w:sz w:val="24"/>
          <w:lang w:val="da-DK"/>
        </w:rPr>
        <w:t>, s. </w:t>
      </w:r>
      <w:r w:rsidRPr="00A519C8">
        <w:rPr>
          <w:sz w:val="24"/>
          <w:lang w:val="da-DK"/>
        </w:rPr>
        <w:t>1</w:t>
      </w:r>
      <w:r w:rsidRPr="00816A5C">
        <w:rPr>
          <w:sz w:val="24"/>
          <w:lang w:val="da-DK"/>
        </w:rPr>
        <w:t xml:space="preserve">, ELI: </w:t>
      </w:r>
      <w:hyperlink r:id="rId2" w:tgtFrame="http://data.europa.eu/eli/dec/2020/2053/oj" w:history="1">
        <w:r w:rsidRPr="00816A5C">
          <w:rPr>
            <w:rStyle w:val="Hyperlink"/>
            <w:sz w:val="24"/>
            <w:lang w:val="da-DK"/>
          </w:rPr>
          <w:t>http://data.europa.eu/eli/dec/</w:t>
        </w:r>
        <w:r w:rsidRPr="00A519C8">
          <w:rPr>
            <w:rStyle w:val="Hyperlink"/>
            <w:sz w:val="24"/>
            <w:lang w:val="da-DK"/>
          </w:rPr>
          <w:t>2020</w:t>
        </w:r>
        <w:r w:rsidRPr="00816A5C">
          <w:rPr>
            <w:rStyle w:val="Hyperlink"/>
            <w:sz w:val="24"/>
            <w:lang w:val="da-DK"/>
          </w:rPr>
          <w:t>/</w:t>
        </w:r>
        <w:r w:rsidRPr="00A519C8">
          <w:rPr>
            <w:rStyle w:val="Hyperlink"/>
            <w:sz w:val="24"/>
            <w:lang w:val="da-DK"/>
          </w:rPr>
          <w:t>2053</w:t>
        </w:r>
        <w:r w:rsidRPr="00816A5C">
          <w:rPr>
            <w:rStyle w:val="Hyperlink"/>
            <w:sz w:val="24"/>
            <w:lang w:val="da-DK"/>
          </w:rPr>
          <w:t>/oj</w:t>
        </w:r>
      </w:hyperlink>
      <w:r w:rsidRPr="00816A5C">
        <w:rPr>
          <w:sz w:val="24"/>
          <w:lang w:val="da-DK"/>
        </w:rPr>
        <w:t>.</w:t>
      </w:r>
    </w:p>
  </w:footnote>
  <w:footnote w:id="3">
    <w:p w14:paraId="4F254025" w14:textId="5CCE2B39" w:rsidR="00A519C8" w:rsidRPr="00816A5C" w:rsidRDefault="00A519C8" w:rsidP="00816A5C">
      <w:pPr>
        <w:pStyle w:val="FootnoteText"/>
        <w:ind w:left="567" w:hanging="567"/>
        <w:rPr>
          <w:sz w:val="24"/>
          <w:lang w:val="da-DK"/>
        </w:rPr>
      </w:pPr>
      <w:r>
        <w:rPr>
          <w:rStyle w:val="FootnoteReference"/>
        </w:rPr>
        <w:footnoteRef/>
      </w:r>
      <w:r w:rsidRPr="00816A5C">
        <w:rPr>
          <w:sz w:val="24"/>
          <w:lang w:val="da-DK"/>
        </w:rPr>
        <w:t xml:space="preserve"> </w:t>
      </w:r>
      <w:r w:rsidRPr="00816A5C">
        <w:rPr>
          <w:sz w:val="24"/>
          <w:lang w:val="da-DK"/>
        </w:rPr>
        <w:tab/>
        <w:t xml:space="preserve">Undersøgelse – "The </w:t>
      </w:r>
      <w:proofErr w:type="spellStart"/>
      <w:r w:rsidRPr="00816A5C">
        <w:rPr>
          <w:sz w:val="24"/>
          <w:lang w:val="da-DK"/>
        </w:rPr>
        <w:t>taxation</w:t>
      </w:r>
      <w:proofErr w:type="spellEnd"/>
      <w:r w:rsidRPr="00816A5C">
        <w:rPr>
          <w:sz w:val="24"/>
          <w:lang w:val="da-DK"/>
        </w:rPr>
        <w:t xml:space="preserve"> of the EU's </w:t>
      </w:r>
      <w:proofErr w:type="spellStart"/>
      <w:r w:rsidRPr="00816A5C">
        <w:rPr>
          <w:sz w:val="24"/>
          <w:lang w:val="da-DK"/>
        </w:rPr>
        <w:t>financial</w:t>
      </w:r>
      <w:proofErr w:type="spellEnd"/>
      <w:r w:rsidRPr="00816A5C">
        <w:rPr>
          <w:sz w:val="24"/>
          <w:lang w:val="da-DK"/>
        </w:rPr>
        <w:t xml:space="preserve"> </w:t>
      </w:r>
      <w:proofErr w:type="spellStart"/>
      <w:r w:rsidRPr="00816A5C">
        <w:rPr>
          <w:sz w:val="24"/>
          <w:lang w:val="da-DK"/>
        </w:rPr>
        <w:t>sector</w:t>
      </w:r>
      <w:proofErr w:type="spellEnd"/>
      <w:r w:rsidRPr="00816A5C">
        <w:rPr>
          <w:sz w:val="24"/>
          <w:lang w:val="da-DK"/>
        </w:rPr>
        <w:t xml:space="preserve">", Europa-Parlamentet, Generaldirektoratet for Økonomi, Omstilling og Industri, Temaafdelingen for Økonomi og Vækst, juni </w:t>
      </w:r>
      <w:r w:rsidRPr="00A519C8">
        <w:rPr>
          <w:sz w:val="24"/>
          <w:lang w:val="da-DK"/>
        </w:rPr>
        <w:t>2025</w:t>
      </w:r>
      <w:r w:rsidRPr="00816A5C">
        <w:rPr>
          <w:sz w:val="24"/>
          <w:lang w:val="da-DK"/>
        </w:rPr>
        <w:t>.</w:t>
      </w:r>
    </w:p>
  </w:footnote>
  <w:footnote w:id="4">
    <w:p w14:paraId="2B51ACE5" w14:textId="3501F4FD" w:rsidR="00A519C8" w:rsidRPr="00816A5C" w:rsidRDefault="00A519C8" w:rsidP="00816A5C">
      <w:pPr>
        <w:pStyle w:val="FootnoteText"/>
        <w:ind w:left="567" w:hanging="567"/>
        <w:rPr>
          <w:sz w:val="24"/>
          <w:lang w:val="da-DK"/>
        </w:rPr>
      </w:pPr>
      <w:r>
        <w:rPr>
          <w:rStyle w:val="FootnoteReference"/>
        </w:rPr>
        <w:footnoteRef/>
      </w:r>
      <w:r w:rsidRPr="00816A5C">
        <w:rPr>
          <w:sz w:val="24"/>
          <w:lang w:val="da-DK"/>
        </w:rPr>
        <w:t xml:space="preserve"> </w:t>
      </w:r>
      <w:r w:rsidRPr="00816A5C">
        <w:rPr>
          <w:sz w:val="24"/>
          <w:lang w:val="da-DK"/>
        </w:rPr>
        <w:tab/>
        <w:t xml:space="preserve">EUT L </w:t>
      </w:r>
      <w:r w:rsidRPr="00A519C8">
        <w:rPr>
          <w:sz w:val="24"/>
          <w:lang w:val="da-DK"/>
        </w:rPr>
        <w:t>433</w:t>
      </w:r>
      <w:r w:rsidRPr="00816A5C">
        <w:rPr>
          <w:sz w:val="24"/>
          <w:lang w:val="da-DK"/>
        </w:rPr>
        <w:t xml:space="preserve"> I af </w:t>
      </w:r>
      <w:r w:rsidRPr="00A519C8">
        <w:rPr>
          <w:sz w:val="24"/>
          <w:lang w:val="da-DK"/>
        </w:rPr>
        <w:t>22</w:t>
      </w:r>
      <w:r w:rsidRPr="00816A5C">
        <w:rPr>
          <w:sz w:val="24"/>
          <w:lang w:val="da-DK"/>
        </w:rPr>
        <w:t>.</w:t>
      </w:r>
      <w:r w:rsidRPr="00A519C8">
        <w:rPr>
          <w:sz w:val="24"/>
          <w:lang w:val="da-DK"/>
        </w:rPr>
        <w:t>12</w:t>
      </w:r>
      <w:r w:rsidRPr="00816A5C">
        <w:rPr>
          <w:sz w:val="24"/>
          <w:lang w:val="da-DK"/>
        </w:rPr>
        <w:t>.</w:t>
      </w:r>
      <w:r w:rsidRPr="00A519C8">
        <w:rPr>
          <w:sz w:val="24"/>
          <w:lang w:val="da-DK"/>
        </w:rPr>
        <w:t>2020</w:t>
      </w:r>
      <w:r w:rsidRPr="00816A5C">
        <w:rPr>
          <w:sz w:val="24"/>
          <w:lang w:val="da-DK"/>
        </w:rPr>
        <w:t xml:space="preserve">, s. </w:t>
      </w:r>
      <w:r w:rsidRPr="00A519C8">
        <w:rPr>
          <w:sz w:val="24"/>
          <w:lang w:val="da-DK"/>
        </w:rPr>
        <w:t>28</w:t>
      </w:r>
      <w:r w:rsidRPr="00816A5C">
        <w:rPr>
          <w:sz w:val="24"/>
          <w:lang w:val="da-DK"/>
        </w:rPr>
        <w:t xml:space="preserve">. ELI: </w:t>
      </w:r>
      <w:hyperlink r:id="rId3" w:tgtFrame="http://data.europa.eu/eli/agree_interinstit/2020/1222/oj" w:history="1">
        <w:r w:rsidRPr="00816A5C">
          <w:rPr>
            <w:rStyle w:val="Hyperlink"/>
            <w:sz w:val="24"/>
            <w:lang w:val="da-DK"/>
          </w:rPr>
          <w:t>http://data.europa.eu/eli/agree_interinstit/</w:t>
        </w:r>
        <w:r w:rsidRPr="00A519C8">
          <w:rPr>
            <w:rStyle w:val="Hyperlink"/>
            <w:sz w:val="24"/>
            <w:lang w:val="da-DK"/>
          </w:rPr>
          <w:t>2020</w:t>
        </w:r>
        <w:r w:rsidRPr="00816A5C">
          <w:rPr>
            <w:rStyle w:val="Hyperlink"/>
            <w:sz w:val="24"/>
            <w:lang w:val="da-DK"/>
          </w:rPr>
          <w:t>/</w:t>
        </w:r>
        <w:r w:rsidRPr="00A519C8">
          <w:rPr>
            <w:rStyle w:val="Hyperlink"/>
            <w:sz w:val="24"/>
            <w:lang w:val="da-DK"/>
          </w:rPr>
          <w:t>1222</w:t>
        </w:r>
        <w:r w:rsidRPr="00816A5C">
          <w:rPr>
            <w:rStyle w:val="Hyperlink"/>
            <w:sz w:val="24"/>
            <w:lang w:val="da-DK"/>
          </w:rPr>
          <w:t>/oj</w:t>
        </w:r>
      </w:hyperlink>
      <w:r w:rsidRPr="00816A5C">
        <w:rPr>
          <w:sz w:val="24"/>
          <w:lang w:val="da-DK"/>
        </w:rPr>
        <w:t>.</w:t>
      </w:r>
    </w:p>
  </w:footnote>
  <w:footnote w:id="5">
    <w:p w14:paraId="0E782C79" w14:textId="47AF6584" w:rsidR="00A519C8" w:rsidRPr="000A71C6" w:rsidRDefault="00A519C8" w:rsidP="00816A5C">
      <w:pPr>
        <w:pStyle w:val="FootnoteText"/>
        <w:ind w:left="567" w:hanging="567"/>
        <w:rPr>
          <w:sz w:val="24"/>
          <w:lang w:val="fi-FI"/>
        </w:rPr>
      </w:pPr>
      <w:r>
        <w:rPr>
          <w:rStyle w:val="FootnoteReference"/>
        </w:rPr>
        <w:footnoteRef/>
      </w:r>
      <w:r w:rsidRPr="000A71C6">
        <w:rPr>
          <w:sz w:val="24"/>
          <w:lang w:val="fi-FI"/>
        </w:rPr>
        <w:t xml:space="preserve"> </w:t>
      </w:r>
      <w:r w:rsidRPr="000A71C6">
        <w:rPr>
          <w:sz w:val="24"/>
          <w:lang w:val="fi-FI"/>
        </w:rPr>
        <w:tab/>
        <w:t xml:space="preserve">EUT C, C/2023/1067, 15.12.2023, ELI: </w:t>
      </w:r>
      <w:hyperlink r:id="rId4" w:history="1">
        <w:r w:rsidRPr="000A71C6">
          <w:rPr>
            <w:rStyle w:val="Hyperlink"/>
            <w:sz w:val="24"/>
            <w:lang w:val="fi-FI"/>
          </w:rPr>
          <w:t>http://data.europa.eu/eli/C/2023/1067/oj</w:t>
        </w:r>
      </w:hyperlink>
      <w:r w:rsidRPr="000A71C6">
        <w:rPr>
          <w:sz w:val="24"/>
          <w:lang w:val="fi-FI"/>
        </w:rPr>
        <w:t>.</w:t>
      </w:r>
    </w:p>
  </w:footnote>
  <w:footnote w:id="6">
    <w:p w14:paraId="1498037D" w14:textId="6A31D5C1" w:rsidR="00A519C8" w:rsidRPr="000A71C6" w:rsidRDefault="00A519C8" w:rsidP="00816A5C">
      <w:pPr>
        <w:pStyle w:val="FootnoteText"/>
        <w:ind w:left="567" w:hanging="567"/>
        <w:rPr>
          <w:sz w:val="24"/>
          <w:lang w:val="fi-FI"/>
        </w:rPr>
      </w:pPr>
      <w:r>
        <w:rPr>
          <w:rStyle w:val="FootnoteReference"/>
        </w:rPr>
        <w:footnoteRef/>
      </w:r>
      <w:r w:rsidRPr="000A71C6">
        <w:rPr>
          <w:sz w:val="24"/>
          <w:lang w:val="fi-FI"/>
        </w:rPr>
        <w:t xml:space="preserve"> </w:t>
      </w:r>
      <w:r w:rsidRPr="000A71C6">
        <w:rPr>
          <w:sz w:val="24"/>
          <w:lang w:val="fi-FI"/>
        </w:rPr>
        <w:tab/>
        <w:t xml:space="preserve">EUT L, 2025/2029, 8.10.2025, ELI: </w:t>
      </w:r>
      <w:hyperlink r:id="rId5" w:tgtFrame="http://data.europa.eu/eli/reco/2025/2029/oj" w:history="1">
        <w:r w:rsidRPr="000A71C6">
          <w:rPr>
            <w:rStyle w:val="Hyperlink"/>
            <w:sz w:val="24"/>
            <w:lang w:val="fi-FI"/>
          </w:rPr>
          <w:t>http://data.europa.eu/eli/reco/2025/2029/oj</w:t>
        </w:r>
      </w:hyperlink>
      <w:r w:rsidRPr="000A71C6">
        <w:rPr>
          <w:sz w:val="24"/>
          <w:lang w:val="fi-FI"/>
        </w:rPr>
        <w:t>.</w:t>
      </w:r>
    </w:p>
  </w:footnote>
  <w:footnote w:id="7">
    <w:p w14:paraId="0874F6B8" w14:textId="4F7474CF" w:rsidR="00A519C8" w:rsidRPr="000A71C6" w:rsidRDefault="00A519C8" w:rsidP="00816A5C">
      <w:pPr>
        <w:pStyle w:val="FootnoteText"/>
        <w:ind w:left="567" w:hanging="567"/>
        <w:rPr>
          <w:sz w:val="24"/>
          <w:lang w:val="fi-FI"/>
        </w:rPr>
      </w:pPr>
      <w:r>
        <w:rPr>
          <w:rStyle w:val="FootnoteReference"/>
        </w:rPr>
        <w:footnoteRef/>
      </w:r>
      <w:r w:rsidRPr="000A71C6">
        <w:rPr>
          <w:sz w:val="24"/>
          <w:lang w:val="fi-FI"/>
        </w:rPr>
        <w:t xml:space="preserve"> </w:t>
      </w:r>
      <w:r w:rsidRPr="000A71C6">
        <w:rPr>
          <w:sz w:val="24"/>
          <w:lang w:val="fi-FI"/>
        </w:rPr>
        <w:tab/>
        <w:t xml:space="preserve">EUT L, 2025/50, 10.1.2025, ELI: </w:t>
      </w:r>
      <w:hyperlink r:id="rId6" w:tgtFrame="http://data.europa.eu/eli/dir/2025/50/oj" w:history="1">
        <w:r w:rsidRPr="000A71C6">
          <w:rPr>
            <w:rStyle w:val="Hyperlink"/>
            <w:sz w:val="24"/>
            <w:lang w:val="fi-FI"/>
          </w:rPr>
          <w:t>http://data.europa.eu/eli/dir/2025/50/oj</w:t>
        </w:r>
      </w:hyperlink>
      <w:r w:rsidRPr="000A71C6">
        <w:rPr>
          <w:sz w:val="24"/>
          <w:lang w:val="fi-FI"/>
        </w:rPr>
        <w:t>.</w:t>
      </w:r>
    </w:p>
  </w:footnote>
  <w:footnote w:id="8">
    <w:p w14:paraId="1E291124" w14:textId="1E989D9E" w:rsidR="00A519C8" w:rsidRPr="00816A5C" w:rsidRDefault="00A519C8" w:rsidP="00816A5C">
      <w:pPr>
        <w:pStyle w:val="FootnoteText"/>
        <w:ind w:left="567" w:hanging="567"/>
        <w:rPr>
          <w:sz w:val="24"/>
          <w:lang w:val="da-DK"/>
        </w:rPr>
      </w:pPr>
      <w:r>
        <w:rPr>
          <w:rStyle w:val="FootnoteReference"/>
        </w:rPr>
        <w:footnoteRef/>
      </w:r>
      <w:r w:rsidRPr="00816A5C">
        <w:rPr>
          <w:sz w:val="24"/>
          <w:lang w:val="da-DK"/>
        </w:rPr>
        <w:t xml:space="preserve"> </w:t>
      </w:r>
      <w:r w:rsidRPr="00816A5C">
        <w:rPr>
          <w:sz w:val="24"/>
          <w:lang w:val="da-DK"/>
        </w:rPr>
        <w:tab/>
        <w:t xml:space="preserve">Europa-Parlamentets lovgivningsmæssige beslutning af </w:t>
      </w:r>
      <w:r w:rsidRPr="00A519C8">
        <w:rPr>
          <w:sz w:val="24"/>
          <w:lang w:val="da-DK"/>
        </w:rPr>
        <w:t>10</w:t>
      </w:r>
      <w:r w:rsidRPr="00816A5C">
        <w:rPr>
          <w:sz w:val="24"/>
          <w:lang w:val="da-DK"/>
        </w:rPr>
        <w:t xml:space="preserve">. april </w:t>
      </w:r>
      <w:r w:rsidRPr="00A519C8">
        <w:rPr>
          <w:sz w:val="24"/>
          <w:lang w:val="da-DK"/>
        </w:rPr>
        <w:t>2024</w:t>
      </w:r>
      <w:r w:rsidRPr="00816A5C">
        <w:rPr>
          <w:sz w:val="24"/>
          <w:lang w:val="da-DK"/>
        </w:rPr>
        <w:t xml:space="preserve"> om forslag til Rådets direktiv om indførelse af et hovedkontorsbaseret beskatningssystem for mikrovirksomheder og små og mellemstore virksomheder og om ændring af direktiv </w:t>
      </w:r>
      <w:r w:rsidRPr="00A519C8">
        <w:rPr>
          <w:sz w:val="24"/>
          <w:lang w:val="da-DK"/>
        </w:rPr>
        <w:t>2011</w:t>
      </w:r>
      <w:r w:rsidRPr="00816A5C">
        <w:rPr>
          <w:sz w:val="24"/>
          <w:lang w:val="da-DK"/>
        </w:rPr>
        <w:t>/</w:t>
      </w:r>
      <w:r w:rsidRPr="00A519C8">
        <w:rPr>
          <w:sz w:val="24"/>
          <w:lang w:val="da-DK"/>
        </w:rPr>
        <w:t>16</w:t>
      </w:r>
      <w:r w:rsidRPr="00816A5C">
        <w:rPr>
          <w:sz w:val="24"/>
          <w:lang w:val="da-DK"/>
        </w:rPr>
        <w:t>/EU (EUT C, C/</w:t>
      </w:r>
      <w:r w:rsidRPr="00A519C8">
        <w:rPr>
          <w:sz w:val="24"/>
          <w:lang w:val="da-DK"/>
        </w:rPr>
        <w:t>2025</w:t>
      </w:r>
      <w:r w:rsidRPr="00816A5C">
        <w:rPr>
          <w:sz w:val="24"/>
          <w:lang w:val="da-DK"/>
        </w:rPr>
        <w:t>/</w:t>
      </w:r>
      <w:r w:rsidRPr="00A519C8">
        <w:rPr>
          <w:sz w:val="24"/>
          <w:lang w:val="da-DK"/>
        </w:rPr>
        <w:t>1326</w:t>
      </w:r>
      <w:r w:rsidRPr="00816A5C">
        <w:rPr>
          <w:sz w:val="24"/>
          <w:lang w:val="da-DK"/>
        </w:rPr>
        <w:t xml:space="preserve">, </w:t>
      </w:r>
      <w:r w:rsidRPr="00A519C8">
        <w:rPr>
          <w:sz w:val="24"/>
          <w:lang w:val="da-DK"/>
        </w:rPr>
        <w:t>13</w:t>
      </w:r>
      <w:r w:rsidRPr="00816A5C">
        <w:rPr>
          <w:sz w:val="24"/>
          <w:lang w:val="da-DK"/>
        </w:rPr>
        <w:t>.</w:t>
      </w:r>
      <w:r w:rsidRPr="00A519C8">
        <w:rPr>
          <w:sz w:val="24"/>
          <w:lang w:val="da-DK"/>
        </w:rPr>
        <w:t>3</w:t>
      </w:r>
      <w:r w:rsidRPr="00816A5C">
        <w:rPr>
          <w:sz w:val="24"/>
          <w:lang w:val="da-DK"/>
        </w:rPr>
        <w:t>.</w:t>
      </w:r>
      <w:r w:rsidRPr="00A519C8">
        <w:rPr>
          <w:sz w:val="24"/>
          <w:lang w:val="da-DK"/>
        </w:rPr>
        <w:t>2025</w:t>
      </w:r>
      <w:r w:rsidRPr="00816A5C">
        <w:rPr>
          <w:sz w:val="24"/>
          <w:lang w:val="da-DK"/>
        </w:rPr>
        <w:t xml:space="preserve">, ELI: </w:t>
      </w:r>
      <w:hyperlink r:id="rId7" w:tgtFrame="http://data.europa.eu/eli/C/2025/1326/oj" w:history="1">
        <w:r w:rsidRPr="00816A5C">
          <w:rPr>
            <w:rStyle w:val="Hyperlink"/>
            <w:sz w:val="24"/>
            <w:lang w:val="da-DK"/>
          </w:rPr>
          <w:t>http://data.europa.eu/eli/C/</w:t>
        </w:r>
        <w:r w:rsidRPr="00A519C8">
          <w:rPr>
            <w:rStyle w:val="Hyperlink"/>
            <w:sz w:val="24"/>
            <w:lang w:val="da-DK"/>
          </w:rPr>
          <w:t>2025</w:t>
        </w:r>
        <w:r w:rsidRPr="00816A5C">
          <w:rPr>
            <w:rStyle w:val="Hyperlink"/>
            <w:sz w:val="24"/>
            <w:lang w:val="da-DK"/>
          </w:rPr>
          <w:t>/</w:t>
        </w:r>
        <w:r w:rsidRPr="00A519C8">
          <w:rPr>
            <w:rStyle w:val="Hyperlink"/>
            <w:sz w:val="24"/>
            <w:lang w:val="da-DK"/>
          </w:rPr>
          <w:t>1326</w:t>
        </w:r>
        <w:r w:rsidRPr="00816A5C">
          <w:rPr>
            <w:rStyle w:val="Hyperlink"/>
            <w:sz w:val="24"/>
            <w:lang w:val="da-DK"/>
          </w:rPr>
          <w:t>/oj</w:t>
        </w:r>
      </w:hyperlink>
      <w:r w:rsidRPr="00816A5C">
        <w:rPr>
          <w:sz w:val="24"/>
          <w:lang w:val="da-DK"/>
        </w:rPr>
        <w:t>).</w:t>
      </w:r>
    </w:p>
  </w:footnote>
  <w:footnote w:id="9">
    <w:p w14:paraId="453A3596" w14:textId="6ADA629E" w:rsidR="00A519C8" w:rsidRPr="00816A5C" w:rsidRDefault="00A519C8" w:rsidP="00816A5C">
      <w:pPr>
        <w:pStyle w:val="FootnoteText"/>
        <w:ind w:left="567" w:hanging="567"/>
        <w:rPr>
          <w:sz w:val="24"/>
          <w:lang w:val="da-DK"/>
        </w:rPr>
      </w:pPr>
      <w:r>
        <w:rPr>
          <w:rStyle w:val="FootnoteReference"/>
        </w:rPr>
        <w:footnoteRef/>
      </w:r>
      <w:r w:rsidRPr="00816A5C">
        <w:rPr>
          <w:sz w:val="24"/>
          <w:lang w:val="da-DK"/>
        </w:rPr>
        <w:t xml:space="preserve"> </w:t>
      </w:r>
      <w:r w:rsidRPr="00816A5C">
        <w:rPr>
          <w:sz w:val="24"/>
          <w:lang w:val="da-DK"/>
        </w:rPr>
        <w:tab/>
        <w:t>Europa-Kommissionen, "</w:t>
      </w:r>
      <w:r w:rsidRPr="00A519C8">
        <w:rPr>
          <w:sz w:val="24"/>
          <w:lang w:val="da-DK"/>
        </w:rPr>
        <w:t>2026</w:t>
      </w:r>
      <w:r w:rsidRPr="00816A5C">
        <w:rPr>
          <w:sz w:val="24"/>
          <w:lang w:val="da-DK"/>
        </w:rPr>
        <w:t xml:space="preserve"> European </w:t>
      </w:r>
      <w:proofErr w:type="spellStart"/>
      <w:r w:rsidRPr="00816A5C">
        <w:rPr>
          <w:sz w:val="24"/>
          <w:lang w:val="da-DK"/>
        </w:rPr>
        <w:t>Macroeconomic</w:t>
      </w:r>
      <w:proofErr w:type="spellEnd"/>
      <w:r w:rsidRPr="00816A5C">
        <w:rPr>
          <w:sz w:val="24"/>
          <w:lang w:val="da-DK"/>
        </w:rPr>
        <w:t xml:space="preserve"> Report", november </w:t>
      </w:r>
      <w:r w:rsidRPr="00A519C8">
        <w:rPr>
          <w:sz w:val="24"/>
          <w:lang w:val="da-DK"/>
        </w:rPr>
        <w:t>2025</w:t>
      </w:r>
      <w:r w:rsidRPr="00816A5C">
        <w:rPr>
          <w:sz w:val="24"/>
          <w:lang w:val="da-DK"/>
        </w:rPr>
        <w:t>.</w:t>
      </w:r>
    </w:p>
  </w:footnote>
  <w:footnote w:id="10">
    <w:p w14:paraId="6456B149" w14:textId="015AB0BD" w:rsidR="00A519C8" w:rsidRPr="00816A5C" w:rsidRDefault="00A519C8" w:rsidP="00816A5C">
      <w:pPr>
        <w:pStyle w:val="FootnoteText"/>
        <w:ind w:left="567" w:hanging="567"/>
        <w:rPr>
          <w:sz w:val="24"/>
          <w:lang w:val="da-DK"/>
        </w:rPr>
      </w:pPr>
      <w:r>
        <w:rPr>
          <w:rStyle w:val="FootnoteReference"/>
        </w:rPr>
        <w:footnoteRef/>
      </w:r>
      <w:r w:rsidRPr="00816A5C">
        <w:rPr>
          <w:sz w:val="24"/>
          <w:lang w:val="da-DK"/>
        </w:rPr>
        <w:t xml:space="preserve"> </w:t>
      </w:r>
      <w:r w:rsidRPr="00816A5C">
        <w:rPr>
          <w:sz w:val="24"/>
          <w:lang w:val="da-DK"/>
        </w:rPr>
        <w:tab/>
        <w:t xml:space="preserve">Rådets direktiv </w:t>
      </w:r>
      <w:r w:rsidRPr="00A519C8">
        <w:rPr>
          <w:sz w:val="24"/>
          <w:lang w:val="da-DK"/>
        </w:rPr>
        <w:t>2006</w:t>
      </w:r>
      <w:r w:rsidRPr="00816A5C">
        <w:rPr>
          <w:sz w:val="24"/>
          <w:lang w:val="da-DK"/>
        </w:rPr>
        <w:t>/</w:t>
      </w:r>
      <w:r w:rsidRPr="00A519C8">
        <w:rPr>
          <w:sz w:val="24"/>
          <w:lang w:val="da-DK"/>
        </w:rPr>
        <w:t>112</w:t>
      </w:r>
      <w:r w:rsidRPr="00816A5C">
        <w:rPr>
          <w:sz w:val="24"/>
          <w:lang w:val="da-DK"/>
        </w:rPr>
        <w:t xml:space="preserve">/EF af </w:t>
      </w:r>
      <w:r w:rsidRPr="00A519C8">
        <w:rPr>
          <w:sz w:val="24"/>
          <w:lang w:val="da-DK"/>
        </w:rPr>
        <w:t>28</w:t>
      </w:r>
      <w:r w:rsidRPr="00816A5C">
        <w:rPr>
          <w:sz w:val="24"/>
          <w:lang w:val="da-DK"/>
        </w:rPr>
        <w:t xml:space="preserve">. november </w:t>
      </w:r>
      <w:r w:rsidRPr="00A519C8">
        <w:rPr>
          <w:sz w:val="24"/>
          <w:lang w:val="da-DK"/>
        </w:rPr>
        <w:t>2006</w:t>
      </w:r>
      <w:r w:rsidRPr="00816A5C">
        <w:rPr>
          <w:sz w:val="24"/>
          <w:lang w:val="da-DK"/>
        </w:rPr>
        <w:t xml:space="preserve"> om det fælles merværdiafgiftssystem (EUT L </w:t>
      </w:r>
      <w:r w:rsidRPr="00A519C8">
        <w:rPr>
          <w:sz w:val="24"/>
          <w:lang w:val="da-DK"/>
        </w:rPr>
        <w:t>347</w:t>
      </w:r>
      <w:r w:rsidRPr="00816A5C">
        <w:rPr>
          <w:sz w:val="24"/>
          <w:lang w:val="da-DK"/>
        </w:rPr>
        <w:t xml:space="preserve"> af </w:t>
      </w:r>
      <w:r w:rsidRPr="00A519C8">
        <w:rPr>
          <w:sz w:val="24"/>
          <w:lang w:val="da-DK"/>
        </w:rPr>
        <w:t>11</w:t>
      </w:r>
      <w:r w:rsidRPr="00816A5C">
        <w:rPr>
          <w:sz w:val="24"/>
          <w:lang w:val="da-DK"/>
        </w:rPr>
        <w:t>.</w:t>
      </w:r>
      <w:r w:rsidRPr="00A519C8">
        <w:rPr>
          <w:sz w:val="24"/>
          <w:lang w:val="da-DK"/>
        </w:rPr>
        <w:t>12</w:t>
      </w:r>
      <w:r w:rsidRPr="00816A5C">
        <w:rPr>
          <w:sz w:val="24"/>
          <w:lang w:val="da-DK"/>
        </w:rPr>
        <w:t>.</w:t>
      </w:r>
      <w:r w:rsidRPr="00A519C8">
        <w:rPr>
          <w:sz w:val="24"/>
          <w:lang w:val="da-DK"/>
        </w:rPr>
        <w:t>2006</w:t>
      </w:r>
      <w:r w:rsidRPr="00816A5C">
        <w:rPr>
          <w:sz w:val="24"/>
          <w:lang w:val="da-DK"/>
        </w:rPr>
        <w:t xml:space="preserve">, s. </w:t>
      </w:r>
      <w:r w:rsidRPr="00A519C8">
        <w:rPr>
          <w:sz w:val="24"/>
          <w:lang w:val="da-DK"/>
        </w:rPr>
        <w:t>1</w:t>
      </w:r>
      <w:r w:rsidRPr="00816A5C">
        <w:rPr>
          <w:sz w:val="24"/>
          <w:lang w:val="da-DK"/>
        </w:rPr>
        <w:t xml:space="preserve">, ELI: </w:t>
      </w:r>
      <w:hyperlink r:id="rId8" w:tgtFrame="http://data.europa.eu/eli/dir/2006/112/oj" w:history="1">
        <w:r w:rsidRPr="00816A5C">
          <w:rPr>
            <w:rStyle w:val="Hyperlink"/>
            <w:sz w:val="24"/>
            <w:lang w:val="da-DK"/>
          </w:rPr>
          <w:t>http://data.europa.eu/eli/dir/</w:t>
        </w:r>
        <w:r w:rsidRPr="00A519C8">
          <w:rPr>
            <w:rStyle w:val="Hyperlink"/>
            <w:sz w:val="24"/>
            <w:lang w:val="da-DK"/>
          </w:rPr>
          <w:t>2006</w:t>
        </w:r>
        <w:r w:rsidRPr="00816A5C">
          <w:rPr>
            <w:rStyle w:val="Hyperlink"/>
            <w:sz w:val="24"/>
            <w:lang w:val="da-DK"/>
          </w:rPr>
          <w:t>/</w:t>
        </w:r>
        <w:r w:rsidRPr="00A519C8">
          <w:rPr>
            <w:rStyle w:val="Hyperlink"/>
            <w:sz w:val="24"/>
            <w:lang w:val="da-DK"/>
          </w:rPr>
          <w:t>112</w:t>
        </w:r>
        <w:r w:rsidRPr="00816A5C">
          <w:rPr>
            <w:rStyle w:val="Hyperlink"/>
            <w:sz w:val="24"/>
            <w:lang w:val="da-DK"/>
          </w:rPr>
          <w:t>/oj</w:t>
        </w:r>
      </w:hyperlink>
      <w:r w:rsidRPr="00816A5C">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6218572">
    <w:abstractNumId w:val="9"/>
  </w:num>
  <w:num w:numId="2" w16cid:durableId="2123263449">
    <w:abstractNumId w:val="9"/>
  </w:num>
  <w:num w:numId="3" w16cid:durableId="1549147404">
    <w:abstractNumId w:val="7"/>
  </w:num>
  <w:num w:numId="4" w16cid:durableId="1938051054">
    <w:abstractNumId w:val="7"/>
  </w:num>
  <w:num w:numId="5" w16cid:durableId="754205011">
    <w:abstractNumId w:val="6"/>
  </w:num>
  <w:num w:numId="6" w16cid:durableId="1436707671">
    <w:abstractNumId w:val="6"/>
  </w:num>
  <w:num w:numId="7" w16cid:durableId="2062778230">
    <w:abstractNumId w:val="5"/>
  </w:num>
  <w:num w:numId="8" w16cid:durableId="721751965">
    <w:abstractNumId w:val="5"/>
  </w:num>
  <w:num w:numId="9" w16cid:durableId="1378969644">
    <w:abstractNumId w:val="4"/>
  </w:num>
  <w:num w:numId="10" w16cid:durableId="1755395521">
    <w:abstractNumId w:val="4"/>
  </w:num>
  <w:num w:numId="11" w16cid:durableId="362751435">
    <w:abstractNumId w:val="8"/>
  </w:num>
  <w:num w:numId="12" w16cid:durableId="1719624282">
    <w:abstractNumId w:val="8"/>
  </w:num>
  <w:num w:numId="13" w16cid:durableId="1293749267">
    <w:abstractNumId w:val="3"/>
  </w:num>
  <w:num w:numId="14" w16cid:durableId="636758657">
    <w:abstractNumId w:val="3"/>
  </w:num>
  <w:num w:numId="15" w16cid:durableId="1058866688">
    <w:abstractNumId w:val="2"/>
  </w:num>
  <w:num w:numId="16" w16cid:durableId="1878808160">
    <w:abstractNumId w:val="2"/>
  </w:num>
  <w:num w:numId="17" w16cid:durableId="407381804">
    <w:abstractNumId w:val="1"/>
  </w:num>
  <w:num w:numId="18" w16cid:durableId="549195504">
    <w:abstractNumId w:val="1"/>
  </w:num>
  <w:num w:numId="19" w16cid:durableId="1070075550">
    <w:abstractNumId w:val="0"/>
  </w:num>
  <w:num w:numId="20" w16cid:durableId="857424508">
    <w:abstractNumId w:val="0"/>
  </w:num>
  <w:num w:numId="21" w16cid:durableId="1346857267">
    <w:abstractNumId w:val="9"/>
  </w:num>
  <w:num w:numId="22" w16cid:durableId="1921479388">
    <w:abstractNumId w:val="7"/>
  </w:num>
  <w:num w:numId="23" w16cid:durableId="1370687923">
    <w:abstractNumId w:val="6"/>
  </w:num>
  <w:num w:numId="24" w16cid:durableId="21521149">
    <w:abstractNumId w:val="5"/>
  </w:num>
  <w:num w:numId="25" w16cid:durableId="1776319119">
    <w:abstractNumId w:val="4"/>
  </w:num>
  <w:num w:numId="26" w16cid:durableId="2012566999">
    <w:abstractNumId w:val="8"/>
  </w:num>
  <w:num w:numId="27" w16cid:durableId="1816407540">
    <w:abstractNumId w:val="3"/>
  </w:num>
  <w:num w:numId="28" w16cid:durableId="1006783678">
    <w:abstractNumId w:val="2"/>
  </w:num>
  <w:num w:numId="29" w16cid:durableId="1907032825">
    <w:abstractNumId w:val="1"/>
  </w:num>
  <w:num w:numId="30" w16cid:durableId="717052539">
    <w:abstractNumId w:val="0"/>
  </w:num>
  <w:num w:numId="31" w16cid:durableId="238904469">
    <w:abstractNumId w:val="9"/>
  </w:num>
  <w:num w:numId="32" w16cid:durableId="720982157">
    <w:abstractNumId w:val="7"/>
  </w:num>
  <w:num w:numId="33" w16cid:durableId="2042393287">
    <w:abstractNumId w:val="6"/>
  </w:num>
  <w:num w:numId="34" w16cid:durableId="1149248268">
    <w:abstractNumId w:val="5"/>
  </w:num>
  <w:num w:numId="35" w16cid:durableId="1678774140">
    <w:abstractNumId w:val="4"/>
  </w:num>
  <w:num w:numId="36" w16cid:durableId="1608539474">
    <w:abstractNumId w:val="8"/>
  </w:num>
  <w:num w:numId="37" w16cid:durableId="1052197134">
    <w:abstractNumId w:val="3"/>
  </w:num>
  <w:num w:numId="38" w16cid:durableId="345330340">
    <w:abstractNumId w:val="2"/>
  </w:num>
  <w:num w:numId="39" w16cid:durableId="908080343">
    <w:abstractNumId w:val="1"/>
  </w:num>
  <w:num w:numId="40" w16cid:durableId="1270814928">
    <w:abstractNumId w:val="0"/>
  </w:num>
  <w:num w:numId="41" w16cid:durableId="1196427584">
    <w:abstractNumId w:val="10"/>
  </w:num>
  <w:num w:numId="42" w16cid:durableId="423958409">
    <w:abstractNumId w:val="10"/>
  </w:num>
  <w:num w:numId="43" w16cid:durableId="1175609554">
    <w:abstractNumId w:val="10"/>
  </w:num>
  <w:num w:numId="44" w16cid:durableId="8023861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DA"/>
    <w:docVar w:name="dvnumam" w:val="0"/>
    <w:docVar w:name="dvpe" w:val="779.360"/>
    <w:docVar w:name="dvrapporteur" w:val="Ordfører: "/>
    <w:docVar w:name="dvtitre" w:val="Europa-Parlamentets beslutning af xx. juli 2026 om en sammenhængende skatteramme for EU's finanssektor(2024/2117(INI))"/>
  </w:docVars>
  <w:rsids>
    <w:rsidRoot w:val="00BF4119"/>
    <w:rsid w:val="00002272"/>
    <w:rsid w:val="00064002"/>
    <w:rsid w:val="000677B9"/>
    <w:rsid w:val="000831BA"/>
    <w:rsid w:val="00087B63"/>
    <w:rsid w:val="000A42CC"/>
    <w:rsid w:val="000A71C6"/>
    <w:rsid w:val="000E7DD9"/>
    <w:rsid w:val="0010095E"/>
    <w:rsid w:val="00125B37"/>
    <w:rsid w:val="00187494"/>
    <w:rsid w:val="001F32AE"/>
    <w:rsid w:val="002767FF"/>
    <w:rsid w:val="002827B9"/>
    <w:rsid w:val="002B18FE"/>
    <w:rsid w:val="002B5493"/>
    <w:rsid w:val="00343214"/>
    <w:rsid w:val="00361C00"/>
    <w:rsid w:val="00395FA1"/>
    <w:rsid w:val="003E15D4"/>
    <w:rsid w:val="004100B1"/>
    <w:rsid w:val="00411CCE"/>
    <w:rsid w:val="0041666E"/>
    <w:rsid w:val="00421060"/>
    <w:rsid w:val="00471C19"/>
    <w:rsid w:val="004867E3"/>
    <w:rsid w:val="00494A28"/>
    <w:rsid w:val="004C0004"/>
    <w:rsid w:val="004C5D52"/>
    <w:rsid w:val="004F6F74"/>
    <w:rsid w:val="0050519A"/>
    <w:rsid w:val="005072A1"/>
    <w:rsid w:val="00514517"/>
    <w:rsid w:val="00545827"/>
    <w:rsid w:val="00560270"/>
    <w:rsid w:val="005C2568"/>
    <w:rsid w:val="005E4A0B"/>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6A5C"/>
    <w:rsid w:val="00817416"/>
    <w:rsid w:val="00842779"/>
    <w:rsid w:val="00865F67"/>
    <w:rsid w:val="00881A7B"/>
    <w:rsid w:val="008840E5"/>
    <w:rsid w:val="00887B3E"/>
    <w:rsid w:val="008C2AC6"/>
    <w:rsid w:val="008D4922"/>
    <w:rsid w:val="00930C23"/>
    <w:rsid w:val="0093193B"/>
    <w:rsid w:val="009464C1"/>
    <w:rsid w:val="009509D8"/>
    <w:rsid w:val="00950B64"/>
    <w:rsid w:val="00981893"/>
    <w:rsid w:val="00A1687D"/>
    <w:rsid w:val="00A318C5"/>
    <w:rsid w:val="00A43E52"/>
    <w:rsid w:val="00A4678D"/>
    <w:rsid w:val="00A519C8"/>
    <w:rsid w:val="00A71B19"/>
    <w:rsid w:val="00A778C7"/>
    <w:rsid w:val="00AB441E"/>
    <w:rsid w:val="00AB6293"/>
    <w:rsid w:val="00AE0928"/>
    <w:rsid w:val="00AF3B82"/>
    <w:rsid w:val="00B12E95"/>
    <w:rsid w:val="00B22876"/>
    <w:rsid w:val="00B558F0"/>
    <w:rsid w:val="00BA09B2"/>
    <w:rsid w:val="00BD48FE"/>
    <w:rsid w:val="00BD7BD8"/>
    <w:rsid w:val="00BE6ADC"/>
    <w:rsid w:val="00BF4119"/>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D6F11"/>
  <w15:chartTrackingRefBased/>
  <w15:docId w15:val="{1844E1B3-11F4-4BCC-BAF2-D7D09E9D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A09B2"/>
    <w:pPr>
      <w:widowControl/>
      <w:spacing w:after="240"/>
    </w:pPr>
    <w:rPr>
      <w:szCs w:val="24"/>
      <w:lang w:eastAsia="en-US"/>
    </w:rPr>
  </w:style>
  <w:style w:type="paragraph" w:customStyle="1" w:styleId="NormalHanging12a">
    <w:name w:val="NormalHanging12a"/>
    <w:basedOn w:val="Normal"/>
    <w:rsid w:val="00BA09B2"/>
    <w:pPr>
      <w:widowControl/>
      <w:spacing w:after="240"/>
      <w:ind w:left="566" w:hanging="566"/>
    </w:pPr>
    <w:rPr>
      <w:szCs w:val="24"/>
      <w:lang w:eastAsia="en-US"/>
    </w:rPr>
  </w:style>
  <w:style w:type="paragraph" w:customStyle="1" w:styleId="Normal12">
    <w:name w:val="Normal12"/>
    <w:basedOn w:val="Normal"/>
    <w:rsid w:val="00BA09B2"/>
    <w:pPr>
      <w:spacing w:after="240"/>
    </w:pPr>
    <w:rPr>
      <w:szCs w:val="24"/>
      <w:lang w:eastAsia="en-US"/>
    </w:rPr>
  </w:style>
  <w:style w:type="paragraph" w:customStyle="1" w:styleId="NormalHanging">
    <w:name w:val="NormalHanging"/>
    <w:basedOn w:val="Normal"/>
    <w:rsid w:val="00BA09B2"/>
    <w:pPr>
      <w:spacing w:after="240"/>
      <w:ind w:left="566" w:hanging="566"/>
    </w:pPr>
    <w:rPr>
      <w:szCs w:val="24"/>
      <w:lang w:eastAsia="en-US"/>
    </w:rPr>
  </w:style>
  <w:style w:type="paragraph" w:customStyle="1" w:styleId="NormalCenter12a">
    <w:name w:val="NormalCenter12a"/>
    <w:basedOn w:val="Normal"/>
    <w:rsid w:val="00BA09B2"/>
    <w:pPr>
      <w:widowControl/>
      <w:spacing w:after="240"/>
      <w:jc w:val="center"/>
    </w:pPr>
    <w:rPr>
      <w:szCs w:val="24"/>
      <w:lang w:eastAsia="en-US"/>
    </w:rPr>
  </w:style>
  <w:style w:type="character" w:styleId="Hyperlink">
    <w:name w:val="Hyperlink"/>
    <w:basedOn w:val="DefaultParagraphFont"/>
    <w:rsid w:val="00BA09B2"/>
    <w:rPr>
      <w:color w:val="0000FF"/>
      <w:u w:val="single"/>
    </w:rPr>
  </w:style>
  <w:style w:type="paragraph" w:styleId="Revision">
    <w:name w:val="Revision"/>
    <w:hidden/>
    <w:uiPriority w:val="99"/>
    <w:semiHidden/>
    <w:rsid w:val="009464C1"/>
    <w:rPr>
      <w:sz w:val="24"/>
      <w:lang w:val="da-DK"/>
    </w:rPr>
  </w:style>
  <w:style w:type="character" w:styleId="UnresolvedMention">
    <w:name w:val="Unresolved Mention"/>
    <w:basedOn w:val="DefaultParagraphFont"/>
    <w:uiPriority w:val="99"/>
    <w:semiHidden/>
    <w:unhideWhenUsed/>
    <w:rsid w:val="009464C1"/>
    <w:rPr>
      <w:color w:val="605E5C"/>
      <w:shd w:val="clear" w:color="auto" w:fill="E1DFDD"/>
    </w:rPr>
  </w:style>
  <w:style w:type="character" w:styleId="CommentReference">
    <w:name w:val="annotation reference"/>
    <w:basedOn w:val="DefaultParagraphFont"/>
    <w:rsid w:val="00A318C5"/>
    <w:rPr>
      <w:sz w:val="16"/>
      <w:szCs w:val="16"/>
    </w:rPr>
  </w:style>
  <w:style w:type="paragraph" w:styleId="CommentText">
    <w:name w:val="annotation text"/>
    <w:basedOn w:val="Normal"/>
    <w:link w:val="CommentTextChar"/>
    <w:rsid w:val="00A318C5"/>
    <w:rPr>
      <w:sz w:val="20"/>
    </w:rPr>
  </w:style>
  <w:style w:type="character" w:customStyle="1" w:styleId="CommentTextChar">
    <w:name w:val="Comment Text Char"/>
    <w:basedOn w:val="DefaultParagraphFont"/>
    <w:link w:val="CommentText"/>
    <w:rsid w:val="00A318C5"/>
    <w:rPr>
      <w:lang w:val="da-DK"/>
    </w:rPr>
  </w:style>
  <w:style w:type="paragraph" w:styleId="CommentSubject">
    <w:name w:val="annotation subject"/>
    <w:basedOn w:val="CommentText"/>
    <w:next w:val="CommentText"/>
    <w:link w:val="CommentSubjectChar"/>
    <w:rsid w:val="00A318C5"/>
    <w:rPr>
      <w:b/>
      <w:bCs/>
    </w:rPr>
  </w:style>
  <w:style w:type="character" w:customStyle="1" w:styleId="CommentSubjectChar">
    <w:name w:val="Comment Subject Char"/>
    <w:basedOn w:val="CommentTextChar"/>
    <w:link w:val="CommentSubject"/>
    <w:rsid w:val="00A318C5"/>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6/11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5/1326/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dir/2025/50/oj"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C/2023/1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3563</Words>
  <Characters>23981</Characters>
  <Application>Microsoft Office Word</Application>
  <DocSecurity>0</DocSecurity>
  <Lines>199</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2026-07-07T14:34:00Z</dcterms:created>
  <dcterms:modified xsi:type="dcterms:W3CDTF">2026-07-07T14:34:00Z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P10_TA-PROV(2026)0248_A10-0169_2026_</vt:lpwstr>
  </property>
  <property fmtid="{D5CDD505-2E9C-101B-9397-08002B2CF9AE}" pid="4" name="&lt;Type&gt;">
    <vt:lpwstr>RR</vt:lpwstr>
  </property>
</Properties>
</file>