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02D8" w14:paraId="564C7833" w14:textId="77777777" w:rsidTr="0010095E">
        <w:trPr>
          <w:trHeight w:hRule="exact" w:val="1418"/>
        </w:trPr>
        <w:tc>
          <w:tcPr>
            <w:tcW w:w="6804" w:type="dxa"/>
            <w:shd w:val="clear" w:color="auto" w:fill="auto"/>
            <w:vAlign w:val="center"/>
          </w:tcPr>
          <w:p w14:paraId="2C8AA99E" w14:textId="77777777" w:rsidR="00751A4A" w:rsidRPr="00D202D8" w:rsidRDefault="00AA6184" w:rsidP="0010095E">
            <w:pPr>
              <w:pStyle w:val="EPName"/>
            </w:pPr>
            <w:r w:rsidRPr="00D202D8">
              <w:t>Ευρωπαϊκό Κοινοβούλιο</w:t>
            </w:r>
          </w:p>
          <w:p w14:paraId="5E99E258" w14:textId="77777777" w:rsidR="00751A4A" w:rsidRPr="00D202D8" w:rsidRDefault="005F1B17" w:rsidP="005F1B17">
            <w:pPr>
              <w:pStyle w:val="EPTerm"/>
              <w:rPr>
                <w:rStyle w:val="HideTWBExt"/>
                <w:noProof w:val="0"/>
                <w:vanish w:val="0"/>
                <w:color w:val="auto"/>
              </w:rPr>
            </w:pPr>
            <w:r w:rsidRPr="00D202D8">
              <w:t>2024</w:t>
            </w:r>
            <w:r w:rsidR="00817416" w:rsidRPr="00D202D8">
              <w:t>-202</w:t>
            </w:r>
            <w:r w:rsidRPr="00D202D8">
              <w:t>9</w:t>
            </w:r>
          </w:p>
        </w:tc>
        <w:tc>
          <w:tcPr>
            <w:tcW w:w="2268" w:type="dxa"/>
            <w:shd w:val="clear" w:color="auto" w:fill="auto"/>
          </w:tcPr>
          <w:p w14:paraId="508D42E7" w14:textId="77777777" w:rsidR="00751A4A" w:rsidRPr="00D202D8" w:rsidRDefault="00187494" w:rsidP="0010095E">
            <w:pPr>
              <w:pStyle w:val="EPLogo"/>
            </w:pPr>
            <w:r w:rsidRPr="00D202D8">
              <w:rPr>
                <w:noProof/>
                <w:lang w:eastAsia="ja-JP"/>
              </w:rPr>
              <w:drawing>
                <wp:inline distT="0" distB="0" distL="0" distR="0" wp14:anchorId="462F15B5" wp14:editId="176094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AC2607" w14:textId="77777777" w:rsidR="00D058B8" w:rsidRPr="00D202D8" w:rsidRDefault="00D058B8" w:rsidP="004C5D52">
      <w:pPr>
        <w:pStyle w:val="LineTop"/>
      </w:pPr>
    </w:p>
    <w:p w14:paraId="3D3BAACB" w14:textId="77777777" w:rsidR="00680577" w:rsidRPr="00D202D8" w:rsidRDefault="00AA6184" w:rsidP="00680577">
      <w:pPr>
        <w:pStyle w:val="EPBodyTA1"/>
      </w:pPr>
      <w:r w:rsidRPr="00D202D8">
        <w:t>ΚΕΙΜΕΝΑ ΠΟΥ ΕΓΚΡΙΘΗΚΑΝ</w:t>
      </w:r>
    </w:p>
    <w:p w14:paraId="3513F5D4" w14:textId="77777777" w:rsidR="00D058B8" w:rsidRPr="00D202D8" w:rsidRDefault="00D058B8" w:rsidP="00D058B8">
      <w:pPr>
        <w:pStyle w:val="LineBottom"/>
      </w:pPr>
    </w:p>
    <w:p w14:paraId="59CA95D0" w14:textId="6ED05F43" w:rsidR="00AA6184" w:rsidRPr="00D202D8" w:rsidRDefault="00AA6184" w:rsidP="00AA6184">
      <w:pPr>
        <w:pStyle w:val="ATHeading1"/>
      </w:pPr>
      <w:bookmarkStart w:id="0" w:name="TANumber"/>
      <w:r w:rsidRPr="00D202D8">
        <w:t>P10_TA(2026)0</w:t>
      </w:r>
      <w:r w:rsidR="00D275E4">
        <w:t>248</w:t>
      </w:r>
      <w:bookmarkEnd w:id="0"/>
    </w:p>
    <w:p w14:paraId="4BE2378F" w14:textId="77777777" w:rsidR="00AA6184" w:rsidRPr="00D202D8" w:rsidRDefault="00AA6184" w:rsidP="00AA6184">
      <w:pPr>
        <w:pStyle w:val="ATHeading2"/>
      </w:pPr>
      <w:bookmarkStart w:id="1" w:name="title"/>
      <w:r w:rsidRPr="00D202D8">
        <w:t>Ένα συνεκτικό πλαίσιο φορολόγησης για τον χρηματοπιστωτικό τομέα της ΕΕ</w:t>
      </w:r>
      <w:bookmarkEnd w:id="1"/>
    </w:p>
    <w:p w14:paraId="407A5179" w14:textId="77777777" w:rsidR="00AA6184" w:rsidRPr="00D202D8" w:rsidRDefault="00AA6184" w:rsidP="00AA6184">
      <w:pPr>
        <w:rPr>
          <w:i/>
          <w:vanish/>
        </w:rPr>
      </w:pPr>
      <w:r w:rsidRPr="00D202D8">
        <w:rPr>
          <w:i/>
        </w:rPr>
        <w:fldChar w:fldCharType="begin"/>
      </w:r>
      <w:r w:rsidRPr="00D202D8">
        <w:rPr>
          <w:i/>
        </w:rPr>
        <w:instrText xml:space="preserve"> TC"(</w:instrText>
      </w:r>
      <w:bookmarkStart w:id="2" w:name="DocNumber"/>
      <w:r w:rsidRPr="00D202D8">
        <w:rPr>
          <w:i/>
        </w:rPr>
        <w:instrText>A10-0169/2026</w:instrText>
      </w:r>
      <w:bookmarkEnd w:id="2"/>
      <w:r w:rsidRPr="00D202D8">
        <w:rPr>
          <w:i/>
        </w:rPr>
        <w:instrText xml:space="preserve"> - Εισηγητής: Matthias Ecke)"\l3 \n&gt; \* MERGEFORMAT </w:instrText>
      </w:r>
      <w:r w:rsidRPr="00D202D8">
        <w:rPr>
          <w:i/>
        </w:rPr>
        <w:fldChar w:fldCharType="end"/>
      </w:r>
    </w:p>
    <w:p w14:paraId="2F9477B5" w14:textId="77777777" w:rsidR="00AA6184" w:rsidRPr="00D202D8" w:rsidRDefault="00AA6184" w:rsidP="00AA6184">
      <w:pPr>
        <w:rPr>
          <w:vanish/>
        </w:rPr>
      </w:pPr>
      <w:bookmarkStart w:id="3" w:name="Commission"/>
      <w:r w:rsidRPr="00D202D8">
        <w:rPr>
          <w:vanish/>
        </w:rPr>
        <w:t>Επιτροπή Οικονομικής και Νομισματικής Πολιτικής</w:t>
      </w:r>
      <w:bookmarkEnd w:id="3"/>
    </w:p>
    <w:p w14:paraId="6DC1320B" w14:textId="77777777" w:rsidR="00AA6184" w:rsidRPr="00D202D8" w:rsidRDefault="00AA6184" w:rsidP="00AA6184">
      <w:pPr>
        <w:rPr>
          <w:vanish/>
        </w:rPr>
      </w:pPr>
      <w:bookmarkStart w:id="4" w:name="PE"/>
      <w:r w:rsidRPr="00D202D8">
        <w:rPr>
          <w:vanish/>
        </w:rPr>
        <w:t>PE779.360</w:t>
      </w:r>
      <w:bookmarkEnd w:id="4"/>
    </w:p>
    <w:p w14:paraId="27A9C14A" w14:textId="274A8B15" w:rsidR="00AA6184" w:rsidRPr="00D202D8" w:rsidRDefault="00AA6184" w:rsidP="00AA6184">
      <w:pPr>
        <w:pStyle w:val="ATHeading3"/>
      </w:pPr>
      <w:bookmarkStart w:id="5" w:name="Sujet"/>
      <w:r w:rsidRPr="00D202D8">
        <w:t xml:space="preserve">Ψήφισμα του Ευρωπαϊκού Κοινοβουλίου της </w:t>
      </w:r>
      <w:r w:rsidR="007F1828">
        <w:t xml:space="preserve">7ης </w:t>
      </w:r>
      <w:r w:rsidR="000809B6">
        <w:t>Ιουλίου</w:t>
      </w:r>
      <w:r w:rsidRPr="00D202D8">
        <w:t xml:space="preserve"> 2026 σχετικά με ένα συνεκτικό πλαίσιο φορολόγησης για τον χρηματοπιστωτικό τομέα της ΕΕ</w:t>
      </w:r>
      <w:bookmarkEnd w:id="5"/>
      <w:r w:rsidRPr="00D202D8">
        <w:t xml:space="preserve"> </w:t>
      </w:r>
      <w:bookmarkStart w:id="6" w:name="References"/>
      <w:r w:rsidRPr="00D202D8">
        <w:t>(2024/2117(INI))</w:t>
      </w:r>
      <w:bookmarkEnd w:id="6"/>
    </w:p>
    <w:p w14:paraId="40BC777F" w14:textId="77777777" w:rsidR="00C562BB" w:rsidRDefault="00C562BB" w:rsidP="00E42540">
      <w:pPr>
        <w:pStyle w:val="Normal12"/>
        <w:rPr>
          <w:i/>
        </w:rPr>
      </w:pPr>
    </w:p>
    <w:p w14:paraId="650C037F" w14:textId="5912C92C" w:rsidR="00E42540" w:rsidRPr="00D202D8" w:rsidRDefault="00E42540" w:rsidP="00E42540">
      <w:pPr>
        <w:pStyle w:val="Normal12"/>
      </w:pPr>
      <w:r w:rsidRPr="00D202D8">
        <w:rPr>
          <w:i/>
        </w:rPr>
        <w:t>Το Ευρωπαϊκό Κοινοβούλιο</w:t>
      </w:r>
      <w:r w:rsidRPr="00D202D8">
        <w:t>,</w:t>
      </w:r>
    </w:p>
    <w:p w14:paraId="18EF1D65" w14:textId="77777777" w:rsidR="00E42540" w:rsidRPr="00D202D8" w:rsidRDefault="00E42540" w:rsidP="00E42540">
      <w:pPr>
        <w:pStyle w:val="NormalHanging"/>
      </w:pPr>
      <w:r w:rsidRPr="00D202D8">
        <w:t>–</w:t>
      </w:r>
      <w:r w:rsidRPr="00D202D8">
        <w:tab/>
        <w:t>έχοντας υπόψη τη Συνθήκη για τη λειτουργία της Ευρωπαϊκής Ένωσης, και ιδίως τα άρθρα 113, 114 και 115,</w:t>
      </w:r>
    </w:p>
    <w:p w14:paraId="284761A4" w14:textId="77777777" w:rsidR="00E42540" w:rsidRPr="00D202D8" w:rsidRDefault="00E42540" w:rsidP="00E42540">
      <w:pPr>
        <w:pStyle w:val="NormalHanging"/>
      </w:pPr>
      <w:r w:rsidRPr="00D202D8">
        <w:t>–</w:t>
      </w:r>
      <w:r w:rsidRPr="00D202D8">
        <w:tab/>
        <w:t>έχοντας υπόψη την πρόταση της Επιτροπής, της 28ης Σεπτεμβρίου 2011, για οδηγία του Συμβουλίου για ένα κοινό σύστημα φόρου επί των χρηματοπιστωτικών συναλλαγών και για την τροποποίηση της οδηγίας 2008/7/ΕΚ (COM(2011)0594),</w:t>
      </w:r>
    </w:p>
    <w:p w14:paraId="5579A206" w14:textId="1445AFA9" w:rsidR="00E42540" w:rsidRPr="00D202D8" w:rsidRDefault="00E42540" w:rsidP="00E42540">
      <w:pPr>
        <w:pStyle w:val="NormalHanging"/>
      </w:pPr>
      <w:r w:rsidRPr="00D202D8">
        <w:t>–</w:t>
      </w:r>
      <w:r w:rsidRPr="00D202D8">
        <w:tab/>
        <w:t>έχοντας υπόψη την πρόταση της Επιτροπής, της 14ης Φεβρουαρίου 2013, για οδηγία του Συμβουλίου σχετικά με την εφαρμογή ενισχυμένης συνεργασίας στον τομέα της φορολόγησης των χρηματοπιστωτικών συναλλαγών (COM(2013)0071) (πρόταση ΦΧΣ),</w:t>
      </w:r>
    </w:p>
    <w:p w14:paraId="3649AB07" w14:textId="77777777" w:rsidR="00E42540" w:rsidRPr="00D202D8" w:rsidRDefault="00E42540" w:rsidP="00E42540">
      <w:pPr>
        <w:pStyle w:val="NormalHanging"/>
      </w:pPr>
      <w:r w:rsidRPr="00D202D8">
        <w:t>–</w:t>
      </w:r>
      <w:r w:rsidRPr="00D202D8">
        <w:tab/>
        <w:t>έχοντας υπόψη την πρόταση της Επιτροπής, της 28ης Νοεμβρίου 2007, για κανονισμό του Συμβουλίου για τη θέσπιση μέτρων εφαρμογής της οδηγίας 2006/112/EΚ σχετικά με το κοινό σύστημα φόρου προστιθέμενης αξίας, όσον αφορά τη μεταχείριση ασφαλιστικών και χρηματοπιστωτικών υπηρεσιών (COM(2007)0746),</w:t>
      </w:r>
    </w:p>
    <w:p w14:paraId="43330622" w14:textId="77777777" w:rsidR="00E42540" w:rsidRPr="00D202D8" w:rsidRDefault="00E42540" w:rsidP="00E42540">
      <w:pPr>
        <w:pStyle w:val="NormalHanging"/>
      </w:pPr>
      <w:r w:rsidRPr="00D202D8">
        <w:t>–</w:t>
      </w:r>
      <w:r w:rsidRPr="00D202D8">
        <w:tab/>
        <w:t>έχοντας υπόψη την πρόταση της Επιτροπής, της 28ης Νοεμβρίου 2007, για οδηγία του Συμβουλίου για την τροποποίηση της οδηγίας 2006/112/ΕΚ σχετικά με το κοινό σύστημα φόρου προστιθέμενης αξίας, όσον αφορά τη μεταχείριση ασφαλιστικών και χρηματοπιστωτικών υπηρεσιών (COM(2007)0747),</w:t>
      </w:r>
    </w:p>
    <w:p w14:paraId="177F10FC" w14:textId="45BB1E8E" w:rsidR="00E42540" w:rsidRPr="00D202D8" w:rsidRDefault="00E42540" w:rsidP="00E42540">
      <w:pPr>
        <w:pStyle w:val="NormalHanging"/>
      </w:pPr>
      <w:r w:rsidRPr="00D202D8">
        <w:t>–</w:t>
      </w:r>
      <w:r w:rsidRPr="00D202D8">
        <w:tab/>
        <w:t xml:space="preserve">έχοντας υπόψη τον κανονισμό (ΕΕ) 2023/1114 του Ευρωπαϊκού Κοινοβουλίου και του Συμβουλίου, της 31ης Μαΐου 2023, για τις αγορές κρυπτοστοιχείων και για την τροποποίηση των κανονισμών (ΕΕ) αριθ. 1093/2010 και (ΕΕ) αριθ. 1095/2010 και των </w:t>
      </w:r>
      <w:r w:rsidRPr="00D202D8">
        <w:lastRenderedPageBreak/>
        <w:t>οδηγιών 2013/36/ΕΕ και (ΕΕ) 2019/1937</w:t>
      </w:r>
      <w:r w:rsidR="000809B6">
        <w:rPr>
          <w:rStyle w:val="FootnoteReference"/>
        </w:rPr>
        <w:footnoteReference w:id="1"/>
      </w:r>
      <w:r w:rsidRPr="00D202D8">
        <w:t>,</w:t>
      </w:r>
    </w:p>
    <w:p w14:paraId="00BB43BB" w14:textId="77777777" w:rsidR="00E42540" w:rsidRPr="00D202D8" w:rsidRDefault="00E42540" w:rsidP="00E42540">
      <w:pPr>
        <w:pStyle w:val="NormalHanging"/>
      </w:pPr>
      <w:r w:rsidRPr="00D202D8">
        <w:t>–</w:t>
      </w:r>
      <w:r w:rsidRPr="00D202D8">
        <w:tab/>
        <w:t>έχοντας υπόψη την αρχική εκτίμηση επιπτώσεων της Επιτροπής, της 22ας Οκτωβρίου 2020, σχετικά με την αναθεώρηση των κανόνων ΦΠΑ για τις χρηματοπιστωτικές και ασφαλιστικές υπηρεσίες,</w:t>
      </w:r>
    </w:p>
    <w:p w14:paraId="2B22088B" w14:textId="77777777" w:rsidR="00E42540" w:rsidRPr="00D202D8" w:rsidRDefault="00E42540" w:rsidP="00E42540">
      <w:pPr>
        <w:pStyle w:val="NormalHanging"/>
      </w:pPr>
      <w:r w:rsidRPr="00D202D8">
        <w:t>–</w:t>
      </w:r>
      <w:r w:rsidRPr="00D202D8">
        <w:tab/>
        <w:t>έχοντας υπόψη την πρόταση της Επιτροπής, της 12ης Σεπτεμβρίου 2023, για τη θέσπιση φορολογικού συστήματος με βάση την έδρα για τις πολύ μικρές, μικρές και μεσαίες επιχειρήσεις και για την τροποποίηση της οδηγίας 2011/16/ΕΕ,</w:t>
      </w:r>
    </w:p>
    <w:p w14:paraId="53AE8B65" w14:textId="01FCBFAB" w:rsidR="00E42540" w:rsidRPr="00D202D8" w:rsidRDefault="00E42540" w:rsidP="00E42540">
      <w:pPr>
        <w:pStyle w:val="NormalHanging"/>
      </w:pPr>
      <w:r w:rsidRPr="00D202D8">
        <w:t>–</w:t>
      </w:r>
      <w:r w:rsidRPr="00D202D8">
        <w:tab/>
        <w:t>έχοντας υπόψη την απόφαση (ΕΕ, Ευρατόμ) 2020/2053 του Συμβουλίου, της 14ης Δεκεμβρίου 2020, για το σύστημα των ιδίων πόρων της Ευρωπαϊκής Ένωσης και για την κατάργηση της απόφασης 2014/335/ΕΕ, Ευρατόμ</w:t>
      </w:r>
      <w:r w:rsidR="000809B6">
        <w:rPr>
          <w:rStyle w:val="FootnoteReference"/>
        </w:rPr>
        <w:footnoteReference w:id="2"/>
      </w:r>
      <w:r w:rsidRPr="00D202D8">
        <w:t>,</w:t>
      </w:r>
    </w:p>
    <w:p w14:paraId="6A26914B" w14:textId="77777777" w:rsidR="00E42540" w:rsidRPr="00D202D8" w:rsidRDefault="00E42540" w:rsidP="00E42540">
      <w:pPr>
        <w:pStyle w:val="NormalHanging"/>
      </w:pPr>
      <w:r w:rsidRPr="00D202D8">
        <w:t>–</w:t>
      </w:r>
      <w:r w:rsidRPr="00D202D8">
        <w:tab/>
        <w:t>έχοντας υπόψη την ανακοίνωση της Επιτροπής της 22ας Δεκεμβρίου 2021 με τίτλο «Η επόμενη γενιά ιδίων πόρων για τον προϋπολογισμό της ΕΕ» (COM(2021)0566),</w:t>
      </w:r>
    </w:p>
    <w:p w14:paraId="64A0EC78" w14:textId="51D23D83" w:rsidR="00E42540" w:rsidRPr="00D202D8" w:rsidRDefault="00E42540" w:rsidP="00E42540">
      <w:pPr>
        <w:pStyle w:val="NormalHanging"/>
      </w:pPr>
      <w:r w:rsidRPr="00D202D8">
        <w:t>–</w:t>
      </w:r>
      <w:r w:rsidRPr="00D202D8">
        <w:tab/>
        <w:t xml:space="preserve">έχοντας υπόψη τη μελέτη που ζήτησε η Υποεπιτροπή Φορολογικών Θεμάτων του Κοινοβουλίου με τίτλο «The </w:t>
      </w:r>
      <w:proofErr w:type="spellStart"/>
      <w:r w:rsidRPr="00D202D8">
        <w:t>taxation</w:t>
      </w:r>
      <w:proofErr w:type="spellEnd"/>
      <w:r w:rsidRPr="00D202D8">
        <w:t xml:space="preserve"> of the </w:t>
      </w:r>
      <w:proofErr w:type="spellStart"/>
      <w:r w:rsidRPr="00D202D8">
        <w:t>EU’s</w:t>
      </w:r>
      <w:proofErr w:type="spellEnd"/>
      <w:r w:rsidRPr="00D202D8">
        <w:t xml:space="preserve"> </w:t>
      </w:r>
      <w:proofErr w:type="spellStart"/>
      <w:r w:rsidRPr="00D202D8">
        <w:t>financial</w:t>
      </w:r>
      <w:proofErr w:type="spellEnd"/>
      <w:r w:rsidRPr="00D202D8">
        <w:t xml:space="preserve"> </w:t>
      </w:r>
      <w:proofErr w:type="spellStart"/>
      <w:r w:rsidRPr="00D202D8">
        <w:t>sector</w:t>
      </w:r>
      <w:proofErr w:type="spellEnd"/>
      <w:r w:rsidRPr="00D202D8">
        <w:t>» (Η φορολόγηση του χρηματοπιστωτικού τομέα της ΕΕ), η οποία δημοσιεύτηκε από τη Γενική Διεύθυνση Οικονομίας, Μετασχηματισμού και Βιομηχανίας τον Ιούνιο του 2025</w:t>
      </w:r>
      <w:r w:rsidR="000809B6">
        <w:rPr>
          <w:rStyle w:val="FootnoteReference"/>
        </w:rPr>
        <w:footnoteReference w:id="3"/>
      </w:r>
      <w:r w:rsidRPr="00D202D8">
        <w:t>,</w:t>
      </w:r>
    </w:p>
    <w:p w14:paraId="0C9CABF6" w14:textId="77777777" w:rsidR="00E42540" w:rsidRPr="00D202D8" w:rsidRDefault="00E42540" w:rsidP="00E42540">
      <w:pPr>
        <w:pStyle w:val="NormalHanging"/>
      </w:pPr>
      <w:r w:rsidRPr="00D202D8">
        <w:t>–</w:t>
      </w:r>
      <w:r w:rsidRPr="00D202D8">
        <w:tab/>
        <w:t>έχοντας υπόψη τη νομολογία του Δικαστηρίου της Ευρωπαϊκής Ένωσης σχετικά με την απαλλαγή των χρηματοπιστωτικών και ασφαλιστικών υπηρεσιών από τον ΦΠΑ,</w:t>
      </w:r>
    </w:p>
    <w:p w14:paraId="717DB336" w14:textId="1DC7B430" w:rsidR="00E42540" w:rsidRPr="00D202D8" w:rsidRDefault="00E42540" w:rsidP="00E42540">
      <w:pPr>
        <w:pStyle w:val="NormalHanging"/>
      </w:pPr>
      <w:r w:rsidRPr="00D202D8">
        <w:t>–</w:t>
      </w:r>
      <w:r w:rsidRPr="00D202D8">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000809B6">
        <w:rPr>
          <w:rStyle w:val="FootnoteReference"/>
        </w:rPr>
        <w:footnoteReference w:id="4"/>
      </w:r>
      <w:r w:rsidRPr="00D202D8">
        <w:t>,</w:t>
      </w:r>
    </w:p>
    <w:p w14:paraId="7E511D51" w14:textId="75753D59" w:rsidR="00E42540" w:rsidRPr="00D202D8" w:rsidRDefault="00E42540" w:rsidP="00E42540">
      <w:pPr>
        <w:pStyle w:val="NormalHanging"/>
      </w:pPr>
      <w:r w:rsidRPr="00D202D8">
        <w:t>–</w:t>
      </w:r>
      <w:r w:rsidRPr="00D202D8">
        <w:tab/>
        <w:t>έχοντας υπόψη το ψήφισμά του, της 10ης Μαΐου 2023, σχετικά με τους ιδίους πόρους: μια καινούρια αρχή για τα οικονομικά της ΕΕ, μια καινούρια αρχή για την Ευρώπη</w:t>
      </w:r>
      <w:r w:rsidR="000809B6">
        <w:rPr>
          <w:rStyle w:val="FootnoteReference"/>
        </w:rPr>
        <w:footnoteReference w:id="5"/>
      </w:r>
      <w:r w:rsidRPr="00D202D8">
        <w:t>,</w:t>
      </w:r>
    </w:p>
    <w:p w14:paraId="08DEB2A0" w14:textId="77777777" w:rsidR="00E42540" w:rsidRPr="00D202D8" w:rsidRDefault="00E42540" w:rsidP="00E42540">
      <w:pPr>
        <w:pStyle w:val="NormalHanging"/>
      </w:pPr>
      <w:r w:rsidRPr="00D202D8">
        <w:t>–</w:t>
      </w:r>
      <w:r w:rsidRPr="00D202D8">
        <w:tab/>
        <w:t xml:space="preserve">έχοντας υπόψη την έκθεση του </w:t>
      </w:r>
      <w:proofErr w:type="spellStart"/>
      <w:r w:rsidRPr="00D202D8">
        <w:t>Enrico</w:t>
      </w:r>
      <w:proofErr w:type="spellEnd"/>
      <w:r w:rsidRPr="00D202D8">
        <w:t xml:space="preserve"> </w:t>
      </w:r>
      <w:proofErr w:type="spellStart"/>
      <w:r w:rsidRPr="00D202D8">
        <w:t>Letta</w:t>
      </w:r>
      <w:proofErr w:type="spellEnd"/>
      <w:r w:rsidRPr="00D202D8">
        <w:t>, τον Απρίλιο του 2024, με τίτλο «</w:t>
      </w:r>
      <w:proofErr w:type="spellStart"/>
      <w:r w:rsidRPr="00D202D8">
        <w:t>Much</w:t>
      </w:r>
      <w:proofErr w:type="spellEnd"/>
      <w:r w:rsidRPr="00D202D8">
        <w:t xml:space="preserve"> </w:t>
      </w:r>
      <w:proofErr w:type="spellStart"/>
      <w:r w:rsidRPr="00D202D8">
        <w:t>more</w:t>
      </w:r>
      <w:proofErr w:type="spellEnd"/>
      <w:r w:rsidRPr="00D202D8">
        <w:t xml:space="preserve"> </w:t>
      </w:r>
      <w:proofErr w:type="spellStart"/>
      <w:r w:rsidRPr="00D202D8">
        <w:t>than</w:t>
      </w:r>
      <w:proofErr w:type="spellEnd"/>
      <w:r w:rsidRPr="00D202D8">
        <w:t xml:space="preserve"> a </w:t>
      </w:r>
      <w:proofErr w:type="spellStart"/>
      <w:r w:rsidRPr="00D202D8">
        <w:t>market</w:t>
      </w:r>
      <w:proofErr w:type="spellEnd"/>
      <w:r w:rsidRPr="00D202D8">
        <w:t xml:space="preserve"> – </w:t>
      </w:r>
      <w:proofErr w:type="spellStart"/>
      <w:r w:rsidRPr="00D202D8">
        <w:t>Speed</w:t>
      </w:r>
      <w:proofErr w:type="spellEnd"/>
      <w:r w:rsidRPr="00D202D8">
        <w:t xml:space="preserve">, </w:t>
      </w:r>
      <w:proofErr w:type="spellStart"/>
      <w:r w:rsidRPr="00D202D8">
        <w:t>Security</w:t>
      </w:r>
      <w:proofErr w:type="spellEnd"/>
      <w:r w:rsidRPr="00D202D8">
        <w:t xml:space="preserve">, </w:t>
      </w:r>
      <w:proofErr w:type="spellStart"/>
      <w:r w:rsidRPr="00D202D8">
        <w:t>Solidarity</w:t>
      </w:r>
      <w:proofErr w:type="spellEnd"/>
      <w:r w:rsidRPr="00D202D8">
        <w:t xml:space="preserve">: </w:t>
      </w:r>
      <w:proofErr w:type="spellStart"/>
      <w:r w:rsidRPr="00D202D8">
        <w:t>Empowering</w:t>
      </w:r>
      <w:proofErr w:type="spellEnd"/>
      <w:r w:rsidRPr="00D202D8">
        <w:t xml:space="preserve"> the </w:t>
      </w:r>
      <w:proofErr w:type="spellStart"/>
      <w:r w:rsidRPr="00D202D8">
        <w:t>Single</w:t>
      </w:r>
      <w:proofErr w:type="spellEnd"/>
      <w:r w:rsidRPr="00D202D8">
        <w:t xml:space="preserve"> Market </w:t>
      </w:r>
      <w:proofErr w:type="spellStart"/>
      <w:r w:rsidRPr="00D202D8">
        <w:t>to</w:t>
      </w:r>
      <w:proofErr w:type="spellEnd"/>
      <w:r w:rsidRPr="00D202D8">
        <w:t xml:space="preserve"> </w:t>
      </w:r>
      <w:proofErr w:type="spellStart"/>
      <w:r w:rsidRPr="00D202D8">
        <w:t>deliver</w:t>
      </w:r>
      <w:proofErr w:type="spellEnd"/>
      <w:r w:rsidRPr="00D202D8">
        <w:t xml:space="preserve"> a </w:t>
      </w:r>
      <w:proofErr w:type="spellStart"/>
      <w:r w:rsidRPr="00D202D8">
        <w:t>sustainable</w:t>
      </w:r>
      <w:proofErr w:type="spellEnd"/>
      <w:r w:rsidRPr="00D202D8">
        <w:t xml:space="preserve"> </w:t>
      </w:r>
      <w:proofErr w:type="spellStart"/>
      <w:r w:rsidRPr="00D202D8">
        <w:t>future</w:t>
      </w:r>
      <w:proofErr w:type="spellEnd"/>
      <w:r w:rsidRPr="00D202D8">
        <w:t xml:space="preserve"> and </w:t>
      </w:r>
      <w:proofErr w:type="spellStart"/>
      <w:r w:rsidRPr="00D202D8">
        <w:t>prosperity</w:t>
      </w:r>
      <w:proofErr w:type="spellEnd"/>
      <w:r w:rsidRPr="00D202D8">
        <w:t xml:space="preserve"> for </w:t>
      </w:r>
      <w:proofErr w:type="spellStart"/>
      <w:r w:rsidRPr="00D202D8">
        <w:t>all</w:t>
      </w:r>
      <w:proofErr w:type="spellEnd"/>
      <w:r w:rsidRPr="00D202D8">
        <w:t xml:space="preserve"> EU </w:t>
      </w:r>
      <w:proofErr w:type="spellStart"/>
      <w:r w:rsidRPr="00D202D8">
        <w:t>Citizens</w:t>
      </w:r>
      <w:proofErr w:type="spellEnd"/>
      <w:r w:rsidRPr="00D202D8">
        <w:t>» (Πολύ περισσότερο από μια απλή αγορά – Ταχύτητα, ασφάλεια, αλληλεγγύη: ενδυνάμωση της ενιαίας αγοράς για την επίτευξη βιώσιμου μέλλοντος και ευημερίας για όλους τους πολίτες της ΕΕ) (έκθεση Letta),</w:t>
      </w:r>
    </w:p>
    <w:p w14:paraId="627763E3" w14:textId="1CEE10DF" w:rsidR="00E42540" w:rsidRPr="00D202D8" w:rsidRDefault="00E42540" w:rsidP="00E42540">
      <w:pPr>
        <w:pStyle w:val="NormalHanging"/>
      </w:pPr>
      <w:r w:rsidRPr="00D202D8">
        <w:lastRenderedPageBreak/>
        <w:t>–</w:t>
      </w:r>
      <w:r w:rsidRPr="00D202D8">
        <w:tab/>
        <w:t xml:space="preserve">έχοντας υπόψη την έκθεση του </w:t>
      </w:r>
      <w:proofErr w:type="spellStart"/>
      <w:r w:rsidRPr="00D202D8">
        <w:t>Mario</w:t>
      </w:r>
      <w:proofErr w:type="spellEnd"/>
      <w:r w:rsidRPr="00D202D8">
        <w:t xml:space="preserve"> </w:t>
      </w:r>
      <w:proofErr w:type="spellStart"/>
      <w:r w:rsidRPr="00D202D8">
        <w:t>Draghi</w:t>
      </w:r>
      <w:proofErr w:type="spellEnd"/>
      <w:r w:rsidRPr="00D202D8">
        <w:t xml:space="preserve">, της 9ης Σεπτεμβρίου 2024, με τίτλο «The </w:t>
      </w:r>
      <w:proofErr w:type="spellStart"/>
      <w:r w:rsidRPr="00D202D8">
        <w:t>future</w:t>
      </w:r>
      <w:proofErr w:type="spellEnd"/>
      <w:r w:rsidRPr="00D202D8">
        <w:t xml:space="preserve"> of European </w:t>
      </w:r>
      <w:proofErr w:type="spellStart"/>
      <w:r w:rsidRPr="00D202D8">
        <w:t>competitiveness</w:t>
      </w:r>
      <w:proofErr w:type="spellEnd"/>
      <w:r w:rsidRPr="00D202D8">
        <w:t xml:space="preserve">» </w:t>
      </w:r>
      <w:r w:rsidR="00C562BB">
        <w:t>(</w:t>
      </w:r>
      <w:r w:rsidRPr="00D202D8">
        <w:t>Το μέλλον της ευρωπαϊκής ανταγωνιστικότητας</w:t>
      </w:r>
      <w:r w:rsidR="00C562BB">
        <w:t>)</w:t>
      </w:r>
      <w:r w:rsidRPr="00D202D8">
        <w:t xml:space="preserve"> </w:t>
      </w:r>
      <w:r w:rsidR="00C562BB">
        <w:t>(</w:t>
      </w:r>
      <w:r w:rsidRPr="00D202D8">
        <w:t xml:space="preserve">έκθεση </w:t>
      </w:r>
      <w:proofErr w:type="spellStart"/>
      <w:r w:rsidRPr="00D202D8">
        <w:t>Draghi</w:t>
      </w:r>
      <w:proofErr w:type="spellEnd"/>
      <w:r w:rsidRPr="00D202D8">
        <w:t>),</w:t>
      </w:r>
    </w:p>
    <w:p w14:paraId="193FEB69" w14:textId="77777777" w:rsidR="00E42540" w:rsidRPr="00D202D8" w:rsidRDefault="00E42540" w:rsidP="00E42540">
      <w:pPr>
        <w:pStyle w:val="NormalHanging"/>
      </w:pPr>
      <w:r w:rsidRPr="00D202D8">
        <w:t>–</w:t>
      </w:r>
      <w:r w:rsidRPr="00D202D8">
        <w:tab/>
        <w:t>έχοντας υπόψη την ανακοίνωση της Επιτροπής με τίτλο «Ένωση Αποταμιεύσεων και Επενδύσεων — Στρατηγική για την προώθηση της δημιουργίας πλούτου για τους πολίτες και της οικονομικής ανταγωνιστικότητας στην ΕΕ»</w:t>
      </w:r>
      <w:r w:rsidRPr="00D202D8">
        <w:rPr>
          <w:b/>
        </w:rPr>
        <w:t xml:space="preserve"> </w:t>
      </w:r>
      <w:r w:rsidRPr="00D202D8">
        <w:t>(COM(2025)0124),</w:t>
      </w:r>
    </w:p>
    <w:p w14:paraId="4436DCDB" w14:textId="4ACD20E8" w:rsidR="00E42540" w:rsidRPr="00D202D8" w:rsidRDefault="00E42540" w:rsidP="00E42540">
      <w:pPr>
        <w:pStyle w:val="NormalHanging"/>
      </w:pPr>
      <w:r w:rsidRPr="00D202D8">
        <w:t>–</w:t>
      </w:r>
      <w:r w:rsidRPr="00D202D8">
        <w:tab/>
        <w:t>έχοντας υπόψη τη σύσταση της Επιτροπής (ΕΕ) 2025/2029 της 30ής Σεπτεμβρίου 2025 σχετικά με την αύξηση της διαθεσιμότητας των λογαριασμών αποταμίευσης και επενδύσεων με απλουστευμένη και ευνοϊκή φορολογική μεταχείριση</w:t>
      </w:r>
      <w:r w:rsidR="000809B6">
        <w:rPr>
          <w:rStyle w:val="FootnoteReference"/>
        </w:rPr>
        <w:footnoteReference w:id="6"/>
      </w:r>
      <w:r w:rsidRPr="00D202D8">
        <w:t>,</w:t>
      </w:r>
    </w:p>
    <w:p w14:paraId="07C3A2DE" w14:textId="77777777" w:rsidR="00E42540" w:rsidRPr="00D202D8" w:rsidRDefault="00E42540" w:rsidP="00E42540">
      <w:pPr>
        <w:pStyle w:val="NormalHanging"/>
      </w:pPr>
      <w:r w:rsidRPr="00D202D8">
        <w:t>–</w:t>
      </w:r>
      <w:r w:rsidRPr="00D202D8">
        <w:tab/>
        <w:t xml:space="preserve">έχοντας υπόψη το έγγραφο εργασίας της Παγκόσμιας Τράπεζας του Μαΐου 2025 με τίτλο «VAT </w:t>
      </w:r>
      <w:proofErr w:type="spellStart"/>
      <w:r w:rsidRPr="00D202D8">
        <w:t>Exemptions</w:t>
      </w:r>
      <w:proofErr w:type="spellEnd"/>
      <w:r w:rsidRPr="00D202D8">
        <w:t xml:space="preserve">, </w:t>
      </w:r>
      <w:proofErr w:type="spellStart"/>
      <w:r w:rsidRPr="00D202D8">
        <w:t>Embedded</w:t>
      </w:r>
      <w:proofErr w:type="spellEnd"/>
      <w:r w:rsidRPr="00D202D8">
        <w:t xml:space="preserve"> </w:t>
      </w:r>
      <w:proofErr w:type="spellStart"/>
      <w:r w:rsidRPr="00D202D8">
        <w:t>Tax</w:t>
      </w:r>
      <w:proofErr w:type="spellEnd"/>
      <w:r w:rsidRPr="00D202D8">
        <w:t xml:space="preserve">, and </w:t>
      </w:r>
      <w:proofErr w:type="spellStart"/>
      <w:r w:rsidRPr="00D202D8">
        <w:t>Unintended</w:t>
      </w:r>
      <w:proofErr w:type="spellEnd"/>
      <w:r w:rsidRPr="00D202D8">
        <w:t xml:space="preserve"> </w:t>
      </w:r>
      <w:proofErr w:type="spellStart"/>
      <w:r w:rsidRPr="00D202D8">
        <w:t>Consequences</w:t>
      </w:r>
      <w:proofErr w:type="spellEnd"/>
      <w:r w:rsidRPr="00D202D8">
        <w:t>» (Απαλλαγές από τον ΦΠΑ, ενσωματωμένος φόρος και ακούσιες συνέπειες),</w:t>
      </w:r>
    </w:p>
    <w:p w14:paraId="774BC1F0" w14:textId="77777777" w:rsidR="00E42540" w:rsidRPr="00D202D8" w:rsidRDefault="00E42540" w:rsidP="00E42540">
      <w:pPr>
        <w:pStyle w:val="NormalHanging"/>
      </w:pPr>
      <w:r w:rsidRPr="00D202D8">
        <w:t>–</w:t>
      </w:r>
      <w:r w:rsidRPr="00D202D8">
        <w:tab/>
        <w:t>έχοντας υπόψη το άρθρο 55 του Κανονισμού του,</w:t>
      </w:r>
    </w:p>
    <w:p w14:paraId="305C033C" w14:textId="77777777" w:rsidR="00E42540" w:rsidRPr="00D202D8" w:rsidRDefault="00E42540" w:rsidP="00E42540">
      <w:pPr>
        <w:pStyle w:val="NormalHanging"/>
      </w:pPr>
      <w:r w:rsidRPr="00D202D8">
        <w:t>–</w:t>
      </w:r>
      <w:r w:rsidRPr="00D202D8">
        <w:tab/>
        <w:t>έχοντας υπόψη την έκθεση της Επιτροπής Οικονομικής και Νομισματικής Πολιτικής (A10-0169/2026),</w:t>
      </w:r>
    </w:p>
    <w:p w14:paraId="54F4CFC4" w14:textId="77777777" w:rsidR="00E42540" w:rsidRPr="00D202D8" w:rsidRDefault="00E42540" w:rsidP="00E42540">
      <w:pPr>
        <w:pStyle w:val="NormalHanging"/>
      </w:pPr>
      <w:r w:rsidRPr="00D202D8">
        <w:t>Α.</w:t>
      </w:r>
      <w:r w:rsidRPr="00D202D8">
        <w:tab/>
        <w:t>λαμβάνοντας υπόψη ότι, στην επιστολή ανάθεσης καθηκόντων της Προέδρου της Επιτροπής του 2024 προς τον Επίτροπο που είναι αρμόδιος για τη φορολογία, ανατέθηκε στην Επιτροπή να προσδιορίσει καινοτόμες λύσεις για τη φορολόγηση του χρηματοπιστωτικού τομέα της ΕΕ με σκοπό τη στήριξη της περαιτέρω ολοκλήρωσης του τομέα, της διασυνοριακής δραστηριότητας, της ψηφιοποίησης και της καινοτομίας· λαμβάνοντας υπόψη ότι η Επιτροπή έχει δρομολογήσει μελέτη σχετικά με τη φορολόγηση του χρηματοπιστωτικού τομέα στην ΕΕ·</w:t>
      </w:r>
    </w:p>
    <w:p w14:paraId="4ED36A2B" w14:textId="77777777" w:rsidR="00E42540" w:rsidRPr="00D202D8" w:rsidRDefault="00E42540" w:rsidP="00E42540">
      <w:pPr>
        <w:pStyle w:val="NormalHanging"/>
      </w:pPr>
      <w:r w:rsidRPr="00D202D8">
        <w:t>Β.</w:t>
      </w:r>
      <w:r w:rsidRPr="00D202D8">
        <w:tab/>
        <w:t>λαμβάνοντας υπόψη ότι οι χρηματοπιστωτικές υπηρεσίες απαλλάσσονται σε γενικές γραμμές από τον φόρο προστιθέμενης αξίας (ΦΠΑ) στην ΕΕ· λαμβάνοντας υπόψη ότι, εξαιτίας της εν λόγω απαλλαγής, τα χρηματοπιστωτικά ιδρύματα δεν έχουν δυνατότητα έκπτωσης του ΦΠΑ που κατέβαλαν επί των εισροών τους, με αποτέλεσμα να δημιουργείται το λεγόμενο «πρόβλημα του μη ανακτήσιμου ΦΠΑ»· λαμβάνοντας υπόψη ότι η απαλλαγή αυτή θα μπορούσε να δημιουργήσει έλλειψη διαφάνειας, να αυξήσει το κόστος για τους καταναλωτές και να επιφέρει πρόσθετο κόστος για τα χρηματοπιστωτικά ιδρύματα, να επηρεάσει τις αποφάσεις οργάνωσης και εξωτερικής ανάθεσης, και να οδηγήσει σε ανταγωνιστικά μειονεκτήματα για τους μικρότερους, τους ψηφιακούς και τους διασυνοριακούς παρόχους υπηρεσιών·</w:t>
      </w:r>
    </w:p>
    <w:p w14:paraId="1F9CD6E7" w14:textId="77777777" w:rsidR="00E42540" w:rsidRPr="00D202D8" w:rsidRDefault="00E42540" w:rsidP="00E42540">
      <w:pPr>
        <w:pStyle w:val="NormalHanging"/>
      </w:pPr>
      <w:r w:rsidRPr="00D202D8">
        <w:t>Γ.</w:t>
      </w:r>
      <w:r w:rsidRPr="00D202D8">
        <w:tab/>
        <w:t>λαμβάνοντας υπόψη ότι η δυνατότητα των χρηματοπιστωτικών ιδρυμάτων να επιλέγουν να υπαχθούν στον ΦΠΑ δεν παρέχεται με συνέπεια σε όλα τα κράτη μέλη, με αποτέλεσμα να αυξάνεται η διοικητική πολυπλοκότητα·</w:t>
      </w:r>
    </w:p>
    <w:p w14:paraId="5EED293E" w14:textId="77777777" w:rsidR="00E42540" w:rsidRPr="00D202D8" w:rsidRDefault="00E42540" w:rsidP="00E42540">
      <w:pPr>
        <w:pStyle w:val="NormalHanging"/>
      </w:pPr>
      <w:r w:rsidRPr="00D202D8">
        <w:t>Δ.</w:t>
      </w:r>
      <w:r w:rsidRPr="00D202D8">
        <w:tab/>
        <w:t xml:space="preserve">λαμβάνοντας υπόψη ότι η απαλλαγή από τον ΦΠΑ χρονολογείται από το 1977, όταν η φορολόγηση αυτών των χρηματοπιστωτικών υπηρεσιών προκαλούσε σημαντικές τεχνικές και διοικητικές δυσκολίες· λαμβάνοντας υπόψη ότι η αρχική τεχνική αιτιολόγηση για την απαλλαγή από τον ΦΠΑ θα μπορούσε πλέον να αντιμετωπιστεί μέσω της τεχνολογικής, ψηφιακής και εποπτικής προόδου, συμπεριλαμβανομένης της </w:t>
      </w:r>
      <w:r w:rsidRPr="00D202D8">
        <w:lastRenderedPageBreak/>
        <w:t>επεξεργασίας δεδομένων σε πραγματικό χρόνο και των βελτιωμένων απαιτήσεων υποβολής εκθέσεων·</w:t>
      </w:r>
    </w:p>
    <w:p w14:paraId="4B541ABF" w14:textId="77777777" w:rsidR="00E42540" w:rsidRPr="00D202D8" w:rsidRDefault="00E42540" w:rsidP="00E42540">
      <w:pPr>
        <w:pStyle w:val="NormalHanging"/>
      </w:pPr>
      <w:r w:rsidRPr="00D202D8">
        <w:t>Ε.</w:t>
      </w:r>
      <w:r w:rsidRPr="00D202D8">
        <w:tab/>
        <w:t>λαμβάνοντας υπόψη ότι αρκετές δικαιοδοσίες παγκοσμίως έχουν αναθεωρήσει παρόμοιες απαλλαγές ή έχουν θεσπίσει εναλλακτικές μορφές φορολόγησης των χρηματοπιστωτικών υπηρεσιών, προκειμένου να αντιμετωπίσουν τις ακούσιες φορολογικές και ανταγωνιστικές επιπτώσεις του μη ανακτήσιμου ΦΠΑ και να συνεχίσουν να διασφαλίζουν τη δίκαιη και υγιή συμβολή του χρηματοπιστωτικού τομέα στα δημόσια έσοδα·</w:t>
      </w:r>
    </w:p>
    <w:p w14:paraId="7492E873" w14:textId="77777777" w:rsidR="00E42540" w:rsidRPr="00D202D8" w:rsidRDefault="00E42540" w:rsidP="00E42540">
      <w:pPr>
        <w:pStyle w:val="NormalHanging"/>
      </w:pPr>
      <w:r w:rsidRPr="00D202D8">
        <w:t>ΣΤ.</w:t>
      </w:r>
      <w:r w:rsidRPr="00D202D8">
        <w:tab/>
        <w:t xml:space="preserve">λαμβάνοντας υπόψη ότι τόσο η έκθεση Letta όσο και η έκθεση </w:t>
      </w:r>
      <w:proofErr w:type="spellStart"/>
      <w:r w:rsidRPr="00D202D8">
        <w:t>Draghi</w:t>
      </w:r>
      <w:proofErr w:type="spellEnd"/>
      <w:r w:rsidRPr="00D202D8">
        <w:t xml:space="preserve"> υπογραμμίζουν ότι ο φορολογικός κατακερματισμός της ενιαίας αγοράς, συμπεριλαμβανομένων των διοικητικών και φορολογικών φραγμών, παρεμποδίζει την οικονομική ανάπτυξη, το εμπόριο και τις διασυνοριακές δραστηριότητες· λαμβάνοντας υπόψη ότι οι εσωτερικοί φραγμοί της ΕΕ επιβάλλουν στην ουσία δασμό σχεδόν 100 % στις χρηματοπιστωτικές υπηρεσίες· λαμβάνοντας υπόψη ότι οι εν λόγω φραγμοί και τα ρυθμιστικά εμπόδια είναι, σύμφωνα με τον </w:t>
      </w:r>
      <w:proofErr w:type="spellStart"/>
      <w:r w:rsidRPr="00D202D8">
        <w:t>Draghi</w:t>
      </w:r>
      <w:proofErr w:type="spellEnd"/>
      <w:r w:rsidRPr="00D202D8">
        <w:t>, πολύ πιο επιζήμια για την οικονομική ανάπτυξη από ό,τι τυχόν δασμοί που ενδέχεται να επιβάλουν οι ΗΠΑ·</w:t>
      </w:r>
    </w:p>
    <w:p w14:paraId="42EC8687" w14:textId="7409FC59" w:rsidR="00E42540" w:rsidRPr="00D202D8" w:rsidRDefault="00E42540" w:rsidP="00E42540">
      <w:pPr>
        <w:pStyle w:val="NormalHanging"/>
      </w:pPr>
      <w:r w:rsidRPr="00D202D8">
        <w:t>Ζ.</w:t>
      </w:r>
      <w:r w:rsidRPr="00D202D8">
        <w:tab/>
        <w:t>λαμβάνοντας υπόψη ότι, σύμφωνα με στοιχεία της Eurostat, ο χρηματοπιστωτικός τομέας αποτελεί σημαντική συνιστώσα της οικονομίας της ΕΕ, δεδομένου ότι παρήγαγε προστιθέμενη αξία ύψους περίπου 0</w:t>
      </w:r>
      <w:r w:rsidR="000809B6">
        <w:t>,</w:t>
      </w:r>
      <w:r w:rsidRPr="00D202D8">
        <w:t>9 τρισεκατομμυρίων EUR το 2022, ότι απασχολεί σχεδόν 5 εκατομμύρια άτομα και καταγράφει καθαρό κύκλο εργασιών περίπου 2,4 τρισεκατομμυρίων EUR· λαμβάνοντας υπόψη ότι ο τομέας συμβάλλει στα δημόσια οικονομικά μέσω της φορολογίας των εταιρειών, των φόρων μισθωτών υπηρεσιών και των ειδικών τομεακών εισφορών· λαμβάνοντας υπόψη ότι ο χρηματοπιστωτικός τομέας της ΕΕ διαδραματίζει κεντρικό ρόλο στη χρηματοδότηση της πραγματικής οικονομίας, στη στήριξη της καινοτομίας και στη διευκόλυνση των επενδύσεων·</w:t>
      </w:r>
    </w:p>
    <w:p w14:paraId="06F1C189" w14:textId="65B47067" w:rsidR="00E42540" w:rsidRPr="00D202D8" w:rsidRDefault="00E42540" w:rsidP="00E42540">
      <w:pPr>
        <w:pStyle w:val="NormalHanging"/>
      </w:pPr>
      <w:r w:rsidRPr="00D202D8">
        <w:t>Η.</w:t>
      </w:r>
      <w:r w:rsidRPr="00D202D8">
        <w:tab/>
        <w:t xml:space="preserve">λαμβάνοντας υπόψη ότι πρόσφατες πρωτοβουλίες, όπως η οδηγία 2025/50 του Συμβουλίου της 10ης Δεκεμβρίου 2024 σχετικά με την ταχύτερη και ασφαλέστερη ελάφρυνση για τους φόρους που </w:t>
      </w:r>
      <w:proofErr w:type="spellStart"/>
      <w:r w:rsidRPr="00D202D8">
        <w:t>παρακρατήθηκαν</w:t>
      </w:r>
      <w:proofErr w:type="spellEnd"/>
      <w:r w:rsidRPr="00D202D8">
        <w:t xml:space="preserve"> καθ’ υπέρβαση των οφειλόμενων</w:t>
      </w:r>
      <w:r w:rsidR="000809B6">
        <w:rPr>
          <w:rStyle w:val="FootnoteReference"/>
        </w:rPr>
        <w:footnoteReference w:id="7"/>
      </w:r>
      <w:r w:rsidRPr="00D202D8">
        <w:t xml:space="preserve"> (οδηγία FASTER), έχουν επιτύχει σημαντική πρόοδο όσον αφορά τη μείωση του διοικητικού φόρτου και τη διευκόλυνση της διασυνοριακής οικονομικής δραστηριότητας στην ΕΕ, και ότι παρόμοιες προσπάθειες θα πρέπει να συνεχιστούν προκειμένου να ενισχυθούν περαιτέρω η ολοκλήρωση και η αποτελεσματικότητα της ενιαίας αγοράς·</w:t>
      </w:r>
    </w:p>
    <w:p w14:paraId="039A6C1B" w14:textId="06363BC6" w:rsidR="00E42540" w:rsidRPr="00D202D8" w:rsidRDefault="00E42540" w:rsidP="00E42540">
      <w:pPr>
        <w:pStyle w:val="NormalHanging"/>
      </w:pPr>
      <w:r w:rsidRPr="00D202D8">
        <w:t>Θ.</w:t>
      </w:r>
      <w:r w:rsidRPr="00D202D8">
        <w:tab/>
        <w:t>λαμβάνοντας υπόψη ότι το Συμβούλιο καθυστερεί την έκδοση απόφασης σχετικά με την πρόταση οδηγίας της Επιτροπής για τη θέσπιση φορολογικού συστήματος με βάση την έδρα για τις πολύ μικρές, μικρές και μεσαίες επιχειρήσεις και για την τροποποίηση της οδηγίας 2011/16/ΕΕ, ενώ το Κοινοβούλιο έχει ήδη εγκρίνει νομοθετικό ψήφισμα στις 10 Απριλίου 2024</w:t>
      </w:r>
      <w:r w:rsidR="000809B6">
        <w:rPr>
          <w:rStyle w:val="FootnoteReference"/>
        </w:rPr>
        <w:footnoteReference w:id="8"/>
      </w:r>
      <w:r w:rsidRPr="00D202D8">
        <w:t>·</w:t>
      </w:r>
    </w:p>
    <w:p w14:paraId="5631F849" w14:textId="77777777" w:rsidR="00E42540" w:rsidRPr="00D202D8" w:rsidRDefault="00E42540" w:rsidP="00E42540">
      <w:pPr>
        <w:pStyle w:val="NormalHanging"/>
      </w:pPr>
      <w:r w:rsidRPr="00D202D8">
        <w:lastRenderedPageBreak/>
        <w:t>Ι.</w:t>
      </w:r>
      <w:r w:rsidRPr="00D202D8">
        <w:tab/>
        <w:t>λαμβάνοντας υπόψη ότι τυχόν μελλοντικές πρωτοβουλίες θα πρέπει να μειώσουν τον κατακερματισμό στην ενιαία αγορά και να ενισχύσουν την ανταγωνιστικότητα διασφαλίζοντας ένα συνεκτικό, προβλέψιμο και ουδέτερο φορολογικό πλαίσιο για τις χρηματοπιστωτικές υπηρεσίες, λαμβάνοντας παράλληλα υπόψη τα ποικίλα επιχειρηματικά μοντέλα και τις φορολογικές αλληλεπιδράσεις σε ολόκληρο τον χρηματοπιστωτικό τομέα της ΕΕ·</w:t>
      </w:r>
    </w:p>
    <w:p w14:paraId="560EF65D" w14:textId="77777777" w:rsidR="00E42540" w:rsidRPr="00D202D8" w:rsidRDefault="00E42540" w:rsidP="00E42540">
      <w:pPr>
        <w:pStyle w:val="NormalHanging"/>
      </w:pPr>
      <w:r w:rsidRPr="00D202D8">
        <w:t>ΙΑ.</w:t>
      </w:r>
      <w:r w:rsidRPr="00D202D8">
        <w:tab/>
        <w:t>λαμβάνοντας υπόψη ότι η φορολόγηση των χρηματοπιστωτικών υπηρεσιών στην ΕΕ παραμένει σε μεγάλο βαθμό κατακερματισμένη, με αποκλίνουσες εθνικές προσεγγίσεις όσον αφορά τους φόρους επί των ασφαλίστρων, τους φόρους επί των χρηματοπιστωτικών συναλλαγών (ΦΧΣ), τις τραπεζικές εισφορές, τους φόρους επί των χρηματοπιστωτικών δραστηριοτήτων και άλλους φόρους που βασίζονται στα κέρδη· λαμβάνοντας υπόψη ότι ο κατακερματισμός αυτός δημιουργεί ανασφάλεια δικαίου και πολυπλοκότητα, προκαλεί στρεβλώσεις της αγοράς, ενθαρρύνει τη φοροαποφυγή και μειώνει την ανταγωνιστικότητα της ΕΕ·</w:t>
      </w:r>
    </w:p>
    <w:p w14:paraId="170E3291" w14:textId="77777777" w:rsidR="00E42540" w:rsidRPr="00D202D8" w:rsidRDefault="00E42540" w:rsidP="00E42540">
      <w:pPr>
        <w:pStyle w:val="NormalHanging"/>
      </w:pPr>
      <w:r w:rsidRPr="00D202D8">
        <w:t>ΙΒ.</w:t>
      </w:r>
      <w:r w:rsidRPr="00D202D8">
        <w:tab/>
        <w:t>λαμβάνοντας υπόψη ότι η Ένωση Αποταμιεύσεων και Επενδύσεων (SIU) απαιτεί ισχυρότερα κίνητρα που να ωθούν τους πολίτες να αποταμιεύουν και να επενδύουν στις ευρωπαϊκές κεφαλαιαγορές· λαμβάνοντας υπόψη ότι η ολοκλήρωση της SIU απαιτεί μια ολοκληρωμένη προσέγγιση για τη χρηματοπιστωτική σταθερότητα, την ολοκλήρωση της αγοράς και την προστασία των επενδυτών· λαμβάνοντας υπόψη ότι η διασφάλιση της ουσιαστικής συνεισφοράς του χρηματοπιστωτικού τομέα στα δημόσια οικονομικά, της εσωτερίκευσης των κινδύνων που δημιουργεί και της στήριξης μακροπρόθεσμων βιώσιμων επενδύσεων έχει καθοριστικής σημασία για την επιτυχία και την αξιοπιστία της SIU·</w:t>
      </w:r>
    </w:p>
    <w:p w14:paraId="16B6A3EB" w14:textId="77777777" w:rsidR="00E42540" w:rsidRPr="00D202D8" w:rsidRDefault="00E42540" w:rsidP="00E42540">
      <w:pPr>
        <w:pStyle w:val="NormalHanging"/>
      </w:pPr>
      <w:r w:rsidRPr="00D202D8">
        <w:t>ΙΓ.</w:t>
      </w:r>
      <w:r w:rsidRPr="00D202D8">
        <w:tab/>
        <w:t>λαμβάνοντας υπόψη ότι οι άμεσες ξένες επενδύσεις και οι τραπεζικές εισφορές συζητήθηκαν μετά τη χρηματοπιστωτική κρίση το 2008 και το 2009· λαμβάνοντας υπόψη ότι τα μέτρα αυτά είχαν ως στόχο να αντισταθμίσουν το κόστος της κρίσης·</w:t>
      </w:r>
    </w:p>
    <w:p w14:paraId="77BB2D88" w14:textId="77777777" w:rsidR="00E42540" w:rsidRPr="00D202D8" w:rsidRDefault="00E42540" w:rsidP="00E42540">
      <w:pPr>
        <w:pStyle w:val="NormalHanging"/>
      </w:pPr>
      <w:r w:rsidRPr="00D202D8">
        <w:t>ΙΔ.</w:t>
      </w:r>
      <w:r w:rsidRPr="00D202D8">
        <w:tab/>
        <w:t>λαμβάνοντας υπόψη ότι τουλάχιστον επτά κράτη μέλη επιβάλλουν επί του παρόντος ΦΧΣ· λαμβάνοντας υπόψη ότι τα εν λόγω κράτη μέλη δεν έχουν συντονίσει τους ΦΧΣ τους όσον αφορά το πεδίο εφαρμογής, τον συντελεστή ή την εφαρμογή· λαμβάνοντας υπόψη ότι δεν έχει επιτευχθεί συμφωνία για ΦΧΣ σε επίπεδο ΕΕ, παρά τις διάφορες νομοθετικές προτάσεις της Επιτροπής από το 2011·</w:t>
      </w:r>
    </w:p>
    <w:p w14:paraId="62CEBF54" w14:textId="77777777" w:rsidR="00E42540" w:rsidRPr="00D202D8" w:rsidRDefault="00E42540" w:rsidP="00E42540">
      <w:pPr>
        <w:pStyle w:val="NormalHanging"/>
      </w:pPr>
      <w:r w:rsidRPr="00D202D8">
        <w:t>ΙΕ.</w:t>
      </w:r>
      <w:r w:rsidRPr="00D202D8">
        <w:tab/>
        <w:t>λαμβάνοντας υπόψη ότι το Κοινοβούλιο υποστηρίζει σταθερά την καθιέρωση ΦΧΣ σε επίπεδο ΕΕ, μεταξύ άλλων ως πιθανού ιδίου πόρου, πιο πρόσφατα στο ψήφισμά του τον Μάϊο του 2023· λαμβάνοντας υπόψη ότι, στο πρόγραμμα εργασίας της για το 2026, η Επιτροπή πρότεινε να αποσύρει την προηγούμενη πρότασή της για τον ΦΧΣ λόγω έλλειψης συναίνεσης μεταξύ των κρατών μελών και αδυναμίας επίτευξης συμφωνίας·</w:t>
      </w:r>
    </w:p>
    <w:p w14:paraId="308EDC59" w14:textId="77777777" w:rsidR="00E42540" w:rsidRPr="00D202D8" w:rsidRDefault="00E42540" w:rsidP="00E42540">
      <w:pPr>
        <w:pStyle w:val="NormalHanging"/>
      </w:pPr>
      <w:r w:rsidRPr="00D202D8">
        <w:t>ΙΣΤ.</w:t>
      </w:r>
      <w:r w:rsidRPr="00D202D8">
        <w:tab/>
        <w:t>λαμβάνοντας υπόψη ότι τα κράτη μέλη εξακολουθούν να θεσπίζουν προσωρινούς φόρους ακούσιων κερδών ή εισφορές αλληλεγγύης επί των τραπεζικών κερδών, προκειμένου να αντιμετωπίσουν τις έκτακτες αυξήσεις της κερδοφορίας που προκαλούνται από τη νομισματική πολιτική·</w:t>
      </w:r>
    </w:p>
    <w:p w14:paraId="73A80C35" w14:textId="77777777" w:rsidR="00E42540" w:rsidRPr="00D202D8" w:rsidRDefault="00E42540" w:rsidP="00E42540">
      <w:pPr>
        <w:pStyle w:val="Normal12a"/>
      </w:pPr>
      <w:r w:rsidRPr="00D202D8">
        <w:rPr>
          <w:b/>
          <w:i/>
        </w:rPr>
        <w:t>Αντιμετώπιση του φορολογικού κατακερματισμού του χρηματοπιστωτικού τομέα και αύξηση της ανταγωνιστικότητάς του</w:t>
      </w:r>
    </w:p>
    <w:p w14:paraId="10E95135" w14:textId="10E01595" w:rsidR="00E42540" w:rsidRPr="00D202D8" w:rsidRDefault="005904ED" w:rsidP="005904ED">
      <w:pPr>
        <w:pStyle w:val="NormalHanging12a"/>
        <w:ind w:left="567" w:hanging="570"/>
      </w:pPr>
      <w:r w:rsidRPr="00D202D8">
        <w:lastRenderedPageBreak/>
        <w:t>1.</w:t>
      </w:r>
      <w:r w:rsidRPr="00D202D8">
        <w:tab/>
      </w:r>
      <w:r w:rsidR="00E42540" w:rsidRPr="00D202D8">
        <w:t xml:space="preserve">σημειώνει ότι </w:t>
      </w:r>
      <w:r w:rsidR="00D275E4" w:rsidRPr="00D275E4">
        <w:t>μετά τη μεγάλη χρηματοπιστωτική κρίση</w:t>
      </w:r>
      <w:r w:rsidR="00E42540" w:rsidRPr="00D202D8">
        <w:t>, τα κράτη μέλη έχουν θεσπίσει 91 ειδικούς τομεακούς φόρους για τη φορολόγηση του χρηματοπιστωτικού τομέα, με αποτέλεσμα να έχει διαμορφωθεί ένα ιδιαίτερα κατακερματισμένο φορολογικό τοπίο· σημειώνει ότι αυτό το κατακερματισμένο φορολογικό τοπίο δημιουργεί πρόσθετο λειτουργικό και διοικητικό κόστος και αυξάνει τους διαρθρωτικούς φραγμούς στη διασυνοριακή επέκταση των παρόχων χρηματοπιστωτικών υπηρεσιών, αποδυναμώνοντας έτσι τον χρηματοπιστωτικό τομέα της ΕΕ και την επενδυτική της ικανότητα και υπονομεύοντας τους στόχους της SIU και της Τραπεζικής Ένωσης·</w:t>
      </w:r>
    </w:p>
    <w:p w14:paraId="78404D23" w14:textId="02F1CA07" w:rsidR="00E42540" w:rsidRPr="00D202D8" w:rsidRDefault="005904ED" w:rsidP="005904ED">
      <w:pPr>
        <w:pStyle w:val="NormalHanging12a"/>
        <w:ind w:left="567" w:hanging="570"/>
      </w:pPr>
      <w:r w:rsidRPr="00D202D8">
        <w:t>2.</w:t>
      </w:r>
      <w:r w:rsidRPr="00D202D8">
        <w:tab/>
      </w:r>
      <w:r w:rsidR="00E42540" w:rsidRPr="00D202D8">
        <w:t>σημειώνει ότι οι διαφορές στα εθνικά φορολογικά καθεστώτα αντικατοπτρίζουν τις εγχώριες επιλογές πολιτικής· σημειώνει τις εν εξελίξει εργασίες σε διεθνές επίπεδο όσον αφορά τη μετατόπιση των κερδών· ζητεί ενισχυμένο συντονισμό σε επίπεδο ΕΕ, μεταξύ άλλων κατά την εφαρμογή της οδηγίας για τον πυλώνα 2, αυστηρούς κανόνες κατά της φοροαποφυγής και απαιτήσεις διαφάνειας, ιδίως στον τομέα της δημόσιας υποβολής εκθέσεων ανά χώρα·</w:t>
      </w:r>
    </w:p>
    <w:p w14:paraId="55DC3AEA" w14:textId="7040D9D6" w:rsidR="00E42540" w:rsidRPr="00D202D8" w:rsidRDefault="005904ED" w:rsidP="005904ED">
      <w:pPr>
        <w:pStyle w:val="NormalHanging12a"/>
        <w:ind w:left="567" w:hanging="570"/>
      </w:pPr>
      <w:r w:rsidRPr="00D202D8">
        <w:t>3.</w:t>
      </w:r>
      <w:r w:rsidRPr="00D202D8">
        <w:tab/>
      </w:r>
      <w:r w:rsidR="00E42540" w:rsidRPr="00D202D8">
        <w:t>σημειώνει ότι ο κατακερματισμός των εθνικών φορολογικών καθεστώτων αυξάνει τον κίνδυνο διασυνοριακής διπλής φορολόγησης και, λόγω της διοικητικής και νομικής πολυπλοκότητας, μπορεί να παρεμποδίσει την ανάπτυξη του χρηματοπιστωτικού τομέα της ΕΕ και να αποτελέσει εμπόδιο για τη βαθύτερη ολοκλήρωση των χρηματοπιστωτικών αγορών της ΕΕ· τονίζει ότι η αποφυγή της διπλής φορολόγησης και η μείωση του διοικητικού φόρτου θα πρέπει να παραμείνουν ζητήματα ζωτικής σημασίας· τονίζει, ωστόσο, ότι οι προσπάθειες απλούστευσης δεν πρέπει να οδηγούν σε απορρύθμιση ή σε ανταγωνισμό προς τα κάτω όσον αφορά τα φορολογικά πρότυπα·</w:t>
      </w:r>
    </w:p>
    <w:p w14:paraId="7CCCFEF1" w14:textId="62624D6A" w:rsidR="00E42540" w:rsidRPr="00D202D8" w:rsidRDefault="005904ED" w:rsidP="005904ED">
      <w:pPr>
        <w:pStyle w:val="NormalHanging12a"/>
        <w:ind w:left="567" w:hanging="570"/>
      </w:pPr>
      <w:r w:rsidRPr="00D202D8">
        <w:t>4.</w:t>
      </w:r>
      <w:r w:rsidRPr="00D202D8">
        <w:tab/>
      </w:r>
      <w:r w:rsidR="00E42540" w:rsidRPr="00D202D8">
        <w:t>τονίζει ότι οι διαφορές στις εθνικές διαδικασίες που αφορούν την παρακράτηση φόρου στην πηγή, δημιουργούν διοικητικό φόρτο και εμπόδια στις διασυνοριακές επενδύσεις, όπως αναγνωρίζεται στη στρατηγική της Επιτροπής για την SIU· επικροτεί την έγκριση της οδηγίας FASTER· ζητεί να επιτευχθεί περαιτέρω πρόοδος προς ένα πιο συντονισμένο και φιλόδοξο πλαίσιο·</w:t>
      </w:r>
    </w:p>
    <w:p w14:paraId="5F5D5EE2" w14:textId="24656F0F" w:rsidR="00E42540" w:rsidRPr="00D202D8" w:rsidRDefault="005904ED" w:rsidP="005904ED">
      <w:pPr>
        <w:pStyle w:val="NormalHanging12a"/>
        <w:ind w:left="567" w:hanging="570"/>
      </w:pPr>
      <w:r w:rsidRPr="00D202D8">
        <w:t>5.</w:t>
      </w:r>
      <w:r w:rsidRPr="00D202D8">
        <w:tab/>
      </w:r>
      <w:r w:rsidR="00E42540" w:rsidRPr="00D202D8">
        <w:t>καλεί το Συμβούλιο να αποφασίσει σχετικά με την πρόταση της Επιτροπής για έκδοση οδηγίας του Συμβουλίου σχετικά με τη θέσπιση φορολογικού συστήματος με βάση την έδρα για τις πολύ μικρές, μικρές και μεσαίες επιχειρήσεις και για την τροποποίηση της οδηγίας 2011/16/ΕΕ, λαμβάνοντας δεόντως υπόψη το νομοθετικό ψήφισμα του Ευρωπαϊκού Κοινοβουλίου της 10ης Απριλίου 2024·</w:t>
      </w:r>
    </w:p>
    <w:p w14:paraId="1C0DDD58" w14:textId="1A2BFBBE" w:rsidR="00E42540" w:rsidRPr="00D202D8" w:rsidRDefault="005904ED" w:rsidP="005904ED">
      <w:pPr>
        <w:pStyle w:val="NormalHanging12a"/>
        <w:ind w:left="567" w:hanging="570"/>
      </w:pPr>
      <w:r w:rsidRPr="00D202D8">
        <w:t>6.</w:t>
      </w:r>
      <w:r w:rsidRPr="00D202D8">
        <w:tab/>
      </w:r>
      <w:r w:rsidR="00E42540" w:rsidRPr="00D202D8">
        <w:t xml:space="preserve">παρατηρεί, επιπλέον, ότι οι υφιστάμενοι φορολογικοί κανόνες δεν είναι απόλυτα συμβατοί με την εμφάνιση νέων χρηματοπιστωτικών προϊόντων και υποδομών της αγοράς· υπογραμμίζει ότι ο κατακερματισμός αυξάνει ραγδαία τις ανησυχίες δεδομένης της αύξησης των </w:t>
      </w:r>
      <w:proofErr w:type="spellStart"/>
      <w:r w:rsidR="00E42540" w:rsidRPr="00D202D8">
        <w:t>νεοτραπεζών</w:t>
      </w:r>
      <w:proofErr w:type="spellEnd"/>
      <w:r w:rsidR="00E42540" w:rsidRPr="00D202D8">
        <w:t>, όπως οι αποκλειστικά ψηφιακές τράπεζες, οι ανταγωνιστικές τράπεζες ή οι τράπεζες χρηματοοικονομικής τεχνολογίας· επισημαίνει τη σημαντική αύξηση του μεριδίου των διασυνοριακών καταθέσεων που κατέχουν οι εν λόγω τράπεζες κατά την τελευταία εξαετία· υπογραμμίζει ότι οι διαφορές στους φορολογικούς κανόνες μεταξύ τραπεζών και μη τραπεζικών οντοτήτων μπορούν να δημιουργήσουν στρεβλώσεις·</w:t>
      </w:r>
    </w:p>
    <w:p w14:paraId="5AF13942" w14:textId="38D33884" w:rsidR="00E42540" w:rsidRPr="00D202D8" w:rsidRDefault="005904ED" w:rsidP="005904ED">
      <w:pPr>
        <w:pStyle w:val="NormalHanging12a"/>
        <w:ind w:left="567" w:hanging="570"/>
      </w:pPr>
      <w:r w:rsidRPr="00D202D8">
        <w:t>7.</w:t>
      </w:r>
      <w:r w:rsidRPr="00D202D8">
        <w:tab/>
      </w:r>
      <w:r w:rsidR="00E42540" w:rsidRPr="00D202D8">
        <w:t xml:space="preserve">τονίζει ότι τα ανεπαρκή δεδομένα σχετικά με την πραγματική φορολογική επιβάρυνση σε ολόκληρο τον χρηματοπιστωτικό τομέα της ΕΕ παρεμποδίζουν την τεκμηριωμένη χάραξη πολιτικής και την αξιολόγηση των επιπτώσεων της πολιτικής στη συμπεριφορά της αγοράς, τον ανταγωνισμό και τη χρηματοπιστωτική σταθερότητα· υπογραμμίζει την </w:t>
      </w:r>
      <w:r w:rsidR="00E42540" w:rsidRPr="00D202D8">
        <w:lastRenderedPageBreak/>
        <w:t xml:space="preserve">ανάγκη βελτίωσης της διαφάνειας και </w:t>
      </w:r>
      <w:r w:rsidR="00D275E4" w:rsidRPr="00D275E4">
        <w:t>καλύτερης χρήσης των υφιστάμενων</w:t>
      </w:r>
      <w:r w:rsidR="00E42540" w:rsidRPr="00D202D8">
        <w:t xml:space="preserve"> δεδομένων ως προϋπόθεση για τη συνεκτική μεταρρύθμιση της φορολογίας του χρηματοπιστωτικού τομέα·</w:t>
      </w:r>
    </w:p>
    <w:p w14:paraId="732E6CF8" w14:textId="16BF0298" w:rsidR="00E42540" w:rsidRPr="00D202D8" w:rsidRDefault="005904ED" w:rsidP="005904ED">
      <w:pPr>
        <w:pStyle w:val="NormalHanging12a"/>
        <w:ind w:left="567" w:hanging="570"/>
      </w:pPr>
      <w:r w:rsidRPr="00D202D8">
        <w:t>8.</w:t>
      </w:r>
      <w:r w:rsidRPr="00D202D8">
        <w:tab/>
      </w:r>
      <w:r w:rsidR="00E42540" w:rsidRPr="00D202D8">
        <w:t>τονίζει ότι η άρση των φορολογικών φραγμών στις διασυνοριακές επενδύσεις μέσω συνεκτικών κανόνων σε επίπεδο ΕΕ θα μειώσει το κόστος συμμόρφωσης, θα βελτιώσει την αποδοτικότητα της αγοράς, θα αυξήσει τη νομική σαφήνεια για τις διασυνοριακές ροές κεφαλαίων και θα ενισχύσει την ανταγωνιστικότητα των χρηματοπιστωτικών υπηρεσιών της ΕΕ, περιορίζοντας παράλληλα τη φοροδιαφυγή και τον επιθετικό φορολογικό σχεδιασμό· τονίζει την ανάγκη για ένα συνεκτικό σύνολο κανόνων για τον χρηματοπιστωτικό τομέα της ΕΕ, με παράλληλο σεβασμό της φορολογικής κυριαρχίας των κρατών μελών και της αρχής της επικουρικότητας· τονίζει ότι η φορολόγηση των χρηματοπιστωτικών υπηρεσιών θα πρέπει να συμβάλλει στη διατήρηση της ανταγωνιστικότητας του χρηματοπιστωτικού τομέα·</w:t>
      </w:r>
    </w:p>
    <w:p w14:paraId="571757AF" w14:textId="39A5551D" w:rsidR="00E42540" w:rsidRPr="00D202D8" w:rsidRDefault="005904ED" w:rsidP="005904ED">
      <w:pPr>
        <w:pStyle w:val="NormalHanging12a"/>
        <w:ind w:left="567" w:hanging="570"/>
      </w:pPr>
      <w:r w:rsidRPr="00D202D8">
        <w:t>9.</w:t>
      </w:r>
      <w:r w:rsidRPr="00D202D8">
        <w:tab/>
      </w:r>
      <w:r w:rsidR="00E42540" w:rsidRPr="00D202D8">
        <w:t>σημειώνει ότι, σύμφωνα με την ευρωπαϊκή μακροοικονομική έκθεση της Επιτροπής για το 2026</w:t>
      </w:r>
      <w:r w:rsidR="000809B6">
        <w:rPr>
          <w:rStyle w:val="FootnoteReference"/>
        </w:rPr>
        <w:footnoteReference w:id="9"/>
      </w:r>
      <w:r w:rsidR="00E42540" w:rsidRPr="00D202D8">
        <w:t>, το ποσοστό αποταμίευσης των νοικοκυριών στην ΕΕ παραμένει πολύ πάνω από τον μέσο όρο των χωρών του Οργανισμού Οικονομικής Συνεργασίας και Ανάπτυξης· εκφράζει τη λύπη του για το γεγονός ότι περίπου το ένα τρίτο αυτών των αποταμιεύσεων επενδύονται εκτός της ΕΕ, γεγονός που καταδεικνύει τις ελλείψεις του δημοσιονομικού πλαισίου της ΕΕ όσον αφορά τη διατήρηση των επενδύσεων· καλεί την Επιτροπή να αξιολογήσει με ποιο τρόπο τα φορολογικά μέτρα μπορούν να ενθαρρύνουν τη ροή επενδύσεων προς την οικονομία της ΕΕ· υπογραμμίζει τη σημασία της αποθάρρυνσης των χρηματοοικονομικών εκροών προς χώρες που περιλαμβάνονται στον ενωσιακό κατάλογο μη συνεργάσιμων περιοχών φορολογικής δικαιοδοσίας·</w:t>
      </w:r>
    </w:p>
    <w:p w14:paraId="358BBC80" w14:textId="603DB067" w:rsidR="00E42540" w:rsidRPr="00D202D8" w:rsidRDefault="005904ED" w:rsidP="005904ED">
      <w:pPr>
        <w:pStyle w:val="NormalHanging12a"/>
        <w:ind w:left="567" w:hanging="570"/>
      </w:pPr>
      <w:r w:rsidRPr="00D202D8">
        <w:t>10.</w:t>
      </w:r>
      <w:r w:rsidRPr="00D202D8">
        <w:tab/>
      </w:r>
      <w:r w:rsidR="00E42540" w:rsidRPr="00D202D8">
        <w:t>υπογραμμίζει τη σημασία της προώθησης της SIU για την κινητοποίηση αποταμιεύσεων για παραγωγικές επενδύσεις· θεωρεί ότι η μείωση του φορολογικού κατακερματισμού και η βελτίωση των διασυνοριακών επενδυτικών διαύλων είναι καίριας σημασίας για την κινητοποίηση των ευρωπαϊκών αποταμιεύσεων για επενδύσεις εντός της ΕΕ·</w:t>
      </w:r>
    </w:p>
    <w:p w14:paraId="4CCB51DE" w14:textId="11FE34D6" w:rsidR="00E42540" w:rsidRPr="00D202D8" w:rsidRDefault="005904ED" w:rsidP="005904ED">
      <w:pPr>
        <w:pStyle w:val="NormalHanging12a"/>
        <w:ind w:left="567" w:hanging="570"/>
      </w:pPr>
      <w:r w:rsidRPr="00D202D8">
        <w:t>11.</w:t>
      </w:r>
      <w:r w:rsidRPr="00D202D8">
        <w:tab/>
      </w:r>
      <w:r w:rsidR="00E42540" w:rsidRPr="00D202D8">
        <w:t>τονίζει ότι ένα φορολογικό πλαίσιο για τις χρηματοπιστωτικές υπηρεσίες θα πρέπει να σχεδιαστεί παράλληλα με τους στόχους της SIU και, ταυτόχρονα, να εστιάζει στην αύξηση της αποδοτικότητας, στην αντιμετώπιση των στρεβλώσεων της αγοράς και στην προώθηση των επενδύσεων και της μακροπρόθεσμης ανάπτυξης, διασφαλίζοντας παράλληλα μια ισορροπημένη προσέγγιση που να αντικατοπτρίζει μεταξύ άλλων ευρύτερες οικονομικές και κοινωνικές παραμέτρους·</w:t>
      </w:r>
    </w:p>
    <w:p w14:paraId="2F10838C" w14:textId="01115BDF" w:rsidR="00E42540" w:rsidRPr="00D202D8" w:rsidRDefault="005904ED" w:rsidP="005904ED">
      <w:pPr>
        <w:pStyle w:val="NormalHanging12a"/>
        <w:ind w:left="567" w:hanging="570"/>
      </w:pPr>
      <w:r w:rsidRPr="00D202D8">
        <w:t>12.</w:t>
      </w:r>
      <w:r w:rsidRPr="00D202D8">
        <w:tab/>
      </w:r>
      <w:r w:rsidR="00E42540" w:rsidRPr="00D202D8">
        <w:t>σημειώνει ότι η φορολόγηση του χρηματοπιστωτικού τομέα θα πρέπει να διέπεται από τις αρχές της απλότητας, της ουδετερότητας, της δικαιοσύνης, της οικονομικής, περιβαλλοντικής και κοινωνικής βιωσιμότητας και της ασφάλειας δικαίου· σημειώνει ότι θα πρέπει επίσης να αντικατοπτρίζει την κυκλική δυναμική της κερδοφορίας των τραπεζών που συνδέεται με τη νομισματική πολιτική και τις οικονομικές συνθήκες·</w:t>
      </w:r>
    </w:p>
    <w:p w14:paraId="279359CB" w14:textId="02A14CF1" w:rsidR="00E42540" w:rsidRPr="00D202D8" w:rsidRDefault="005904ED" w:rsidP="005904ED">
      <w:pPr>
        <w:pStyle w:val="NormalHanging12a"/>
        <w:ind w:left="567" w:hanging="570"/>
      </w:pPr>
      <w:r w:rsidRPr="00D202D8">
        <w:t>13.</w:t>
      </w:r>
      <w:r w:rsidRPr="00D202D8">
        <w:tab/>
      </w:r>
      <w:r w:rsidR="00E42540" w:rsidRPr="00D202D8">
        <w:t>καλεί την Επιτροπή να τηρήσει τη δέσμευσή της να προτείνει καινοτόμες λύσεις για τη φορολόγηση του τομέα που να μειώνουν τον κατακερματισμό, να υποστηρίζουν την περαιτέρω ολοκλήρωση σε επίπεδο ΕΕ και να συμβάλλουν στην ολοκλήρωση της SIU·</w:t>
      </w:r>
    </w:p>
    <w:p w14:paraId="5AE8829B" w14:textId="77777777" w:rsidR="00E42540" w:rsidRPr="00D202D8" w:rsidRDefault="00E42540" w:rsidP="00E42540">
      <w:pPr>
        <w:pStyle w:val="Normal12a"/>
      </w:pPr>
      <w:r w:rsidRPr="00D202D8">
        <w:rPr>
          <w:b/>
          <w:i/>
        </w:rPr>
        <w:lastRenderedPageBreak/>
        <w:t>Εξέταση του καθεστώτος ΦΠΑ για τις χρηματοπιστωτικές υπηρεσίες</w:t>
      </w:r>
    </w:p>
    <w:p w14:paraId="24E7678D" w14:textId="10BECBE8" w:rsidR="00E42540" w:rsidRPr="00D202D8" w:rsidRDefault="005904ED" w:rsidP="005904ED">
      <w:pPr>
        <w:pStyle w:val="NormalHanging12a"/>
        <w:ind w:left="567" w:hanging="570"/>
      </w:pPr>
      <w:r w:rsidRPr="00D202D8">
        <w:t>14.</w:t>
      </w:r>
      <w:r w:rsidRPr="00D202D8">
        <w:tab/>
      </w:r>
      <w:r w:rsidR="00E42540" w:rsidRPr="00D202D8">
        <w:t>σημειώνει ότι η απαλλαγή των χρηματοπιστωτικών υπηρεσιών από τον ΦΠΑ ανάγεται χρονικά στο 1977 και εξυπηρετεί την αποφυγή των τεχνικών δυσκολιών που συνεπάγεται η εφαρμογή του ΦΠΑ σε σύνθετες χρηματοπιστωτικές δραστηριότητες, η οποία θεωρείτο διοικητικά ανέφικτη· αναγνωρίζει ότι η αρχική τεχνική αιτιολόγηση για την απαλλαγή από τον ΦΠΑ θα μπορούσε πλέον να αντιμετωπιστεί με τη βοήθεια της τεχνολογικής προόδου και της ψηφιοποίησης·</w:t>
      </w:r>
    </w:p>
    <w:p w14:paraId="5C7C4DA2" w14:textId="52AEA362" w:rsidR="00E42540" w:rsidRPr="00D202D8" w:rsidRDefault="005904ED" w:rsidP="005904ED">
      <w:pPr>
        <w:pStyle w:val="NormalHanging12a"/>
        <w:ind w:left="567" w:hanging="570"/>
      </w:pPr>
      <w:r w:rsidRPr="00D202D8">
        <w:t>15.</w:t>
      </w:r>
      <w:r w:rsidRPr="00D202D8">
        <w:tab/>
      </w:r>
      <w:r w:rsidR="00E42540" w:rsidRPr="00D202D8">
        <w:t xml:space="preserve">παρατηρεί ότι η απαλλαγή δεν συνιστά κατ’ ανάγκη πλεονέκτημα για τα χρηματοπιστωτικά ιδρύματα, καθώς τα εμποδίζει να ανακτήσουν τον ΦΠΑ· είναι της άποψης ότι η υφιστάμενη κατάσταση διαιωνίζει τις στρεβλώσεις της αγοράς, μπορεί να δημιουργήσει έλλειψη διαφάνειας και να αυξήσει το κόστος για τους καταναλωτές, ενισχύει τη μεροληψία υπέρ του </w:t>
      </w:r>
      <w:proofErr w:type="spellStart"/>
      <w:r w:rsidR="00E42540" w:rsidRPr="00D202D8">
        <w:t>αυτοεφοδιασμού</w:t>
      </w:r>
      <w:proofErr w:type="spellEnd"/>
      <w:r w:rsidR="00E42540" w:rsidRPr="00D202D8">
        <w:t xml:space="preserve"> στον χρηματοπιστωτικό τομέα και δημιουργεί ανταγωνιστικά μειονεκτήματα σε σύγκριση με ιδρύματα από τρίτες χώρες·</w:t>
      </w:r>
    </w:p>
    <w:p w14:paraId="27BB2FA5" w14:textId="19EA759C" w:rsidR="00E42540" w:rsidRPr="00D202D8" w:rsidRDefault="005904ED" w:rsidP="005904ED">
      <w:pPr>
        <w:pStyle w:val="NormalHanging12a"/>
        <w:ind w:left="567" w:hanging="570"/>
      </w:pPr>
      <w:r w:rsidRPr="00D202D8">
        <w:t>16.</w:t>
      </w:r>
      <w:r w:rsidRPr="00D202D8">
        <w:tab/>
      </w:r>
      <w:r w:rsidR="00E42540" w:rsidRPr="00D202D8">
        <w:t xml:space="preserve">τονίζει ότι οι απαλλαγές από τον ΦΠΑ χορηγούνται συχνά σε δραστηριότητες γενικού συμφέροντος ως αναγνώριση της σημαντικής κοινωνικής λειτουργίας τους· υπογραμμίζει ότι ορισμένες βασικές χρηματοπιστωτικές υπηρεσίες —ιδίως οι υπηρεσίες πληρωμών, αποδοχής καταθέσεων και παροχής βασικών πιστώσεων— μπορούν να επιτελέσουν συγκρίσιμη λειτουργία </w:t>
      </w:r>
      <w:proofErr w:type="spellStart"/>
      <w:r w:rsidR="00E42540" w:rsidRPr="00D202D8">
        <w:t>οιονεί</w:t>
      </w:r>
      <w:proofErr w:type="spellEnd"/>
      <w:r w:rsidR="00E42540" w:rsidRPr="00D202D8">
        <w:t xml:space="preserve"> δημόσιας ωφέλειας διασφαλίζοντας τις αποταμιεύσεις, διευκολύνοντας τις οικονομικές συναλλαγές και διασφαλίζοντας την ασφαλή συμμετοχή ανθρώπων και επιχειρήσεων στην οικονομία·</w:t>
      </w:r>
    </w:p>
    <w:p w14:paraId="531FA714" w14:textId="3ECEADB3" w:rsidR="00E42540" w:rsidRPr="00D202D8" w:rsidRDefault="005904ED" w:rsidP="005904ED">
      <w:pPr>
        <w:pStyle w:val="NormalHanging12a"/>
        <w:ind w:left="567" w:hanging="570"/>
      </w:pPr>
      <w:r w:rsidRPr="00D202D8">
        <w:t>17.</w:t>
      </w:r>
      <w:r w:rsidRPr="00D202D8">
        <w:tab/>
      </w:r>
      <w:r w:rsidR="00E42540" w:rsidRPr="00D202D8">
        <w:t>σημειώνει ότι οι επανειλημμένες πρωτοβουλίες της Επιτροπής, συμπεριλαμβανομένων των προτάσεων του 2007 και της αρχικής εκτίμησης επιπτώσεων του 2020, δεν οδήγησαν σε μεταρρύθμιση της απαλλαγής του χρηματοπιστωτικού τομέα από τον ΦΠΑ, διότι τα κράτη μέλη δεν κατάφεραν να επιτύχουν ομόφωνη συμφωνία· σημειώνει ότι, η Επιτροπή σκόπευε ήδη στις αρχές του 2023 να δημοσιεύσει τροποποιήσεις της οδηγίας για τον ΦΠΑ</w:t>
      </w:r>
      <w:r w:rsidR="000809B6">
        <w:rPr>
          <w:rStyle w:val="FootnoteReference"/>
        </w:rPr>
        <w:footnoteReference w:id="10"/>
      </w:r>
      <w:r w:rsidR="00E42540" w:rsidRPr="00D202D8">
        <w:t>· παρατηρεί ότι τα σχέδια αυτά παρέμειναν στάσιμα, με αποτέλεσμα να εκκρεμεί ακόμη αυτή η ουσιαστική μεταρρύθμιση·</w:t>
      </w:r>
    </w:p>
    <w:p w14:paraId="005997D1" w14:textId="3F0F08BA" w:rsidR="00E42540" w:rsidRPr="00D202D8" w:rsidRDefault="005904ED" w:rsidP="005904ED">
      <w:pPr>
        <w:pStyle w:val="NormalHanging12a"/>
        <w:ind w:left="567" w:hanging="570"/>
      </w:pPr>
      <w:r w:rsidRPr="00D202D8">
        <w:t>18.</w:t>
      </w:r>
      <w:r w:rsidRPr="00D202D8">
        <w:tab/>
      </w:r>
      <w:r w:rsidR="00E42540" w:rsidRPr="00D202D8">
        <w:t>σημειώνει ότι, σύμφωνα με το άρθρο 11 της οδηγίας για τον ΦΠΑ, η ομαδοποίηση του ΦΠΑ παραμένει προαιρετική για τα κράτη μέλη και περιορίζεται από εδαφικούς περιορισμούς, δημιουργώντας νομικά και πρακτικά εμπόδια για τους διασυνοριακούς ομίλους που δραστηριοποιούνται στον τομέα των χρηματοπιστωτικών υπηρεσιών·</w:t>
      </w:r>
    </w:p>
    <w:p w14:paraId="0821CF79" w14:textId="26CDC519" w:rsidR="00E42540" w:rsidRPr="00D202D8" w:rsidRDefault="005904ED" w:rsidP="005904ED">
      <w:pPr>
        <w:pStyle w:val="NormalHanging12a"/>
        <w:ind w:left="567" w:hanging="570"/>
      </w:pPr>
      <w:r w:rsidRPr="00D202D8">
        <w:t>19.</w:t>
      </w:r>
      <w:r w:rsidRPr="00D202D8">
        <w:tab/>
      </w:r>
      <w:r w:rsidR="00E42540" w:rsidRPr="00D202D8">
        <w:t xml:space="preserve">τονίζει ότι, παρά τη χρήση ρυθμίσεων ομαδοποίησης του ΦΠΑ και επιμερισμού του κόστους σε ορισμένα κράτη μέλη, η απαλλαγή από τον ΦΠΑ, σε συνδυασμό με τους διαφορετικούς αντισταθμιστικούς εθνικούς φορολογικούς κανόνες, όπως οι εθνικοί φόροι επί των ασφαλίστρων, δημιουργεί ένα πολύπλοκο και κατακερματισμένο φορολογικό τοπίο, καθιστώντας τη διασυνοριακή φορολογική συμμόρφωση δαπανηρή και αυξάνοντας τις λειτουργικές δαπάνες των επιχειρήσεων· τονίζει ότι απαιτούνται σαφέστεροι ορισμοί και απλουστευμένοι κανόνες ΦΠΑ με σκοπό τη μείωση αυτών των επιβαρύνσεων, τη διασφάλιση της συνεπούς εφαρμογής των κανόνων σε ολόκληρη την </w:t>
      </w:r>
      <w:r w:rsidR="00E42540" w:rsidRPr="00D202D8">
        <w:lastRenderedPageBreak/>
        <w:t>ΕΕ, τη διευκόλυνση των διασυνοριακών δραστηριοτήτων και τη στήριξη της καινοτομίας·</w:t>
      </w:r>
    </w:p>
    <w:p w14:paraId="1420FE52" w14:textId="1502C860" w:rsidR="00E42540" w:rsidRPr="00D202D8" w:rsidRDefault="005904ED" w:rsidP="005904ED">
      <w:pPr>
        <w:pStyle w:val="NormalHanging12a"/>
        <w:ind w:left="567" w:hanging="570"/>
      </w:pPr>
      <w:r w:rsidRPr="00D202D8">
        <w:t>20.</w:t>
      </w:r>
      <w:r w:rsidRPr="00D202D8">
        <w:tab/>
      </w:r>
      <w:r w:rsidR="00E42540" w:rsidRPr="00D202D8">
        <w:t>σημειώνει ότι η ομαδοποίηση του ΦΠΑ, η οποία μπορεί να μειώσει τον διοικητικό φόρτο και να βελτιώσει την αποτελεσματικότητα των χρηματοπιστωτικών ιδρυμάτων, εφαρμόζεται επί του παρόντος ανομοιόμορφα μεταξύ των κρατών μελών και γενικά περιορίζεται σε οντότητες που είναι εγκατεστημένες σε ένα μόνο κράτος μέλος· επισημαίνει ότι η μεγαλύτερη σύγκλιση στην εφαρμογή της ομαδοποίησης του ΦΠΑ θα μπορούσε να μειώσει τον κατακερματισμό και την ανασφάλεια δικαίου στην εσωτερική αγορά και να διευκολύνει τη διασυνοριακή δραστηριότητα παροχής χρηματοπιστωτικών υπηρεσιών·</w:t>
      </w:r>
    </w:p>
    <w:p w14:paraId="50C95BD5" w14:textId="1A6AF9ED" w:rsidR="00E42540" w:rsidRPr="00D202D8" w:rsidRDefault="005904ED" w:rsidP="005904ED">
      <w:pPr>
        <w:pStyle w:val="NormalHanging12a"/>
        <w:ind w:left="567" w:hanging="570"/>
      </w:pPr>
      <w:r w:rsidRPr="00D202D8">
        <w:t>21.</w:t>
      </w:r>
      <w:r w:rsidRPr="00D202D8">
        <w:tab/>
      </w:r>
      <w:r w:rsidR="00E42540" w:rsidRPr="00D202D8">
        <w:t>καλεί την Επιτροπή να ενθαρρύνει τα κράτη μέλη να εφαρμόσουν την ομαδοποίηση του ΦΠΑ με συνεκτικό τρόπο και να διερευνήσει επιλογές για ένα σαφέστερο νομικό πλαίσιο, συμπεριλαμβανομένης της δυνατότητας διασυνοριακής ομαδοποίησης του ΦΠΑ· τονίζει ότι η ευρύτερη χρήση της ομαδοποίησης του ΦΠΑ για τις χρηματοπιστωτικές και ασφαλιστικές υπηρεσίες πρέπει να συνάδει με τους κανόνες φορολογίας των εταιρειών και, ιδίως, με εκείνους που αφορούν τη μεταβιβαστική τιμολόγηση, ενώ πρέπει επίσης να συνοδεύεται από δεσμευτικές διασφαλίσεις κατά των καταχρήσεων για την πρόληψη της απάτης και της φοροαποφυγής, της διαρροής ΦΠΑ εντός του ομίλου και της κατάχρησης του επιμερισμού του κόστους·</w:t>
      </w:r>
    </w:p>
    <w:p w14:paraId="57D4D2FB" w14:textId="16DF952F" w:rsidR="00E42540" w:rsidRPr="00D202D8" w:rsidRDefault="005904ED" w:rsidP="005904ED">
      <w:pPr>
        <w:pStyle w:val="NormalHanging12a"/>
        <w:ind w:left="567" w:hanging="570"/>
      </w:pPr>
      <w:r w:rsidRPr="00D202D8">
        <w:t>22.</w:t>
      </w:r>
      <w:r w:rsidRPr="00D202D8">
        <w:tab/>
      </w:r>
      <w:r w:rsidR="00E42540" w:rsidRPr="00D202D8">
        <w:t>σημειώνει ότι η οδηγία για τον ΦΠΑ δεν περιλαμβάνει ειδικές διατάξεις για τα αναδυόμενα χρηματοπιστωτικά μέσα, συμπεριλαμβανομένων των κρυπτοστοιχείων, της αποκεντρωμένης χρηματοδότησης και της χρηματοοικονομικής τεχνολογίας· επισημαίνει ότι, επιπλέον, η οδηγία δεν αντιμετωπίζει τη μεταχείριση των παραγώγων από πλευράς ΦΠΑ και ότι η μεταχείριση των επενδυτικών κεφαλαίων εξακολουθεί να διαφέρει μεταξύ των κρατών μελών· σημειώνει ότι το γεγονός αυτό έχει οδηγήσει σε αποκλίνουσες εθνικές ερμηνείες των κανόνων ΦΠΑ, σε ανασφάλεια δικαίου για τους παρόχους υπηρεσιών και σε άνιση μεταχείριση μεταξύ παραδοσιακών και νέων χρηματοπιστωτικών υπηρεσιών και ενέχει τον κίνδυνο να παρεμποδιστούν η καινοτομία και η ανταγωνιστικότητα·</w:t>
      </w:r>
    </w:p>
    <w:p w14:paraId="1AAECC31" w14:textId="783B52AC" w:rsidR="00E42540" w:rsidRPr="00D202D8" w:rsidRDefault="005904ED" w:rsidP="005904ED">
      <w:pPr>
        <w:pStyle w:val="NormalHanging12a"/>
        <w:ind w:left="567" w:hanging="570"/>
      </w:pPr>
      <w:r w:rsidRPr="00D202D8">
        <w:t>23.</w:t>
      </w:r>
      <w:r w:rsidRPr="00D202D8">
        <w:tab/>
      </w:r>
      <w:r w:rsidR="00E42540" w:rsidRPr="00D202D8">
        <w:t>τονίζει ότι ένα σύγχρονο φορολογικό πλαίσιο θα πρέπει να στηρίζει την καινοτομία στον τομέα της χρηματοοικονομικής τεχνολογίας και του ψηφιακού χρηματοοικονομικού τομέα και να αποτρέπει τη δημιουργία ρυθμιστικών αντικινήτρων για τους νεοεισερχόμενους στην αγορά· καλεί την Επιτροπή να αποσαφηνίσει τη μεταχείριση των αναδυόμενων χρηματοπιστωτικών υπηρεσιών όσον αφορά τον ΦΠΑ, προκειμένου να διασφαλιστούν η τεχνολογική ουδετερότητα και ισότιμοι όροι ανταγωνισμού σε ολόκληρη την ΕΕ·</w:t>
      </w:r>
    </w:p>
    <w:p w14:paraId="3EDC2195" w14:textId="75667FA2" w:rsidR="00E42540" w:rsidRPr="00D202D8" w:rsidRDefault="005904ED" w:rsidP="005904ED">
      <w:pPr>
        <w:pStyle w:val="NormalHanging12a"/>
        <w:ind w:left="567" w:hanging="570"/>
      </w:pPr>
      <w:r w:rsidRPr="00D202D8">
        <w:t>24.</w:t>
      </w:r>
      <w:r w:rsidRPr="00D202D8">
        <w:tab/>
      </w:r>
      <w:r w:rsidR="00E42540" w:rsidRPr="00D202D8">
        <w:t xml:space="preserve">θεωρεί ότι μια ευρεία και μη διαφοροποιημένη απαλλαγή από τον ΦΠΑ για ολόκληρο τον χρηματοπιστωτικό τομέα εγείρει ερωτήματα σχετικά με τη συνολική συνοχή και ισορροπία του φορολογικού συστήματος· υπογραμμίζει ότι η μεταρρύθμιση της απαλλαγής από τον ΦΠΑ θα μπορούσε να μειώσει τις στρεβλώσεις και το επίπεδο του μη ανακτήσιμου ΦΠΑ χωρίς να δημιουργήσει δυσανάλογη διοικητική πολυπλοκότητα· σημειώνει ότι οι επιλογές για την κατάργηση της απαλλαγής από τον ΦΠΑ θα μπορούσαν να εξαλείψουν αποτελεσματικά τον μη ανακτήσιμο ΦΠΑ επιτρέποντας στις χρηματοπιστωτικές εταιρείες να ανακτούν πλήρως τον ΦΠΑ που καταβάλλουν για αγαθά και υπηρεσίες που χρησιμοποιούνται στις δραστηριότητές τους· υπογραμμίζει ότι με αυτόν τον τρόπο θα εξαλειφθεί η σημερινή προκατάληψη όσον αφορά την </w:t>
      </w:r>
      <w:r w:rsidR="00E42540" w:rsidRPr="00D202D8">
        <w:lastRenderedPageBreak/>
        <w:t>εσωτερική ανάθεση υπηρεσιών αντί της εξωτερικής ανάθεσης, η οποία μπορεί να περιορίσει την ικανότητα μιας εταιρείας να ειδικεύεται, να έχει πρόσβαση σε εξωτερική εμπειρογνωσία και να καινοτομεί· αναγνωρίζει ότι η μεταρρύθμιση αυτή θα μπορούσε επίσης να εξασφαλίσει ισότιμους όρους ανταγωνισμού όσον αφορά άλλες δικαιοδοσίες και να ενισχύσει τη διεθνή ανταγωνιστικότητα των χρηματοπιστωτικών ιδρυμάτων της ΕΕ·</w:t>
      </w:r>
    </w:p>
    <w:p w14:paraId="1E012A4C" w14:textId="55F6BABB" w:rsidR="00E42540" w:rsidRPr="00D202D8" w:rsidRDefault="005904ED" w:rsidP="005904ED">
      <w:pPr>
        <w:pStyle w:val="NormalHanging12a"/>
        <w:ind w:left="567" w:hanging="570"/>
      </w:pPr>
      <w:r w:rsidRPr="00D202D8">
        <w:t>25.</w:t>
      </w:r>
      <w:r w:rsidRPr="00D202D8">
        <w:tab/>
      </w:r>
      <w:r w:rsidR="00E42540" w:rsidRPr="00D202D8">
        <w:t>υπενθυμίζει ότι ο ΦΠΑ είναι ένα εναρμονισμένο φορολογικό πλαίσιο σε επίπεδο ΕΕ, παρόλο που τα κράτη μέλη διατηρούν κάποια περιθώρια ευελιξίας όσον αφορά την εφαρμογή του· αναγνωρίζει, ως εκ τούτου, ότι η μεταρρύθμιση του συστήματος ΦΠΑ για τις χρηματοπιστωτικές υπηρεσίες θα πρέπει να αντιμετωπιστεί σε επίπεδο ΕΕ·</w:t>
      </w:r>
    </w:p>
    <w:p w14:paraId="2DC05EEE" w14:textId="3F87C0A8" w:rsidR="00E42540" w:rsidRPr="00D202D8" w:rsidRDefault="005904ED" w:rsidP="005904ED">
      <w:pPr>
        <w:pStyle w:val="NormalHanging12a"/>
        <w:ind w:left="567" w:hanging="570"/>
      </w:pPr>
      <w:r w:rsidRPr="00D202D8">
        <w:t>26.</w:t>
      </w:r>
      <w:r w:rsidRPr="00D202D8">
        <w:tab/>
      </w:r>
      <w:r w:rsidR="00E42540" w:rsidRPr="00D202D8">
        <w:t>καλεί την Επιτροπή να επανεξετάσει τις επιπτώσεις του ισχύοντος καθεστώτος ΦΠΑ στον χρηματοπιστωτικό τομέα και να κοινοποιήσει δημοσίως την ανάλυση αυτή· καλεί την Επιτροπή να εξετάσει επιλογές πολιτικής για την αντιμετώπιση των διαπιστωμένων στρεβλωτικών επιπτώσεων· τονίζει ότι οποιαδήποτε τέτοια μεταρρύθμιση θα πρέπει να μειώσει τον μη ανακτήσιμο ΦΠΑ και την κατακερματισμένη εφαρμογή των κανόνων, να βελτιώσει την ασφάλεια δικαίου και τη φορολογική δικαιοσύνη και να ενισχύσει την ανταγωνιστικότητα των χρηματοπιστωτικών αγορών της ΕΕ, διασφαλίζοντας παράλληλα τη χρηματοπιστωτική σταθερότητα και ελαχιστοποιώντας το ρυθμιστικό αρμπιτράζ μεταξύ των κρατών μελών· τονίζει ότι οποιαδήποτε τέτοια μεταρρύθμιση πρέπει επίσης να προστατεύει τους καταναλωτές και να συνεχίσει να διασφαλίζει ότι ο χρηματοπιστωτικός τομέας συμβάλλει δίκαια στα δημόσια έσοδα·</w:t>
      </w:r>
    </w:p>
    <w:p w14:paraId="4806A894" w14:textId="5BE3718B" w:rsidR="00E42540" w:rsidRPr="00D202D8" w:rsidRDefault="005904ED" w:rsidP="005904ED">
      <w:pPr>
        <w:pStyle w:val="NormalHanging12a"/>
        <w:ind w:left="567" w:hanging="570"/>
      </w:pPr>
      <w:r w:rsidRPr="00D202D8">
        <w:t>27.</w:t>
      </w:r>
      <w:r w:rsidRPr="00D202D8">
        <w:tab/>
      </w:r>
      <w:r w:rsidR="00E42540" w:rsidRPr="00D202D8">
        <w:t>σημειώνει ότι οποιαδήποτε πρόταση αναθεώρησης του πλαισίου ΦΠΑ θα πρέπει να βασίζεται σε διεξοδική ανάλυση σε μακροοικονομικό επίπεδο και σε ολοκληρωμένη χαρτογράφηση των εθνικών τραπεζικών φόρων και εισφορών· τονίζει ότι η ανάλυση αυτή θα πρέπει να λαμβάνει υπόψη τις διοικητικές επιπτώσεις για τις χρηματοπιστωτικές υπηρεσίες, την αλληλεπίδραση μεταξύ των υφιστάμενων εθνικών τραπεζικών φόρων, των εισφορών του χρηματοπιστωτικού τομέα και του συστήματος ΦΠΑ, καθώς και τον αντίκτυπο στην ενιαία αγορά·</w:t>
      </w:r>
    </w:p>
    <w:p w14:paraId="427E009F" w14:textId="3906FB4C" w:rsidR="00E42540" w:rsidRPr="00D202D8" w:rsidRDefault="005904ED" w:rsidP="005904ED">
      <w:pPr>
        <w:pStyle w:val="NormalHanging12a"/>
        <w:ind w:left="567" w:hanging="570"/>
      </w:pPr>
      <w:r w:rsidRPr="00D202D8">
        <w:t>28.</w:t>
      </w:r>
      <w:r w:rsidRPr="00D202D8">
        <w:tab/>
      </w:r>
      <w:r w:rsidR="00E42540" w:rsidRPr="00D202D8">
        <w:t>υπογραμμίζει ότι στο πλαίσιο κάθε αλλαγής στη μεταχείριση των χρηματοπιστωτικών υπηρεσιών όσον αφορά τον ΦΠΑ πρέπει να αξιολογείται προσεκτικά ο αντίκτυπος στις υπηρεσίες που παρέχονται στους καταναλωτές λιανικής, ιδίως στα νοικοκυριά χαμηλού και μεσαίου εισοδήματος, και να αποφεύγεται κάθε πρόσθετο συνολικό κόστος·</w:t>
      </w:r>
    </w:p>
    <w:p w14:paraId="76EA98D8" w14:textId="7FC4B955" w:rsidR="00E42540" w:rsidRPr="00D202D8" w:rsidRDefault="005904ED" w:rsidP="005904ED">
      <w:pPr>
        <w:pStyle w:val="NormalHanging12a"/>
        <w:ind w:left="567" w:hanging="570"/>
      </w:pPr>
      <w:r w:rsidRPr="00D202D8">
        <w:t>29.</w:t>
      </w:r>
      <w:r w:rsidRPr="00D202D8">
        <w:tab/>
      </w:r>
      <w:r w:rsidR="00E42540" w:rsidRPr="00D202D8">
        <w:t>καλεί την Επιτροπή, στο πλαίσιο μιας πιθανής μεταρρύθμισης της απαλλαγής από τον ΦΠΑ, να αξιολογήσει τη σκοπιμότητα της αντικατάστασης των εθνικών φόρων επί των ασφαλίστρων με την πλήρη ενσωμάτωση των ασφαλιστικών υπηρεσιών στο σύστημα ΦΠΑ·</w:t>
      </w:r>
    </w:p>
    <w:p w14:paraId="20F68271" w14:textId="77777777" w:rsidR="00E42540" w:rsidRPr="00D202D8" w:rsidRDefault="00E42540" w:rsidP="00E42540">
      <w:pPr>
        <w:pStyle w:val="Normal12a"/>
      </w:pPr>
      <w:r w:rsidRPr="00D202D8">
        <w:rPr>
          <w:b/>
          <w:i/>
        </w:rPr>
        <w:t>Προώθηση ενός περισσότερο συνεκτικού φορολογικού πλαισίου για τον χρηματοπιστωτικό τομέα</w:t>
      </w:r>
    </w:p>
    <w:p w14:paraId="2BF6F927" w14:textId="198AE01F" w:rsidR="00E42540" w:rsidRPr="00D202D8" w:rsidRDefault="005904ED" w:rsidP="005904ED">
      <w:pPr>
        <w:pStyle w:val="NormalHanging12a"/>
        <w:ind w:left="567" w:hanging="570"/>
      </w:pPr>
      <w:r w:rsidRPr="00D202D8">
        <w:t>30.</w:t>
      </w:r>
      <w:r w:rsidRPr="00D202D8">
        <w:tab/>
      </w:r>
      <w:r w:rsidR="00E42540" w:rsidRPr="00D202D8">
        <w:t xml:space="preserve">υπενθυμίζει ότι η ΕΕ αντιμετωπίζει σημαντικό επενδυτικό κενό ύψους 750 έως 800 δισεκατομμυρίων EUR ετησίως για την επίτευξη των στόχων της για το κλίμα, την ψηφιακή τεχνολογία και τη στρατηγική αυτονομία· υπενθυμίζει τη δέσμευση των κρατών μελών και της ΕΕ να αυξήσουν σημαντικά τις ευρωπαϊκές επενδύσεις στον τομέα της άμυνας· τονίζει ότι, προκειμένου να αντιμετωπιστούν αυτές οι προκλήσεις, η δίκαιη και πιο συνεκτική φορολόγηση του χρηματοπιστωτικού τομέα θα μπορούσε να </w:t>
      </w:r>
      <w:r w:rsidR="00E42540" w:rsidRPr="00D202D8">
        <w:lastRenderedPageBreak/>
        <w:t>συμβάλει στην κινητοποίηση ιδιωτικών κεφαλαίων, τονώνοντας έτσι τις λιανικές επενδύσεις, και στην ενίσχυση των ευρωπαϊκών κεφαλαιαγορών, με παράλληλη αύξηση των εσόδων για δημόσιες επενδύσεις για στρατηγικές προτεραιότητες, καθώς και για τις κοινωνικές, κλιματικές και επενδυτικές μας ανάγκες, ενισχύοντας έτσι την ανταγωνιστικότητα της ΕΕ·</w:t>
      </w:r>
    </w:p>
    <w:p w14:paraId="3CC10750" w14:textId="75996A2B" w:rsidR="00E42540" w:rsidRPr="00D202D8" w:rsidRDefault="005904ED" w:rsidP="005904ED">
      <w:pPr>
        <w:pStyle w:val="NormalHanging12a"/>
        <w:ind w:left="567" w:hanging="570"/>
      </w:pPr>
      <w:r w:rsidRPr="00D202D8">
        <w:t>31.</w:t>
      </w:r>
      <w:r w:rsidRPr="00D202D8">
        <w:tab/>
      </w:r>
      <w:r w:rsidR="00E42540" w:rsidRPr="00D202D8">
        <w:t>υπενθυμίζει, στο πλαίσιο αυτό, τη συμφωνία του 2020 μεταξύ του Κοινοβουλίου, του Συμβουλίου και της Επιτροπής σχετικά με έναν χάρτη πορείας για την εισαγωγή νέων ιδίων πόρων, συμπεριλαμβανομένου ενός ΦΧΣ με βάση τα αποτελέσματα της εκτίμησης επιπτώσεων·</w:t>
      </w:r>
    </w:p>
    <w:p w14:paraId="5442601A" w14:textId="43999296" w:rsidR="00E42540" w:rsidRPr="00D202D8" w:rsidRDefault="005904ED" w:rsidP="005904ED">
      <w:pPr>
        <w:pStyle w:val="NormalHanging12a"/>
        <w:ind w:left="567" w:hanging="570"/>
      </w:pPr>
      <w:r w:rsidRPr="00D202D8">
        <w:t>32.</w:t>
      </w:r>
      <w:r w:rsidRPr="00D202D8">
        <w:tab/>
      </w:r>
      <w:r w:rsidR="00E42540" w:rsidRPr="00D202D8">
        <w:t>αναγνωρίζει την έλλειψη προόδου όσον αφορά την πρόταση ΦΧΣ στο Συμβούλιο, παρά τις εκτενείς συζητήσεις, με βάση τόσο την ομοφωνία όσο και την ενισχυμένη συνεργασία, και λαμβάνει υπό σημείωση την ανακοίνωση της Επιτροπής σχετικά με την απόσυρση της πρότασης ΦΧΣ στο πρόγραμμα εργασίας της για το 2026·</w:t>
      </w:r>
    </w:p>
    <w:p w14:paraId="116DAFB2" w14:textId="43C6FB0A" w:rsidR="00E42540" w:rsidRPr="00D202D8" w:rsidRDefault="005904ED" w:rsidP="005904ED">
      <w:pPr>
        <w:pStyle w:val="NormalHanging12a"/>
        <w:ind w:left="567" w:hanging="570"/>
      </w:pPr>
      <w:r w:rsidRPr="00D202D8">
        <w:t>33.</w:t>
      </w:r>
      <w:r w:rsidRPr="00D202D8">
        <w:tab/>
      </w:r>
      <w:r w:rsidR="00E42540" w:rsidRPr="00D202D8">
        <w:t>πιστεύει ότι οι τακτικές αξιολογήσεις των οικονομικών επιπτώσεων και της διαρκούς συνάφειας της φορολογικής πολιτικής στον χρηματοπιστωτικό τομέα είναι ζωτικής σημασίας, προκειμένου να αποφευχθούν ακούσιες ή διαρκείς στρεβλώσεις στις χρηματοπιστωτικές αγορές· εκφράζει την ικανοποίησή του για το γεγονός ότι η Επιτροπή διενεργεί ολοκληρωμένη ανάλυση του δυνητικού αντικτύπου της φορολογίας του συνολικού χρηματοπιστωτικού τομέα στη λειτουργία της αγοράς, στις διασυνοριακές επενδύσεις και στην ανταγωνιστικότητα των χρηματοπιστωτικών αγορών της ΕΕ·</w:t>
      </w:r>
    </w:p>
    <w:p w14:paraId="37FA08DF" w14:textId="63977095" w:rsidR="00E42540" w:rsidRPr="00D202D8" w:rsidRDefault="005904ED" w:rsidP="005904ED">
      <w:pPr>
        <w:pStyle w:val="NormalHanging12a"/>
        <w:ind w:left="567" w:hanging="570"/>
      </w:pPr>
      <w:r w:rsidRPr="00D202D8">
        <w:t>34.</w:t>
      </w:r>
      <w:r w:rsidRPr="00D202D8">
        <w:tab/>
      </w:r>
      <w:r w:rsidR="00E42540" w:rsidRPr="00D202D8">
        <w:t>τονίζει ότι οι φορολογικοί κανόνες για τον χρηματοπιστωτικό τομέα θα πρέπει να απλουστευθούν και να διασφαλίζουν τη δίκαιη και υγιή δημοσιονομική συνεισφορά του τομέα, ενώ, επιπλέον, θα πρέπει να είναι σαφείς, διαφανείς και προβλέψιμοι, προκειμένου να μειωθεί ο κατακερματισμός, να διευκολυνθούν οι επενδύσεις και η διασυνοριακή δραστηριότητα και, παράλληλα, να διασφαλιστεί υψηλό επίπεδο προστασίας των καταναλωτών· τονίζει ότι οι κανόνες αυτοί θα πρέπει να βελτιώνουν την αποδοτικότητα και την κατανομή κεφαλαίων, να διασφαλίζουν τη σταθερότητα και την ανταγωνιστικότητα της αγοράς και να μετριάζουν το κόστος συμμόρφωσης, ιδίως για τους καταναλωτές λιανικής και τις μικρές και μεσαίες επιχειρήσεις·</w:t>
      </w:r>
    </w:p>
    <w:p w14:paraId="0E331840" w14:textId="77777777" w:rsidR="00E42540" w:rsidRPr="00D202D8" w:rsidRDefault="00E42540" w:rsidP="00E42540">
      <w:pPr>
        <w:pStyle w:val="NormalCenter12a"/>
      </w:pPr>
      <w:r w:rsidRPr="00D202D8">
        <w:t>°</w:t>
      </w:r>
    </w:p>
    <w:p w14:paraId="5935FC6E" w14:textId="77777777" w:rsidR="00E42540" w:rsidRPr="00D202D8" w:rsidRDefault="00E42540" w:rsidP="00E42540">
      <w:pPr>
        <w:pStyle w:val="NormalCenter12a"/>
      </w:pPr>
      <w:r w:rsidRPr="00D202D8">
        <w:t>°</w:t>
      </w:r>
      <w:r w:rsidRPr="00D202D8">
        <w:tab/>
        <w:t>°</w:t>
      </w:r>
    </w:p>
    <w:p w14:paraId="0721F61C" w14:textId="6C2F09CA" w:rsidR="00D202D8" w:rsidRPr="00D202D8" w:rsidRDefault="005904ED" w:rsidP="005904ED">
      <w:pPr>
        <w:pStyle w:val="NormalHanging12a"/>
        <w:ind w:left="567" w:hanging="570"/>
      </w:pPr>
      <w:r w:rsidRPr="00D202D8">
        <w:t>35.</w:t>
      </w:r>
      <w:r w:rsidRPr="00D202D8">
        <w:tab/>
      </w:r>
      <w:r w:rsidR="00E42540" w:rsidRPr="00D202D8">
        <w:t>αναθέτει στην Πρόεδρό του να διαβιβάσει το παρόν ψήφισμα στο Συμβούλιο και στην Επιτροπή.</w:t>
      </w:r>
    </w:p>
    <w:p w14:paraId="34DCCC3F" w14:textId="0B4F5ACA" w:rsidR="00E365E1" w:rsidRPr="00D202D8" w:rsidRDefault="00E365E1" w:rsidP="00AA6184"/>
    <w:sectPr w:rsidR="00E365E1" w:rsidRPr="00D202D8" w:rsidSect="00D202D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1D3F7" w14:textId="77777777" w:rsidR="00AA6184" w:rsidRPr="00D202D8" w:rsidRDefault="00AA6184">
      <w:r w:rsidRPr="00D202D8">
        <w:separator/>
      </w:r>
    </w:p>
  </w:endnote>
  <w:endnote w:type="continuationSeparator" w:id="0">
    <w:p w14:paraId="343BF134" w14:textId="77777777" w:rsidR="00AA6184" w:rsidRPr="00D202D8" w:rsidRDefault="00AA6184">
      <w:r w:rsidRPr="00D202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007AD" w14:textId="77777777" w:rsidR="00064002" w:rsidRPr="00D202D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8AE20" w14:textId="77777777" w:rsidR="00064002" w:rsidRPr="00D202D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2E20F" w14:textId="77777777" w:rsidR="00064002" w:rsidRPr="00D202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6FD83" w14:textId="77777777" w:rsidR="00AA6184" w:rsidRPr="00D202D8" w:rsidRDefault="00AA6184">
      <w:r w:rsidRPr="00D202D8">
        <w:separator/>
      </w:r>
    </w:p>
  </w:footnote>
  <w:footnote w:type="continuationSeparator" w:id="0">
    <w:p w14:paraId="3FFE2A6D" w14:textId="77777777" w:rsidR="00AA6184" w:rsidRPr="00D202D8" w:rsidRDefault="00AA6184">
      <w:r w:rsidRPr="00D202D8">
        <w:continuationSeparator/>
      </w:r>
    </w:p>
  </w:footnote>
  <w:footnote w:id="1">
    <w:p w14:paraId="477745BC" w14:textId="4D268188" w:rsidR="000809B6" w:rsidRPr="00D202D8" w:rsidRDefault="000809B6" w:rsidP="00D202D8">
      <w:pPr>
        <w:pStyle w:val="FootnoteText"/>
        <w:ind w:left="567" w:hanging="567"/>
        <w:rPr>
          <w:sz w:val="24"/>
          <w:lang w:val="el-GR"/>
        </w:rPr>
      </w:pPr>
      <w:r>
        <w:rPr>
          <w:rStyle w:val="FootnoteReference"/>
        </w:rPr>
        <w:footnoteRef/>
      </w:r>
      <w:r w:rsidRPr="00D202D8">
        <w:rPr>
          <w:sz w:val="24"/>
          <w:lang w:val="el-GR"/>
        </w:rPr>
        <w:t xml:space="preserve"> </w:t>
      </w:r>
      <w:r w:rsidRPr="00D202D8">
        <w:rPr>
          <w:sz w:val="24"/>
          <w:lang w:val="el-GR"/>
        </w:rPr>
        <w:tab/>
        <w:t xml:space="preserve">ΕΕ L 150 της 9.6.2023, σ. 40, ELI: </w:t>
      </w:r>
      <w:hyperlink r:id="rId1" w:tgtFrame="http://data.europa.eu/eli/reg/2023/1114/oj" w:history="1">
        <w:r w:rsidRPr="00D202D8">
          <w:rPr>
            <w:rStyle w:val="Hyperlink"/>
            <w:sz w:val="24"/>
            <w:lang w:val="el-GR"/>
          </w:rPr>
          <w:t>http://data.europa.eu/eli/reg/2023/1114/oj</w:t>
        </w:r>
      </w:hyperlink>
      <w:r w:rsidRPr="00D202D8">
        <w:rPr>
          <w:sz w:val="24"/>
          <w:lang w:val="el-GR"/>
        </w:rPr>
        <w:t>.</w:t>
      </w:r>
    </w:p>
  </w:footnote>
  <w:footnote w:id="2">
    <w:p w14:paraId="001A09F6" w14:textId="51F68A34" w:rsidR="000809B6" w:rsidRPr="00D202D8" w:rsidRDefault="000809B6" w:rsidP="00D202D8">
      <w:pPr>
        <w:pStyle w:val="FootnoteText"/>
        <w:ind w:left="567" w:hanging="567"/>
        <w:rPr>
          <w:sz w:val="24"/>
          <w:lang w:val="el-GR"/>
        </w:rPr>
      </w:pPr>
      <w:r>
        <w:rPr>
          <w:rStyle w:val="FootnoteReference"/>
        </w:rPr>
        <w:footnoteRef/>
      </w:r>
      <w:r w:rsidRPr="00D202D8">
        <w:rPr>
          <w:sz w:val="24"/>
          <w:lang w:val="el-GR"/>
        </w:rPr>
        <w:t xml:space="preserve"> </w:t>
      </w:r>
      <w:r w:rsidRPr="00D202D8">
        <w:rPr>
          <w:sz w:val="24"/>
          <w:lang w:val="el-GR"/>
        </w:rPr>
        <w:tab/>
        <w:t>ΕΕ L 424 της 15.12.2020, σ. </w:t>
      </w:r>
      <w:r w:rsidRPr="00D202D8">
        <w:rPr>
          <w:sz w:val="24"/>
          <w:lang w:val="el-GR"/>
        </w:rPr>
        <w:t xml:space="preserve">1, ELI: </w:t>
      </w:r>
      <w:hyperlink r:id="rId2" w:tgtFrame="http://data.europa.eu/eli/dec/2020/2053/oj" w:history="1">
        <w:r w:rsidRPr="00D202D8">
          <w:rPr>
            <w:rStyle w:val="Hyperlink"/>
            <w:sz w:val="24"/>
            <w:lang w:val="el-GR"/>
          </w:rPr>
          <w:t>http://data.europa.eu/eli/dec/2020/2053/oj</w:t>
        </w:r>
      </w:hyperlink>
      <w:r w:rsidRPr="00D202D8">
        <w:rPr>
          <w:sz w:val="24"/>
          <w:lang w:val="el-GR"/>
        </w:rPr>
        <w:t>.</w:t>
      </w:r>
    </w:p>
  </w:footnote>
  <w:footnote w:id="3">
    <w:p w14:paraId="6689DC38" w14:textId="44041691" w:rsidR="000809B6" w:rsidRPr="00D202D8" w:rsidRDefault="000809B6" w:rsidP="00D202D8">
      <w:pPr>
        <w:pStyle w:val="FootnoteText"/>
        <w:ind w:left="567" w:hanging="567"/>
        <w:rPr>
          <w:sz w:val="24"/>
          <w:lang w:val="el-GR"/>
        </w:rPr>
      </w:pPr>
      <w:r>
        <w:rPr>
          <w:rStyle w:val="FootnoteReference"/>
        </w:rPr>
        <w:footnoteRef/>
      </w:r>
      <w:r w:rsidRPr="00D202D8">
        <w:rPr>
          <w:sz w:val="24"/>
          <w:lang w:val="el-GR"/>
        </w:rPr>
        <w:t xml:space="preserve"> </w:t>
      </w:r>
      <w:r w:rsidRPr="00D202D8">
        <w:rPr>
          <w:sz w:val="24"/>
          <w:lang w:val="el-GR"/>
        </w:rPr>
        <w:tab/>
        <w:t xml:space="preserve">Μελέτη — «The </w:t>
      </w:r>
      <w:proofErr w:type="spellStart"/>
      <w:r w:rsidRPr="00D202D8">
        <w:rPr>
          <w:sz w:val="24"/>
          <w:lang w:val="el-GR"/>
        </w:rPr>
        <w:t>taxation</w:t>
      </w:r>
      <w:proofErr w:type="spellEnd"/>
      <w:r w:rsidRPr="00D202D8">
        <w:rPr>
          <w:sz w:val="24"/>
          <w:lang w:val="el-GR"/>
        </w:rPr>
        <w:t xml:space="preserve"> of the </w:t>
      </w:r>
      <w:proofErr w:type="spellStart"/>
      <w:r w:rsidRPr="00D202D8">
        <w:rPr>
          <w:sz w:val="24"/>
          <w:lang w:val="el-GR"/>
        </w:rPr>
        <w:t>EU’s</w:t>
      </w:r>
      <w:proofErr w:type="spellEnd"/>
      <w:r w:rsidRPr="00D202D8">
        <w:rPr>
          <w:sz w:val="24"/>
          <w:lang w:val="el-GR"/>
        </w:rPr>
        <w:t xml:space="preserve"> </w:t>
      </w:r>
      <w:proofErr w:type="spellStart"/>
      <w:r w:rsidRPr="00D202D8">
        <w:rPr>
          <w:sz w:val="24"/>
          <w:lang w:val="el-GR"/>
        </w:rPr>
        <w:t>financial</w:t>
      </w:r>
      <w:proofErr w:type="spellEnd"/>
      <w:r w:rsidRPr="00D202D8">
        <w:rPr>
          <w:sz w:val="24"/>
          <w:lang w:val="el-GR"/>
        </w:rPr>
        <w:t xml:space="preserve"> </w:t>
      </w:r>
      <w:proofErr w:type="spellStart"/>
      <w:r w:rsidRPr="00D202D8">
        <w:rPr>
          <w:sz w:val="24"/>
          <w:lang w:val="el-GR"/>
        </w:rPr>
        <w:t>sector</w:t>
      </w:r>
      <w:proofErr w:type="spellEnd"/>
      <w:r w:rsidRPr="00D202D8">
        <w:rPr>
          <w:sz w:val="24"/>
          <w:lang w:val="el-GR"/>
        </w:rPr>
        <w:t>» (Η φορολόγηση του χρηματοπιστωτικού τομέα της ΕΕ), Ευρωπαϊκό Κοινοβούλιο, Γενική Διεύθυνση Οικονομίας, Μετασχηματισμού και Βιομηχανίας, Θεματικό Τμήμα Οικονομίας και Ανάπτυξης, Ιούνιος 2025.</w:t>
      </w:r>
    </w:p>
  </w:footnote>
  <w:footnote w:id="4">
    <w:p w14:paraId="54F6DEA1" w14:textId="027F0FDB" w:rsidR="000809B6" w:rsidRPr="005904ED" w:rsidRDefault="000809B6" w:rsidP="00D202D8">
      <w:pPr>
        <w:pStyle w:val="FootnoteText"/>
        <w:ind w:left="567" w:hanging="567"/>
        <w:rPr>
          <w:sz w:val="24"/>
          <w:lang w:val="fi-FI"/>
        </w:rPr>
      </w:pPr>
      <w:r>
        <w:rPr>
          <w:rStyle w:val="FootnoteReference"/>
        </w:rPr>
        <w:footnoteRef/>
      </w:r>
      <w:r w:rsidRPr="00D202D8">
        <w:rPr>
          <w:sz w:val="24"/>
          <w:lang w:val="el-GR"/>
        </w:rPr>
        <w:t xml:space="preserve"> </w:t>
      </w:r>
      <w:r w:rsidRPr="00D202D8">
        <w:rPr>
          <w:sz w:val="24"/>
          <w:lang w:val="el-GR"/>
        </w:rPr>
        <w:tab/>
        <w:t xml:space="preserve">ΕΕ L 433 I της 22.12.2020, σ. 28. </w:t>
      </w:r>
      <w:r w:rsidRPr="005904ED">
        <w:rPr>
          <w:sz w:val="24"/>
          <w:lang w:val="fi-FI"/>
        </w:rPr>
        <w:t xml:space="preserve">ELI: </w:t>
      </w:r>
      <w:hyperlink r:id="rId3" w:tgtFrame="http://data.europa.eu/eli/agree_interinstit/2020/1222/oj" w:history="1">
        <w:r w:rsidRPr="005904ED">
          <w:rPr>
            <w:rStyle w:val="Hyperlink"/>
            <w:sz w:val="24"/>
            <w:lang w:val="fi-FI"/>
          </w:rPr>
          <w:t>http://data.europa.eu/eli/agree_interinstit/2020/1222/oj</w:t>
        </w:r>
      </w:hyperlink>
      <w:r w:rsidRPr="005904ED">
        <w:rPr>
          <w:sz w:val="24"/>
          <w:lang w:val="fi-FI"/>
        </w:rPr>
        <w:t>.</w:t>
      </w:r>
    </w:p>
  </w:footnote>
  <w:footnote w:id="5">
    <w:p w14:paraId="6E2751AD" w14:textId="041415B7" w:rsidR="000809B6" w:rsidRPr="000809B6" w:rsidRDefault="000809B6" w:rsidP="00D202D8">
      <w:pPr>
        <w:pStyle w:val="FootnoteText"/>
        <w:ind w:left="567" w:hanging="567"/>
        <w:rPr>
          <w:sz w:val="24"/>
          <w:lang w:val="fi-FI"/>
        </w:rPr>
      </w:pPr>
      <w:r>
        <w:rPr>
          <w:rStyle w:val="FootnoteReference"/>
        </w:rPr>
        <w:footnoteRef/>
      </w:r>
      <w:r w:rsidRPr="000809B6">
        <w:rPr>
          <w:sz w:val="24"/>
          <w:lang w:val="fi-FI"/>
        </w:rPr>
        <w:t xml:space="preserve"> </w:t>
      </w:r>
      <w:r w:rsidRPr="000809B6">
        <w:rPr>
          <w:sz w:val="24"/>
          <w:lang w:val="fi-FI"/>
        </w:rPr>
        <w:tab/>
      </w:r>
      <w:r w:rsidRPr="00D202D8">
        <w:rPr>
          <w:sz w:val="24"/>
          <w:lang w:val="el-GR"/>
        </w:rPr>
        <w:t>ΕΕ</w:t>
      </w:r>
      <w:r w:rsidRPr="000809B6">
        <w:rPr>
          <w:sz w:val="24"/>
          <w:lang w:val="fi-FI"/>
        </w:rPr>
        <w:t xml:space="preserve"> C, C/2023/1067, 15.12.2023, ELI: </w:t>
      </w:r>
      <w:hyperlink r:id="rId4" w:history="1">
        <w:r w:rsidRPr="00385A85">
          <w:rPr>
            <w:rStyle w:val="Hyperlink"/>
            <w:sz w:val="24"/>
            <w:lang w:val="fi-FI"/>
          </w:rPr>
          <w:t>http://data.europa.eu/eli/C/2023/1067/oj</w:t>
        </w:r>
      </w:hyperlink>
      <w:r w:rsidRPr="000809B6">
        <w:rPr>
          <w:sz w:val="24"/>
          <w:lang w:val="fi-FI"/>
        </w:rPr>
        <w:t>.</w:t>
      </w:r>
      <w:r w:rsidRPr="005904ED">
        <w:rPr>
          <w:sz w:val="24"/>
          <w:lang w:val="fi-FI"/>
        </w:rPr>
        <w:t xml:space="preserve"> </w:t>
      </w:r>
    </w:p>
  </w:footnote>
  <w:footnote w:id="6">
    <w:p w14:paraId="04C9BFBB" w14:textId="16B131C2" w:rsidR="000809B6" w:rsidRPr="000809B6" w:rsidRDefault="000809B6" w:rsidP="00D202D8">
      <w:pPr>
        <w:pStyle w:val="FootnoteText"/>
        <w:ind w:left="567" w:hanging="567"/>
        <w:rPr>
          <w:sz w:val="24"/>
          <w:lang w:val="fi-FI"/>
        </w:rPr>
      </w:pPr>
      <w:r>
        <w:rPr>
          <w:rStyle w:val="FootnoteReference"/>
        </w:rPr>
        <w:footnoteRef/>
      </w:r>
      <w:r w:rsidRPr="000809B6">
        <w:rPr>
          <w:sz w:val="24"/>
          <w:lang w:val="fi-FI"/>
        </w:rPr>
        <w:t xml:space="preserve"> </w:t>
      </w:r>
      <w:r w:rsidRPr="000809B6">
        <w:rPr>
          <w:sz w:val="24"/>
          <w:lang w:val="fi-FI"/>
        </w:rPr>
        <w:tab/>
      </w:r>
      <w:r w:rsidRPr="00D202D8">
        <w:rPr>
          <w:sz w:val="24"/>
          <w:lang w:val="el-GR"/>
        </w:rPr>
        <w:t>ΕΕ</w:t>
      </w:r>
      <w:r w:rsidRPr="000809B6">
        <w:rPr>
          <w:sz w:val="24"/>
          <w:lang w:val="fi-FI"/>
        </w:rPr>
        <w:t xml:space="preserve"> L, 2025/2029, 8.10.2025, ELI: </w:t>
      </w:r>
      <w:hyperlink r:id="rId5" w:tgtFrame="http://data.europa.eu/eli/reco/2025/2029/oj" w:history="1">
        <w:r w:rsidRPr="000809B6">
          <w:rPr>
            <w:rStyle w:val="Hyperlink"/>
            <w:sz w:val="24"/>
            <w:lang w:val="fi-FI"/>
          </w:rPr>
          <w:t>http://data.europa.eu/eli/reco/2025/2029/oj</w:t>
        </w:r>
      </w:hyperlink>
      <w:r w:rsidRPr="000809B6">
        <w:rPr>
          <w:sz w:val="24"/>
          <w:lang w:val="fi-FI"/>
        </w:rPr>
        <w:t>.</w:t>
      </w:r>
    </w:p>
  </w:footnote>
  <w:footnote w:id="7">
    <w:p w14:paraId="685A27C4" w14:textId="4CEA7878" w:rsidR="000809B6" w:rsidRPr="000809B6" w:rsidRDefault="000809B6" w:rsidP="00D202D8">
      <w:pPr>
        <w:pStyle w:val="FootnoteText"/>
        <w:ind w:left="567" w:hanging="567"/>
        <w:rPr>
          <w:sz w:val="24"/>
          <w:lang w:val="fi-FI"/>
        </w:rPr>
      </w:pPr>
      <w:r>
        <w:rPr>
          <w:rStyle w:val="FootnoteReference"/>
        </w:rPr>
        <w:footnoteRef/>
      </w:r>
      <w:r w:rsidRPr="000809B6">
        <w:rPr>
          <w:sz w:val="24"/>
          <w:lang w:val="fi-FI"/>
        </w:rPr>
        <w:t xml:space="preserve"> </w:t>
      </w:r>
      <w:r w:rsidRPr="000809B6">
        <w:rPr>
          <w:sz w:val="24"/>
          <w:lang w:val="fi-FI"/>
        </w:rPr>
        <w:tab/>
      </w:r>
      <w:r w:rsidRPr="00D202D8">
        <w:rPr>
          <w:sz w:val="24"/>
          <w:lang w:val="el-GR"/>
        </w:rPr>
        <w:t>ΕΕ</w:t>
      </w:r>
      <w:r w:rsidRPr="000809B6">
        <w:rPr>
          <w:sz w:val="24"/>
          <w:lang w:val="fi-FI"/>
        </w:rPr>
        <w:t xml:space="preserve"> L, 2025/50, 10.1.2025, ELI: </w:t>
      </w:r>
      <w:hyperlink r:id="rId6" w:tgtFrame="http://data.europa.eu/eli/dir/2025/50/oj" w:history="1">
        <w:r w:rsidRPr="000809B6">
          <w:rPr>
            <w:rStyle w:val="Hyperlink"/>
            <w:sz w:val="24"/>
            <w:lang w:val="fi-FI"/>
          </w:rPr>
          <w:t>http://data.europa.eu/eli/dir/2025/50/oj</w:t>
        </w:r>
      </w:hyperlink>
      <w:r w:rsidRPr="000809B6">
        <w:rPr>
          <w:sz w:val="24"/>
          <w:lang w:val="fi-FI"/>
        </w:rPr>
        <w:t>.</w:t>
      </w:r>
    </w:p>
  </w:footnote>
  <w:footnote w:id="8">
    <w:p w14:paraId="3DD096CE" w14:textId="338A5446" w:rsidR="000809B6" w:rsidRPr="00D202D8" w:rsidRDefault="000809B6" w:rsidP="00D202D8">
      <w:pPr>
        <w:pStyle w:val="FootnoteText"/>
        <w:ind w:left="567" w:hanging="567"/>
        <w:rPr>
          <w:sz w:val="24"/>
          <w:lang w:val="el-GR"/>
        </w:rPr>
      </w:pPr>
      <w:r>
        <w:rPr>
          <w:rStyle w:val="FootnoteReference"/>
        </w:rPr>
        <w:footnoteRef/>
      </w:r>
      <w:r w:rsidRPr="00D202D8">
        <w:rPr>
          <w:sz w:val="24"/>
          <w:lang w:val="el-GR"/>
        </w:rPr>
        <w:t xml:space="preserve"> </w:t>
      </w:r>
      <w:r w:rsidRPr="00D202D8">
        <w:rPr>
          <w:sz w:val="24"/>
          <w:lang w:val="el-GR"/>
        </w:rPr>
        <w:tab/>
      </w:r>
      <w:r w:rsidRPr="00D202D8">
        <w:rPr>
          <w:sz w:val="24"/>
          <w:lang w:val="el-GR"/>
        </w:rPr>
        <w:t xml:space="preserve">Νομοθετικό ψήφισμα του Ευρωπαϊκού Κοινοβουλίου της 10ης Απριλίου 2024 σχετικά με την πρόταση οδηγίας του Συμβουλίου για τη θέσπιση φορολογικού συστήματος με βάση την έδρα για τις πολύ μικρές, μικρές και μεσαίες επιχειρήσεις και για την τροποποίηση της οδηγίας 2011/16/ΕΕ (ΕΕ C, C/2025/1326, 13.3.2025, ELI: </w:t>
      </w:r>
      <w:hyperlink r:id="rId7" w:tgtFrame="http://data.europa.eu/eli/C/2025/1326/oj" w:history="1">
        <w:r w:rsidRPr="00D202D8">
          <w:rPr>
            <w:rStyle w:val="Hyperlink"/>
            <w:sz w:val="24"/>
            <w:lang w:val="el-GR"/>
          </w:rPr>
          <w:t>http://data.europa.eu/eli/C/2025/1326/oj</w:t>
        </w:r>
      </w:hyperlink>
      <w:r w:rsidRPr="00D202D8">
        <w:rPr>
          <w:sz w:val="24"/>
          <w:lang w:val="el-GR"/>
        </w:rPr>
        <w:t>).</w:t>
      </w:r>
    </w:p>
  </w:footnote>
  <w:footnote w:id="9">
    <w:p w14:paraId="48EEF9A5" w14:textId="4D9F0F7A" w:rsidR="000809B6" w:rsidRPr="00D202D8" w:rsidRDefault="000809B6" w:rsidP="00D202D8">
      <w:pPr>
        <w:pStyle w:val="FootnoteText"/>
        <w:ind w:left="567" w:hanging="567"/>
        <w:rPr>
          <w:sz w:val="24"/>
          <w:lang w:val="el-GR"/>
        </w:rPr>
      </w:pPr>
      <w:r>
        <w:rPr>
          <w:rStyle w:val="FootnoteReference"/>
        </w:rPr>
        <w:footnoteRef/>
      </w:r>
      <w:r w:rsidRPr="00D202D8">
        <w:rPr>
          <w:sz w:val="24"/>
          <w:lang w:val="el-GR"/>
        </w:rPr>
        <w:t xml:space="preserve"> </w:t>
      </w:r>
      <w:r w:rsidRPr="00D202D8">
        <w:rPr>
          <w:sz w:val="24"/>
          <w:lang w:val="el-GR"/>
        </w:rPr>
        <w:tab/>
        <w:t>Ευρωπαϊκή Επιτροπή, «Ευρωπαϊκή μακροοικονομική έκθεση 2026», Νοέμβριος 2025.</w:t>
      </w:r>
    </w:p>
  </w:footnote>
  <w:footnote w:id="10">
    <w:p w14:paraId="6AD9048F" w14:textId="4F1FA183" w:rsidR="000809B6" w:rsidRPr="00D202D8" w:rsidRDefault="000809B6" w:rsidP="00D202D8">
      <w:pPr>
        <w:pStyle w:val="FootnoteText"/>
        <w:ind w:left="567" w:hanging="567"/>
        <w:rPr>
          <w:sz w:val="24"/>
          <w:lang w:val="el-GR"/>
        </w:rPr>
      </w:pPr>
      <w:r>
        <w:rPr>
          <w:rStyle w:val="FootnoteReference"/>
        </w:rPr>
        <w:footnoteRef/>
      </w:r>
      <w:r w:rsidRPr="00D202D8">
        <w:rPr>
          <w:sz w:val="24"/>
          <w:lang w:val="el-GR"/>
        </w:rPr>
        <w:t xml:space="preserve"> </w:t>
      </w:r>
      <w:r w:rsidRPr="00D202D8">
        <w:rPr>
          <w:sz w:val="24"/>
          <w:lang w:val="el-GR"/>
        </w:rPr>
        <w:tab/>
        <w:t>Οδηγία 2006/112/ΕΚ του Συμβουλίου, της 28ης Νοεμβρίου 2006, σχετικά με το κοινό σύστημα φόρου προστιθέμενης αξίας (ΕΕ L 347 της 11.12.2006, σ. </w:t>
      </w:r>
      <w:r w:rsidRPr="00D202D8">
        <w:rPr>
          <w:sz w:val="24"/>
          <w:lang w:val="el-GR"/>
        </w:rPr>
        <w:t xml:space="preserve">1, ELI: </w:t>
      </w:r>
      <w:hyperlink r:id="rId8" w:tgtFrame="http://data.europa.eu/eli/dir/2006/112/oj" w:history="1">
        <w:r w:rsidRPr="00D202D8">
          <w:rPr>
            <w:rStyle w:val="Hyperlink"/>
            <w:sz w:val="24"/>
            <w:lang w:val="el-GR"/>
          </w:rPr>
          <w:t>http://data.europa.eu/eli/dir/2006/112/oj</w:t>
        </w:r>
      </w:hyperlink>
      <w:r w:rsidRPr="00D202D8">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46DA9" w14:textId="77777777" w:rsidR="00064002" w:rsidRPr="00D202D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05E10" w14:textId="77777777" w:rsidR="00064002" w:rsidRPr="00D202D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9BBC9" w14:textId="77777777" w:rsidR="00064002" w:rsidRPr="00D202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37364C8"/>
    <w:multiLevelType w:val="hybridMultilevel"/>
    <w:tmpl w:val="2C286298"/>
    <w:lvl w:ilvl="0" w:tplc="1CD8EB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D83211"/>
    <w:multiLevelType w:val="hybridMultilevel"/>
    <w:tmpl w:val="EFEE1CC8"/>
    <w:lvl w:ilvl="0" w:tplc="1CD8EB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4E1A16"/>
    <w:multiLevelType w:val="hybridMultilevel"/>
    <w:tmpl w:val="C7EC5E3E"/>
    <w:lvl w:ilvl="0" w:tplc="1CD8EB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C40477"/>
    <w:multiLevelType w:val="hybridMultilevel"/>
    <w:tmpl w:val="08540026"/>
    <w:lvl w:ilvl="0" w:tplc="1CD8EB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71797F9C"/>
    <w:multiLevelType w:val="hybridMultilevel"/>
    <w:tmpl w:val="9A507B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9973476">
    <w:abstractNumId w:val="9"/>
  </w:num>
  <w:num w:numId="2" w16cid:durableId="542719517">
    <w:abstractNumId w:val="9"/>
  </w:num>
  <w:num w:numId="3" w16cid:durableId="1589191530">
    <w:abstractNumId w:val="7"/>
  </w:num>
  <w:num w:numId="4" w16cid:durableId="75636919">
    <w:abstractNumId w:val="7"/>
  </w:num>
  <w:num w:numId="5" w16cid:durableId="990672255">
    <w:abstractNumId w:val="6"/>
  </w:num>
  <w:num w:numId="6" w16cid:durableId="495074081">
    <w:abstractNumId w:val="6"/>
  </w:num>
  <w:num w:numId="7" w16cid:durableId="468255547">
    <w:abstractNumId w:val="5"/>
  </w:num>
  <w:num w:numId="8" w16cid:durableId="589698854">
    <w:abstractNumId w:val="5"/>
  </w:num>
  <w:num w:numId="9" w16cid:durableId="235093665">
    <w:abstractNumId w:val="4"/>
  </w:num>
  <w:num w:numId="10" w16cid:durableId="1373654707">
    <w:abstractNumId w:val="4"/>
  </w:num>
  <w:num w:numId="11" w16cid:durableId="1019619225">
    <w:abstractNumId w:val="8"/>
  </w:num>
  <w:num w:numId="12" w16cid:durableId="2124686651">
    <w:abstractNumId w:val="8"/>
  </w:num>
  <w:num w:numId="13" w16cid:durableId="1830096999">
    <w:abstractNumId w:val="3"/>
  </w:num>
  <w:num w:numId="14" w16cid:durableId="200561479">
    <w:abstractNumId w:val="3"/>
  </w:num>
  <w:num w:numId="15" w16cid:durableId="809635598">
    <w:abstractNumId w:val="2"/>
  </w:num>
  <w:num w:numId="16" w16cid:durableId="1050154045">
    <w:abstractNumId w:val="2"/>
  </w:num>
  <w:num w:numId="17" w16cid:durableId="1065645733">
    <w:abstractNumId w:val="1"/>
  </w:num>
  <w:num w:numId="18" w16cid:durableId="706026426">
    <w:abstractNumId w:val="1"/>
  </w:num>
  <w:num w:numId="19" w16cid:durableId="2121796239">
    <w:abstractNumId w:val="0"/>
  </w:num>
  <w:num w:numId="20" w16cid:durableId="1832870107">
    <w:abstractNumId w:val="0"/>
  </w:num>
  <w:num w:numId="21" w16cid:durableId="14961229">
    <w:abstractNumId w:val="9"/>
  </w:num>
  <w:num w:numId="22" w16cid:durableId="2133135119">
    <w:abstractNumId w:val="7"/>
  </w:num>
  <w:num w:numId="23" w16cid:durableId="1449592495">
    <w:abstractNumId w:val="6"/>
  </w:num>
  <w:num w:numId="24" w16cid:durableId="1607617840">
    <w:abstractNumId w:val="5"/>
  </w:num>
  <w:num w:numId="25" w16cid:durableId="1192300077">
    <w:abstractNumId w:val="4"/>
  </w:num>
  <w:num w:numId="26" w16cid:durableId="1445342107">
    <w:abstractNumId w:val="8"/>
  </w:num>
  <w:num w:numId="27" w16cid:durableId="1109619359">
    <w:abstractNumId w:val="3"/>
  </w:num>
  <w:num w:numId="28" w16cid:durableId="201946165">
    <w:abstractNumId w:val="2"/>
  </w:num>
  <w:num w:numId="29" w16cid:durableId="462433025">
    <w:abstractNumId w:val="1"/>
  </w:num>
  <w:num w:numId="30" w16cid:durableId="1916357748">
    <w:abstractNumId w:val="0"/>
  </w:num>
  <w:num w:numId="31" w16cid:durableId="2101556989">
    <w:abstractNumId w:val="9"/>
  </w:num>
  <w:num w:numId="32" w16cid:durableId="1182934416">
    <w:abstractNumId w:val="7"/>
  </w:num>
  <w:num w:numId="33" w16cid:durableId="1847741453">
    <w:abstractNumId w:val="6"/>
  </w:num>
  <w:num w:numId="34" w16cid:durableId="443230506">
    <w:abstractNumId w:val="5"/>
  </w:num>
  <w:num w:numId="35" w16cid:durableId="3751931">
    <w:abstractNumId w:val="4"/>
  </w:num>
  <w:num w:numId="36" w16cid:durableId="687366892">
    <w:abstractNumId w:val="8"/>
  </w:num>
  <w:num w:numId="37" w16cid:durableId="1102724826">
    <w:abstractNumId w:val="3"/>
  </w:num>
  <w:num w:numId="38" w16cid:durableId="481895784">
    <w:abstractNumId w:val="2"/>
  </w:num>
  <w:num w:numId="39" w16cid:durableId="1312058522">
    <w:abstractNumId w:val="1"/>
  </w:num>
  <w:num w:numId="40" w16cid:durableId="1925140146">
    <w:abstractNumId w:val="0"/>
  </w:num>
  <w:num w:numId="41" w16cid:durableId="1708212116">
    <w:abstractNumId w:val="10"/>
  </w:num>
  <w:num w:numId="42" w16cid:durableId="80102145">
    <w:abstractNumId w:val="10"/>
  </w:num>
  <w:num w:numId="43" w16cid:durableId="306860597">
    <w:abstractNumId w:val="10"/>
  </w:num>
  <w:num w:numId="44" w16cid:durableId="660041511">
    <w:abstractNumId w:val="15"/>
  </w:num>
  <w:num w:numId="45" w16cid:durableId="1830486815">
    <w:abstractNumId w:val="16"/>
  </w:num>
  <w:num w:numId="46" w16cid:durableId="836043275">
    <w:abstractNumId w:val="12"/>
  </w:num>
  <w:num w:numId="47" w16cid:durableId="1619533045">
    <w:abstractNumId w:val="11"/>
  </w:num>
  <w:num w:numId="48" w16cid:durableId="160970272">
    <w:abstractNumId w:val="14"/>
  </w:num>
  <w:num w:numId="49" w16cid:durableId="10085621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EL"/>
    <w:docVar w:name="dvnumam" w:val="0"/>
    <w:docVar w:name="dvpe" w:val="779.360"/>
    <w:docVar w:name="dvrapporteur" w:val="Εισηγητής: "/>
    <w:docVar w:name="dvtitre" w:val="Ψήφισμα του Ευρωπαϊκού Κοινοβουλίου της ... 2026 σχετικά με ένα συνεκτικό πλαίσιο φορολόγησης για τον χρηματοπιστωτικό τομέα της ΕΕ(2024/2117(INI))"/>
  </w:docVars>
  <w:rsids>
    <w:rsidRoot w:val="00AA6184"/>
    <w:rsid w:val="00002272"/>
    <w:rsid w:val="00064002"/>
    <w:rsid w:val="000677B9"/>
    <w:rsid w:val="000809B6"/>
    <w:rsid w:val="000831BA"/>
    <w:rsid w:val="000A42CC"/>
    <w:rsid w:val="000D5408"/>
    <w:rsid w:val="000E7DD9"/>
    <w:rsid w:val="0010095E"/>
    <w:rsid w:val="00125B37"/>
    <w:rsid w:val="00187494"/>
    <w:rsid w:val="001F32AE"/>
    <w:rsid w:val="002767FF"/>
    <w:rsid w:val="002B18FE"/>
    <w:rsid w:val="002B5493"/>
    <w:rsid w:val="00343214"/>
    <w:rsid w:val="00361C00"/>
    <w:rsid w:val="00395FA1"/>
    <w:rsid w:val="003C605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04ED"/>
    <w:rsid w:val="005C2568"/>
    <w:rsid w:val="005F1B17"/>
    <w:rsid w:val="006037C0"/>
    <w:rsid w:val="006631B6"/>
    <w:rsid w:val="00680577"/>
    <w:rsid w:val="006E3A22"/>
    <w:rsid w:val="006F74FA"/>
    <w:rsid w:val="00731ADD"/>
    <w:rsid w:val="00734777"/>
    <w:rsid w:val="00747932"/>
    <w:rsid w:val="00751A4A"/>
    <w:rsid w:val="00756632"/>
    <w:rsid w:val="00762C74"/>
    <w:rsid w:val="00786EC0"/>
    <w:rsid w:val="007D1690"/>
    <w:rsid w:val="007E22AD"/>
    <w:rsid w:val="007F1828"/>
    <w:rsid w:val="00817416"/>
    <w:rsid w:val="00842779"/>
    <w:rsid w:val="00865F67"/>
    <w:rsid w:val="008728A7"/>
    <w:rsid w:val="00881A7B"/>
    <w:rsid w:val="008840E5"/>
    <w:rsid w:val="00887B3E"/>
    <w:rsid w:val="008C2AC6"/>
    <w:rsid w:val="00930C23"/>
    <w:rsid w:val="0093193B"/>
    <w:rsid w:val="009509D8"/>
    <w:rsid w:val="00950B64"/>
    <w:rsid w:val="00981893"/>
    <w:rsid w:val="00A1687D"/>
    <w:rsid w:val="00A43E52"/>
    <w:rsid w:val="00A4678D"/>
    <w:rsid w:val="00A778C7"/>
    <w:rsid w:val="00AA6184"/>
    <w:rsid w:val="00AB441E"/>
    <w:rsid w:val="00AB6293"/>
    <w:rsid w:val="00AC4CB9"/>
    <w:rsid w:val="00AE0928"/>
    <w:rsid w:val="00AF3B82"/>
    <w:rsid w:val="00B12E95"/>
    <w:rsid w:val="00B22876"/>
    <w:rsid w:val="00B558F0"/>
    <w:rsid w:val="00BD48FE"/>
    <w:rsid w:val="00BD7BD8"/>
    <w:rsid w:val="00BE6ADC"/>
    <w:rsid w:val="00C05BFE"/>
    <w:rsid w:val="00C23CD4"/>
    <w:rsid w:val="00C562BB"/>
    <w:rsid w:val="00C61C0C"/>
    <w:rsid w:val="00C941CB"/>
    <w:rsid w:val="00CC2357"/>
    <w:rsid w:val="00CF071A"/>
    <w:rsid w:val="00D058B8"/>
    <w:rsid w:val="00D202D8"/>
    <w:rsid w:val="00D275E4"/>
    <w:rsid w:val="00D56C11"/>
    <w:rsid w:val="00D834A0"/>
    <w:rsid w:val="00D872DF"/>
    <w:rsid w:val="00D91E21"/>
    <w:rsid w:val="00DA7FCD"/>
    <w:rsid w:val="00E365E1"/>
    <w:rsid w:val="00E4254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7D037"/>
  <w15:chartTrackingRefBased/>
  <w15:docId w15:val="{D1E2C1C0-573C-4958-9DF1-337DDDCD8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42540"/>
    <w:pPr>
      <w:widowControl/>
      <w:spacing w:after="240"/>
    </w:pPr>
    <w:rPr>
      <w:szCs w:val="24"/>
      <w:lang w:eastAsia="en-US"/>
    </w:rPr>
  </w:style>
  <w:style w:type="paragraph" w:customStyle="1" w:styleId="NormalHanging12a">
    <w:name w:val="NormalHanging12a"/>
    <w:basedOn w:val="Normal"/>
    <w:rsid w:val="00E42540"/>
    <w:pPr>
      <w:widowControl/>
      <w:spacing w:after="240"/>
      <w:ind w:left="566" w:hanging="566"/>
    </w:pPr>
    <w:rPr>
      <w:szCs w:val="24"/>
      <w:lang w:eastAsia="en-US"/>
    </w:rPr>
  </w:style>
  <w:style w:type="paragraph" w:customStyle="1" w:styleId="Normal12">
    <w:name w:val="Normal12"/>
    <w:basedOn w:val="Normal"/>
    <w:rsid w:val="00E42540"/>
    <w:pPr>
      <w:spacing w:after="240"/>
    </w:pPr>
    <w:rPr>
      <w:szCs w:val="24"/>
      <w:lang w:eastAsia="en-US"/>
    </w:rPr>
  </w:style>
  <w:style w:type="paragraph" w:customStyle="1" w:styleId="NormalHanging">
    <w:name w:val="NormalHanging"/>
    <w:basedOn w:val="Normal"/>
    <w:rsid w:val="00E42540"/>
    <w:pPr>
      <w:spacing w:after="240"/>
      <w:ind w:left="566" w:hanging="566"/>
    </w:pPr>
    <w:rPr>
      <w:szCs w:val="24"/>
      <w:lang w:eastAsia="en-US"/>
    </w:rPr>
  </w:style>
  <w:style w:type="paragraph" w:customStyle="1" w:styleId="NormalCenter12a">
    <w:name w:val="NormalCenter12a"/>
    <w:basedOn w:val="Normal"/>
    <w:rsid w:val="00E42540"/>
    <w:pPr>
      <w:widowControl/>
      <w:spacing w:after="240"/>
      <w:jc w:val="center"/>
    </w:pPr>
    <w:rPr>
      <w:szCs w:val="24"/>
      <w:lang w:eastAsia="en-US"/>
    </w:rPr>
  </w:style>
  <w:style w:type="character" w:styleId="Hyperlink">
    <w:name w:val="Hyperlink"/>
    <w:basedOn w:val="DefaultParagraphFont"/>
    <w:rsid w:val="00E42540"/>
    <w:rPr>
      <w:color w:val="0000FF"/>
      <w:u w:val="single"/>
    </w:rPr>
  </w:style>
  <w:style w:type="paragraph" w:styleId="Revision">
    <w:name w:val="Revision"/>
    <w:hidden/>
    <w:uiPriority w:val="99"/>
    <w:semiHidden/>
    <w:rsid w:val="000809B6"/>
    <w:rPr>
      <w:sz w:val="24"/>
      <w:lang w:val="el-GR"/>
    </w:rPr>
  </w:style>
  <w:style w:type="character" w:styleId="UnresolvedMention">
    <w:name w:val="Unresolved Mention"/>
    <w:basedOn w:val="DefaultParagraphFont"/>
    <w:uiPriority w:val="99"/>
    <w:semiHidden/>
    <w:unhideWhenUsed/>
    <w:rsid w:val="00080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6/11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5/1326/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dir/2025/50/oj"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C/2023/1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4261</Words>
  <Characters>26661</Characters>
  <Application>Microsoft Office Word</Application>
  <DocSecurity>0</DocSecurity>
  <Lines>222</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2026-07-07T12:28:00Z</dcterms:created>
  <dcterms:modified xsi:type="dcterms:W3CDTF">2026-07-07T12:28:00Z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A10-0169/2026</vt:lpwstr>
  </property>
  <property fmtid="{D5CDD505-2E9C-101B-9397-08002B2CF9AE}" pid="4" name="&lt;Type&gt;">
    <vt:lpwstr>RR</vt:lpwstr>
  </property>
</Properties>
</file>