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773F" w14:paraId="5FEB5755" w14:textId="77777777" w:rsidTr="0010095E">
        <w:trPr>
          <w:trHeight w:hRule="exact" w:val="1418"/>
        </w:trPr>
        <w:tc>
          <w:tcPr>
            <w:tcW w:w="6804" w:type="dxa"/>
            <w:shd w:val="clear" w:color="auto" w:fill="auto"/>
            <w:vAlign w:val="center"/>
          </w:tcPr>
          <w:p w14:paraId="6A32B7A1" w14:textId="77777777" w:rsidR="00751A4A" w:rsidRPr="005A773F" w:rsidRDefault="00CF6D8B" w:rsidP="0010095E">
            <w:pPr>
              <w:pStyle w:val="EPName"/>
            </w:pPr>
            <w:r w:rsidRPr="005A773F">
              <w:t>Euroopa Parlament</w:t>
            </w:r>
          </w:p>
          <w:p w14:paraId="36BB861D" w14:textId="77777777" w:rsidR="00751A4A" w:rsidRPr="005A773F" w:rsidRDefault="005F1B17" w:rsidP="005F1B17">
            <w:pPr>
              <w:pStyle w:val="EPTerm"/>
              <w:rPr>
                <w:rStyle w:val="HideTWBExt"/>
                <w:noProof w:val="0"/>
                <w:vanish w:val="0"/>
                <w:color w:val="auto"/>
              </w:rPr>
            </w:pPr>
            <w:r w:rsidRPr="005A773F">
              <w:t>2024</w:t>
            </w:r>
            <w:r w:rsidR="00817416" w:rsidRPr="005A773F">
              <w:t>-202</w:t>
            </w:r>
            <w:r w:rsidRPr="005A773F">
              <w:t>9</w:t>
            </w:r>
          </w:p>
        </w:tc>
        <w:tc>
          <w:tcPr>
            <w:tcW w:w="2268" w:type="dxa"/>
            <w:shd w:val="clear" w:color="auto" w:fill="auto"/>
          </w:tcPr>
          <w:p w14:paraId="5314CC38" w14:textId="77777777" w:rsidR="00751A4A" w:rsidRPr="005A773F" w:rsidRDefault="00187494" w:rsidP="0010095E">
            <w:pPr>
              <w:pStyle w:val="EPLogo"/>
            </w:pPr>
            <w:r w:rsidRPr="005A773F">
              <w:rPr>
                <w:noProof/>
                <w:lang w:eastAsia="ja-JP"/>
              </w:rPr>
              <w:drawing>
                <wp:inline distT="0" distB="0" distL="0" distR="0" wp14:anchorId="4D44ADE0" wp14:editId="5ECF4A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8253A9" w14:textId="77777777" w:rsidR="00D058B8" w:rsidRPr="005A773F" w:rsidRDefault="00D058B8" w:rsidP="004C5D52">
      <w:pPr>
        <w:pStyle w:val="LineTop"/>
      </w:pPr>
    </w:p>
    <w:p w14:paraId="3CD056EE" w14:textId="77777777" w:rsidR="00680577" w:rsidRPr="005A773F" w:rsidRDefault="00CF6D8B" w:rsidP="00680577">
      <w:pPr>
        <w:pStyle w:val="EPBodyTA1"/>
      </w:pPr>
      <w:r w:rsidRPr="005A773F">
        <w:t>VASTUVÕETUD TEKSTID</w:t>
      </w:r>
    </w:p>
    <w:p w14:paraId="1FA3CED1" w14:textId="77777777" w:rsidR="00D058B8" w:rsidRPr="005A773F" w:rsidRDefault="00D058B8" w:rsidP="00D058B8">
      <w:pPr>
        <w:pStyle w:val="LineBottom"/>
      </w:pPr>
    </w:p>
    <w:p w14:paraId="6A41E00B" w14:textId="65CBE71A" w:rsidR="00CF6D8B" w:rsidRPr="005A773F" w:rsidRDefault="00CF6D8B" w:rsidP="00CF6D8B">
      <w:pPr>
        <w:pStyle w:val="ATHeading1"/>
      </w:pPr>
      <w:bookmarkStart w:id="0" w:name="TANumber"/>
      <w:r w:rsidRPr="005A773F">
        <w:t>P10_TA(2026)0</w:t>
      </w:r>
      <w:bookmarkEnd w:id="0"/>
      <w:r w:rsidR="00B422D2" w:rsidRPr="005A773F">
        <w:t>248</w:t>
      </w:r>
    </w:p>
    <w:p w14:paraId="7C3D0811" w14:textId="77777777" w:rsidR="00CF6D8B" w:rsidRPr="005A773F" w:rsidRDefault="00CF6D8B" w:rsidP="00CF6D8B">
      <w:pPr>
        <w:pStyle w:val="ATHeading2"/>
      </w:pPr>
      <w:bookmarkStart w:id="1" w:name="title"/>
      <w:r w:rsidRPr="005A773F">
        <w:t>ELi finantssektori maksustamise sidus raamistik</w:t>
      </w:r>
      <w:bookmarkEnd w:id="1"/>
    </w:p>
    <w:p w14:paraId="4C6B80F7" w14:textId="77777777" w:rsidR="00CF6D8B" w:rsidRPr="005A773F" w:rsidRDefault="00CF6D8B" w:rsidP="00CF6D8B">
      <w:pPr>
        <w:rPr>
          <w:i/>
          <w:vanish/>
        </w:rPr>
      </w:pPr>
      <w:r w:rsidRPr="005A773F">
        <w:rPr>
          <w:i/>
        </w:rPr>
        <w:fldChar w:fldCharType="begin"/>
      </w:r>
      <w:r w:rsidRPr="005A773F">
        <w:rPr>
          <w:i/>
        </w:rPr>
        <w:instrText xml:space="preserve"> TC"(</w:instrText>
      </w:r>
      <w:bookmarkStart w:id="2" w:name="DocNumber"/>
      <w:r w:rsidRPr="005A773F">
        <w:rPr>
          <w:i/>
        </w:rPr>
        <w:instrText>A10-0169/2026</w:instrText>
      </w:r>
      <w:bookmarkEnd w:id="2"/>
      <w:r w:rsidRPr="005A773F">
        <w:rPr>
          <w:i/>
        </w:rPr>
        <w:instrText xml:space="preserve"> - Raportöör: Matthias Ecke)"\l3 \n&gt; \* MERGEFORMAT </w:instrText>
      </w:r>
      <w:r w:rsidRPr="005A773F">
        <w:rPr>
          <w:i/>
        </w:rPr>
        <w:fldChar w:fldCharType="end"/>
      </w:r>
    </w:p>
    <w:p w14:paraId="533F6942" w14:textId="77777777" w:rsidR="00CF6D8B" w:rsidRPr="005A773F" w:rsidRDefault="00CF6D8B" w:rsidP="00CF6D8B">
      <w:pPr>
        <w:rPr>
          <w:vanish/>
        </w:rPr>
      </w:pPr>
      <w:bookmarkStart w:id="3" w:name="Commission"/>
      <w:r w:rsidRPr="005A773F">
        <w:rPr>
          <w:vanish/>
        </w:rPr>
        <w:t>Majandus- ja rahanduskomisjon</w:t>
      </w:r>
      <w:bookmarkEnd w:id="3"/>
    </w:p>
    <w:p w14:paraId="42B5E789" w14:textId="77777777" w:rsidR="00CF6D8B" w:rsidRPr="005A773F" w:rsidRDefault="00CF6D8B" w:rsidP="00CF6D8B">
      <w:pPr>
        <w:rPr>
          <w:vanish/>
        </w:rPr>
      </w:pPr>
      <w:bookmarkStart w:id="4" w:name="PE"/>
      <w:r w:rsidRPr="005A773F">
        <w:rPr>
          <w:vanish/>
        </w:rPr>
        <w:t>PE779.360</w:t>
      </w:r>
      <w:bookmarkEnd w:id="4"/>
    </w:p>
    <w:p w14:paraId="57805573" w14:textId="56192D55" w:rsidR="00CF6D8B" w:rsidRPr="005A773F" w:rsidRDefault="00CF6D8B" w:rsidP="00CF6D8B">
      <w:pPr>
        <w:pStyle w:val="ATHeading3"/>
      </w:pPr>
      <w:bookmarkStart w:id="5" w:name="Sujet"/>
      <w:r w:rsidRPr="005A773F">
        <w:t xml:space="preserve">Euroopa Parlamendi </w:t>
      </w:r>
      <w:r w:rsidR="0063088B" w:rsidRPr="005A773F">
        <w:t>7</w:t>
      </w:r>
      <w:r w:rsidRPr="005A773F">
        <w:t>.</w:t>
      </w:r>
      <w:r w:rsidR="0063088B" w:rsidRPr="005A773F">
        <w:t> juuli</w:t>
      </w:r>
      <w:r w:rsidRPr="005A773F">
        <w:t xml:space="preserve"> 2026.</w:t>
      </w:r>
      <w:r w:rsidR="0063088B" w:rsidRPr="005A773F">
        <w:t> </w:t>
      </w:r>
      <w:r w:rsidRPr="005A773F">
        <w:t>aasta resolutsioon ELi finantssektori maksustamise sidusa raamistiku kohta</w:t>
      </w:r>
      <w:bookmarkEnd w:id="5"/>
      <w:r w:rsidRPr="005A773F">
        <w:t xml:space="preserve"> </w:t>
      </w:r>
      <w:bookmarkStart w:id="6" w:name="References"/>
      <w:r w:rsidRPr="005A773F">
        <w:t>(2024/2117(INI))</w:t>
      </w:r>
      <w:bookmarkEnd w:id="6"/>
    </w:p>
    <w:p w14:paraId="2A41D03E" w14:textId="77777777" w:rsidR="00E0469B" w:rsidRPr="005A773F" w:rsidRDefault="00E0469B" w:rsidP="00E0469B">
      <w:pPr>
        <w:pStyle w:val="Normal12"/>
      </w:pPr>
      <w:r w:rsidRPr="005A773F">
        <w:rPr>
          <w:i/>
        </w:rPr>
        <w:t>Euroopa Parlament</w:t>
      </w:r>
      <w:r w:rsidRPr="005A773F">
        <w:t>,</w:t>
      </w:r>
    </w:p>
    <w:p w14:paraId="39DEB689" w14:textId="77777777" w:rsidR="00E0469B" w:rsidRPr="005A773F" w:rsidRDefault="00E0469B" w:rsidP="00E0469B">
      <w:pPr>
        <w:pStyle w:val="NormalHanging"/>
      </w:pPr>
      <w:r w:rsidRPr="005A773F">
        <w:t>–</w:t>
      </w:r>
      <w:r w:rsidRPr="005A773F">
        <w:tab/>
        <w:t>võttes arvesse Euroopa Liidu toimimise lepingut, eriti selle artikleid 113, 114 ja 115,</w:t>
      </w:r>
    </w:p>
    <w:p w14:paraId="300D81B5" w14:textId="77777777" w:rsidR="00E0469B" w:rsidRPr="005A773F" w:rsidRDefault="00E0469B" w:rsidP="00E0469B">
      <w:pPr>
        <w:pStyle w:val="NormalHanging"/>
      </w:pPr>
      <w:r w:rsidRPr="005A773F">
        <w:t>–</w:t>
      </w:r>
      <w:r w:rsidRPr="005A773F">
        <w:tab/>
        <w:t>võttes arvesse komisjoni 28. septembri 2011. aasta ettepanekut võtta vastu nõukogu direktiiv, milles käsitletakse finantstehingute maksu ühist süsteemi ja millega muudetakse direktiivi 2008/7/EÜ (COM(2011)0594),</w:t>
      </w:r>
    </w:p>
    <w:p w14:paraId="1135D1BA" w14:textId="77777777" w:rsidR="00E0469B" w:rsidRPr="005A773F" w:rsidRDefault="00E0469B" w:rsidP="00E0469B">
      <w:pPr>
        <w:pStyle w:val="NormalHanging"/>
      </w:pPr>
      <w:r w:rsidRPr="005A773F">
        <w:t>–</w:t>
      </w:r>
      <w:r w:rsidRPr="005A773F">
        <w:tab/>
        <w:t>võttes arvesse komisjoni 14. veebruari 2013. aasta ettepanekut võtta vastu nõukogu direktiiv, millega rakendatakse tõhustatud koostööd finantstehingute maksu valdkonnas (COM(2013)0071) (finantstehingute maksu ettepanek),</w:t>
      </w:r>
    </w:p>
    <w:p w14:paraId="58BB7F4C" w14:textId="77777777" w:rsidR="00E0469B" w:rsidRPr="005A773F" w:rsidRDefault="00E0469B" w:rsidP="00E0469B">
      <w:pPr>
        <w:pStyle w:val="NormalHanging"/>
      </w:pPr>
      <w:r w:rsidRPr="005A773F">
        <w:t>–</w:t>
      </w:r>
      <w:r w:rsidRPr="005A773F">
        <w:tab/>
        <w:t>võttes arvesse komisjoni 28. novembri 2007. aasta ettepanekut võtta vastu nõukogu määrus, millega kehtestatakse direktiivi 2006/112/EÜ (mis käsitleb ühist käibemaksusüsteemi) kindlustus- ja finantsteenuseid käsitleva osa rakenduseeskirjad (COM(2007)0746),</w:t>
      </w:r>
    </w:p>
    <w:p w14:paraId="2C0F5F53" w14:textId="77777777" w:rsidR="00E0469B" w:rsidRPr="005A773F" w:rsidRDefault="00E0469B" w:rsidP="00E0469B">
      <w:pPr>
        <w:pStyle w:val="NormalHanging"/>
      </w:pPr>
      <w:r w:rsidRPr="005A773F">
        <w:t>–</w:t>
      </w:r>
      <w:r w:rsidRPr="005A773F">
        <w:tab/>
        <w:t>võttes arvesse komisjoni 28. novembri 2007. aasta ettepanekut võtta vastu nõukogu direktiiv, millega muudetakse kindlustus- ja finantsteenuste käsitlust direktiivis 2006/112/EÜ, mis käsitleb ühist käibemaksusüsteemi (COM(2007)0747),</w:t>
      </w:r>
    </w:p>
    <w:p w14:paraId="64C8CF63" w14:textId="74B206A1" w:rsidR="00E0469B" w:rsidRPr="005A773F" w:rsidRDefault="00E0469B" w:rsidP="00E0469B">
      <w:pPr>
        <w:pStyle w:val="NormalHanging"/>
      </w:pPr>
      <w:r w:rsidRPr="005A773F">
        <w:t>–</w:t>
      </w:r>
      <w:r w:rsidRPr="005A773F">
        <w:tab/>
        <w:t>võttes arvesse Euroopa Parlamendi ja nõukogu 31. mai 2023. aasta määrust (EL) 2023/1114, mis käsitleb krüptovaraturge ning millega muudetakse määrusi (EL) nr 1093/2010 ja (EL) nr 1095/2010 ning direktiive 2013/36/EL ja (EL) 2019/1937</w:t>
      </w:r>
      <w:r w:rsidR="0063088B" w:rsidRPr="005A773F">
        <w:rPr>
          <w:rStyle w:val="FootnoteReference"/>
        </w:rPr>
        <w:footnoteReference w:id="1"/>
      </w:r>
      <w:r w:rsidRPr="005A773F">
        <w:t>,</w:t>
      </w:r>
    </w:p>
    <w:p w14:paraId="06C8F9D0" w14:textId="77777777" w:rsidR="00E0469B" w:rsidRPr="005A773F" w:rsidRDefault="00E0469B" w:rsidP="00E0469B">
      <w:pPr>
        <w:pStyle w:val="NormalHanging"/>
      </w:pPr>
      <w:r w:rsidRPr="005A773F">
        <w:t>–</w:t>
      </w:r>
      <w:r w:rsidRPr="005A773F">
        <w:tab/>
        <w:t>võttes arvesse komisjoni 22. oktoobri 2020. aasta esialgset mõjuhinnangut finants- ja kindlustusteenuste käibemaksueeskirjade läbivaatamise kohta,</w:t>
      </w:r>
    </w:p>
    <w:p w14:paraId="672442CD" w14:textId="77777777" w:rsidR="00E0469B" w:rsidRPr="005A773F" w:rsidRDefault="00E0469B" w:rsidP="00E0469B">
      <w:pPr>
        <w:pStyle w:val="NormalHanging"/>
      </w:pPr>
      <w:r w:rsidRPr="005A773F">
        <w:t>–</w:t>
      </w:r>
      <w:r w:rsidRPr="005A773F">
        <w:tab/>
        <w:t xml:space="preserve">võttes arvesse komisjoni 12. septembri 2023. aasta ettepanekut mikro-, väikeste ja keskmise suurusega ettevõtjate peakontori maksustamise süsteemi kehtestamise ning </w:t>
      </w:r>
      <w:r w:rsidRPr="005A773F">
        <w:lastRenderedPageBreak/>
        <w:t>direktiivi 2011/16/EL muutmise kohta,</w:t>
      </w:r>
    </w:p>
    <w:p w14:paraId="7523B30C" w14:textId="4ED64A29" w:rsidR="00E0469B" w:rsidRPr="005A773F" w:rsidRDefault="00E0469B" w:rsidP="00E0469B">
      <w:pPr>
        <w:pStyle w:val="NormalHanging"/>
      </w:pPr>
      <w:r w:rsidRPr="005A773F">
        <w:t>–</w:t>
      </w:r>
      <w:r w:rsidRPr="005A773F">
        <w:tab/>
        <w:t>võttes arvesse nõukogu 14. detsembri 2020. aasta otsust (EL, Euratom) 2020/2053, mis käsitleb Euroopa Liidu omavahendite süsteemi ning millega tunnistatakse kehtetuks otsus 2014/335/EL, Euratom</w:t>
      </w:r>
      <w:r w:rsidR="0063088B" w:rsidRPr="005A773F">
        <w:rPr>
          <w:rStyle w:val="FootnoteReference"/>
        </w:rPr>
        <w:footnoteReference w:id="2"/>
      </w:r>
      <w:r w:rsidRPr="005A773F">
        <w:t>,</w:t>
      </w:r>
    </w:p>
    <w:p w14:paraId="7598C7DF" w14:textId="77777777" w:rsidR="00E0469B" w:rsidRPr="005A773F" w:rsidRDefault="00E0469B" w:rsidP="00E0469B">
      <w:pPr>
        <w:pStyle w:val="NormalHanging"/>
      </w:pPr>
      <w:r w:rsidRPr="005A773F">
        <w:t>–</w:t>
      </w:r>
      <w:r w:rsidRPr="005A773F">
        <w:tab/>
        <w:t>võttes arvesse komisjoni 22. detsembri 2021. aasta teatist „ELi eelarve uued omavahendid“ (COM(2021)0566),</w:t>
      </w:r>
    </w:p>
    <w:p w14:paraId="0138A13D" w14:textId="51CDF699" w:rsidR="00E0469B" w:rsidRPr="005A773F" w:rsidRDefault="00E0469B" w:rsidP="00E0469B">
      <w:pPr>
        <w:pStyle w:val="NormalHanging"/>
      </w:pPr>
      <w:r w:rsidRPr="005A773F">
        <w:t>–</w:t>
      </w:r>
      <w:r w:rsidRPr="005A773F">
        <w:tab/>
        <w:t>võttes arvesse Euroopa Parlamendi maksuküsimuste allkomisjoni tellitud uuringut „The taxation of the EU’s financial sector“ (ELi finantssektori maksustamine), mille Euroopa Parlamendi majanduse, ülemineku ja tööstuse peadirektoraat avaldas 2025. aasta juunis</w:t>
      </w:r>
      <w:r w:rsidR="0063088B" w:rsidRPr="005A773F">
        <w:rPr>
          <w:rStyle w:val="FootnoteReference"/>
        </w:rPr>
        <w:footnoteReference w:id="3"/>
      </w:r>
      <w:r w:rsidRPr="005A773F">
        <w:t>,</w:t>
      </w:r>
    </w:p>
    <w:p w14:paraId="748E51F0" w14:textId="77777777" w:rsidR="00E0469B" w:rsidRPr="005A773F" w:rsidRDefault="00E0469B" w:rsidP="00E0469B">
      <w:pPr>
        <w:pStyle w:val="NormalHanging"/>
      </w:pPr>
      <w:r w:rsidRPr="005A773F">
        <w:t>–</w:t>
      </w:r>
      <w:r w:rsidRPr="005A773F">
        <w:tab/>
        <w:t>võttes arvesse Euroopa Liidu Kohtu kohtupraktikat finants- ja kindlustusteenuste käibemaksuvabastuse kohta,</w:t>
      </w:r>
    </w:p>
    <w:p w14:paraId="12EA478C" w14:textId="41C61C96" w:rsidR="00E0469B" w:rsidRPr="005A773F" w:rsidRDefault="00E0469B" w:rsidP="00E0469B">
      <w:pPr>
        <w:pStyle w:val="NormalHanging"/>
      </w:pPr>
      <w:r w:rsidRPr="005A773F">
        <w:t>–</w:t>
      </w:r>
      <w:r w:rsidRPr="005A773F">
        <w:tab/>
        <w:t>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0063088B" w:rsidRPr="005A773F">
        <w:rPr>
          <w:rStyle w:val="FootnoteReference"/>
        </w:rPr>
        <w:footnoteReference w:id="4"/>
      </w:r>
      <w:r w:rsidRPr="005A773F">
        <w:t>,</w:t>
      </w:r>
    </w:p>
    <w:p w14:paraId="40C77F54" w14:textId="01B6CD3E" w:rsidR="00E0469B" w:rsidRPr="005A773F" w:rsidRDefault="00E0469B" w:rsidP="00E0469B">
      <w:pPr>
        <w:pStyle w:val="NormalHanging"/>
      </w:pPr>
      <w:r w:rsidRPr="005A773F">
        <w:t>–</w:t>
      </w:r>
      <w:r w:rsidRPr="005A773F">
        <w:tab/>
        <w:t>võttes arvesse oma 10. mai 2023. aasta resolutsiooni omavahendite kohta: uus algus ELi rahandusele, uus algus Euroopale</w:t>
      </w:r>
      <w:r w:rsidR="0063088B" w:rsidRPr="005A773F">
        <w:rPr>
          <w:rStyle w:val="FootnoteReference"/>
        </w:rPr>
        <w:footnoteReference w:id="5"/>
      </w:r>
      <w:r w:rsidRPr="005A773F">
        <w:t>,</w:t>
      </w:r>
    </w:p>
    <w:p w14:paraId="406C9F91" w14:textId="77777777" w:rsidR="00E0469B" w:rsidRPr="005A773F" w:rsidRDefault="00E0469B" w:rsidP="00E0469B">
      <w:pPr>
        <w:pStyle w:val="NormalHanging"/>
      </w:pPr>
      <w:r w:rsidRPr="005A773F">
        <w:t>–</w:t>
      </w:r>
      <w:r w:rsidRPr="005A773F">
        <w:tab/>
        <w:t>võttes arvesse Enrico Letta 2024. aasta aprilli aruannet „Much more than a market – Speed, Security, Solidarity: Empowering the single market to deliver a sustainable future and prosperity for all EU citizens“ (Palju enamat kui turg. Kiirus, turvalisus, solidaarsus: siseturu tugevdamine kõigile ELi kodanikele kestliku tuleviku ja jõukuse tagamiseks) (edaspidi „Letta aruanne“),</w:t>
      </w:r>
    </w:p>
    <w:p w14:paraId="223266A7" w14:textId="77777777" w:rsidR="00E0469B" w:rsidRPr="005A773F" w:rsidRDefault="00E0469B" w:rsidP="00E0469B">
      <w:pPr>
        <w:pStyle w:val="NormalHanging"/>
      </w:pPr>
      <w:r w:rsidRPr="005A773F">
        <w:t>–</w:t>
      </w:r>
      <w:r w:rsidRPr="005A773F">
        <w:tab/>
        <w:t>võttes arvesse Mario Draghi 9. septembri 2024. aasta aruannet Euroopa konkurentsivõime tuleviku kohta „The future of European competitiveness“ (edaspidi „Draghi aruanne“),</w:t>
      </w:r>
    </w:p>
    <w:p w14:paraId="0298DA81" w14:textId="77777777" w:rsidR="00E0469B" w:rsidRPr="005A773F" w:rsidRDefault="00E0469B" w:rsidP="00E0469B">
      <w:pPr>
        <w:pStyle w:val="NormalHanging"/>
      </w:pPr>
      <w:r w:rsidRPr="005A773F">
        <w:t>–</w:t>
      </w:r>
      <w:r w:rsidRPr="005A773F">
        <w:tab/>
        <w:t>võttes arvesse komisjoni teatist „Hoiuste ja investeeringute liit. ELi kodanike jõukuse ja majandusliku konkurentsivõime kasvatamise strateegia“</w:t>
      </w:r>
      <w:r w:rsidRPr="005A773F">
        <w:rPr>
          <w:b/>
        </w:rPr>
        <w:t xml:space="preserve"> </w:t>
      </w:r>
      <w:r w:rsidRPr="005A773F">
        <w:t>(COM(2025)0124),</w:t>
      </w:r>
    </w:p>
    <w:p w14:paraId="3D03456E" w14:textId="57370010" w:rsidR="00E0469B" w:rsidRPr="005A773F" w:rsidRDefault="00E0469B" w:rsidP="00E0469B">
      <w:pPr>
        <w:pStyle w:val="NormalHanging"/>
      </w:pPr>
      <w:r w:rsidRPr="005A773F">
        <w:t>–</w:t>
      </w:r>
      <w:r w:rsidRPr="005A773F">
        <w:tab/>
        <w:t>võttes arvesse komisjoni 30. septembri 2025. aasta soovitust (EL) 2025/2029 säästu- ja investeerimiskontode kättesaadavamaks muutmise kohta lihtsustatud ja soodsa maksukohtlemise teel</w:t>
      </w:r>
      <w:r w:rsidR="0063088B" w:rsidRPr="005A773F">
        <w:rPr>
          <w:rStyle w:val="FootnoteReference"/>
        </w:rPr>
        <w:footnoteReference w:id="6"/>
      </w:r>
      <w:r w:rsidRPr="005A773F">
        <w:t>,</w:t>
      </w:r>
    </w:p>
    <w:p w14:paraId="418B5A24" w14:textId="77777777" w:rsidR="00E0469B" w:rsidRPr="005A773F" w:rsidRDefault="00E0469B" w:rsidP="00E0469B">
      <w:pPr>
        <w:pStyle w:val="NormalHanging"/>
      </w:pPr>
      <w:r w:rsidRPr="005A773F">
        <w:t>–</w:t>
      </w:r>
      <w:r w:rsidRPr="005A773F">
        <w:tab/>
        <w:t xml:space="preserve">võttes arvesse Maailmapanga 2025. aasta mai töödokumenti „VAT Exemptions, </w:t>
      </w:r>
      <w:r w:rsidRPr="005A773F">
        <w:lastRenderedPageBreak/>
        <w:t>Embedded Tax, and Unintended Consequences“ (Käibemaksuvabastused, varjatud maks ja soovimatud tagajärjed),</w:t>
      </w:r>
    </w:p>
    <w:p w14:paraId="1A0DE502" w14:textId="77777777" w:rsidR="00E0469B" w:rsidRPr="005A773F" w:rsidRDefault="00E0469B" w:rsidP="00E0469B">
      <w:pPr>
        <w:pStyle w:val="NormalHanging"/>
      </w:pPr>
      <w:r w:rsidRPr="005A773F">
        <w:t>–</w:t>
      </w:r>
      <w:r w:rsidRPr="005A773F">
        <w:tab/>
        <w:t>võttes arvesse kodukorra artiklit 55,</w:t>
      </w:r>
    </w:p>
    <w:p w14:paraId="22172D9C" w14:textId="77777777" w:rsidR="00E0469B" w:rsidRPr="005A773F" w:rsidRDefault="00E0469B" w:rsidP="00E0469B">
      <w:pPr>
        <w:pStyle w:val="NormalHanging"/>
      </w:pPr>
      <w:r w:rsidRPr="005A773F">
        <w:t>–</w:t>
      </w:r>
      <w:r w:rsidRPr="005A773F">
        <w:tab/>
        <w:t>võttes arvesse majandus- ja rahanduskomisjoni raportit (A10-0169/2026),</w:t>
      </w:r>
    </w:p>
    <w:p w14:paraId="6E3D6FC5" w14:textId="77777777" w:rsidR="00E0469B" w:rsidRPr="005A773F" w:rsidRDefault="00E0469B" w:rsidP="00E0469B">
      <w:pPr>
        <w:pStyle w:val="NormalHanging"/>
      </w:pPr>
      <w:r w:rsidRPr="005A773F">
        <w:t>A.</w:t>
      </w:r>
      <w:r w:rsidRPr="005A773F">
        <w:tab/>
        <w:t>arvestades, et komisjoni presidendi 2024. aasta missioonikirjas maksunduse eest vastutavale volinikule tehti komisjonile ülesandeks leida ELi finantssektori maksustamiseks uuenduslikke lahendusi, et toetada sektori edasist integreerimist, piiriülest tegevust, digiteerimist ja innovatsiooni; arvestades, et komisjon on algatanud uuringu finantssektori maksustamise kohta ELis;</w:t>
      </w:r>
    </w:p>
    <w:p w14:paraId="45F5B7F3" w14:textId="77777777" w:rsidR="00E0469B" w:rsidRPr="005A773F" w:rsidRDefault="00E0469B" w:rsidP="00E0469B">
      <w:pPr>
        <w:pStyle w:val="NormalHanging"/>
      </w:pPr>
      <w:r w:rsidRPr="005A773F">
        <w:t>B.</w:t>
      </w:r>
      <w:r w:rsidRPr="005A773F">
        <w:tab/>
        <w:t>arvestades, et finantsteenused on ELis üldiselt käibemaksust vabastatud; arvestades, et finantsasutused ei saa selle maksuvabastuse tõttu oma sisenditelt tasutud käibemaksu maha arvata, mis tekitab nn tagastamatu käibemaksu probleemi; arvestades, et see erand võib põhjustada läbipaistvuse puudumist, suurendada tarbijate kulusid ja tuua finantsasutustele kaasa lisakulusid, mõjutada korralduse ja allhangetega seotud otsuseid ning seada väiksemad, digitaalsed ja piiriülesed teenuseosutajad ebasoodsasse konkurentsiolukorda;</w:t>
      </w:r>
    </w:p>
    <w:p w14:paraId="7E9EC7F4" w14:textId="77777777" w:rsidR="00E0469B" w:rsidRPr="005A773F" w:rsidRDefault="00E0469B" w:rsidP="00E0469B">
      <w:pPr>
        <w:pStyle w:val="NormalHanging"/>
      </w:pPr>
      <w:r w:rsidRPr="005A773F">
        <w:t>C.</w:t>
      </w:r>
      <w:r w:rsidRPr="005A773F">
        <w:tab/>
        <w:t>arvestades, et finantsasutustele ei pakuta kõigis liikmesriikides järjepidevalt võimalust valida käibemaksuga maksustamist, mis suurendab halduskeerukust;</w:t>
      </w:r>
    </w:p>
    <w:p w14:paraId="2C69E450" w14:textId="77777777" w:rsidR="00E0469B" w:rsidRPr="005A773F" w:rsidRDefault="00E0469B" w:rsidP="00E0469B">
      <w:pPr>
        <w:pStyle w:val="NormalHanging"/>
      </w:pPr>
      <w:r w:rsidRPr="005A773F">
        <w:t>D.</w:t>
      </w:r>
      <w:r w:rsidRPr="005A773F">
        <w:tab/>
        <w:t>arvestades, et käibemaksuvabastus pärineb aastast 1977, mil selliste finantsteenuste maksustamine tekitas märkimisväärseid tehnilisi ja halduslikke raskusi; arvestades, et käibemaksuvabastuse algset tehnilist põhjendust saaks nüüd lahendada tehnoloogiliste, digitaalsete ja järelevalvealaste edusammude, sealhulgas reaalajas andmetöötluse ja täiustatud aruandlusnõuete abil;</w:t>
      </w:r>
    </w:p>
    <w:p w14:paraId="75689086" w14:textId="77777777" w:rsidR="00E0469B" w:rsidRPr="005A773F" w:rsidRDefault="00E0469B" w:rsidP="00E0469B">
      <w:pPr>
        <w:pStyle w:val="NormalHanging"/>
      </w:pPr>
      <w:r w:rsidRPr="005A773F">
        <w:t>E.</w:t>
      </w:r>
      <w:r w:rsidRPr="005A773F">
        <w:tab/>
        <w:t>arvestades, et mitmed jurisdiktsioonid kogu maailmas on sarnased maksuvabastused läbi vaadanud või kehtestanud finantsteenuste maksustamise alternatiivsed vormid, et tegeleda tagastamatu käibemaksu soovimatu fiskaalse ja konkurentsimõjuga ning tagada jätkuvalt finantssektori õiglane ja usaldusväärne panus avaliku sektori tuludesse;</w:t>
      </w:r>
    </w:p>
    <w:p w14:paraId="477D5F1D" w14:textId="77777777" w:rsidR="00E0469B" w:rsidRPr="005A773F" w:rsidRDefault="00E0469B" w:rsidP="00E0469B">
      <w:pPr>
        <w:pStyle w:val="NormalHanging"/>
      </w:pPr>
      <w:r w:rsidRPr="005A773F">
        <w:t>F.</w:t>
      </w:r>
      <w:r w:rsidRPr="005A773F">
        <w:tab/>
        <w:t>arvestades, et nii Letta kui ka Draghi aruannetes rõhutatakse, et ühtse turu maksusüsteemide killustatus (sealhulgas haldus- ja maksutõkked) takistab majanduskasvu, kaubandust ja piiriülest tegevust; arvestades, et ELi-siseste tõketega kehtestatakse finantsteenustele peaaegu 100 % tariif; arvestades, et Draghi väitel kahjustavad need tõkked ja regulatiivsed takistused majanduskasvu palju rohkem kui mis tahes tollimaksud, mille USA võib kehtestada;</w:t>
      </w:r>
    </w:p>
    <w:p w14:paraId="2FB6ADE2" w14:textId="4B1A913C" w:rsidR="00E0469B" w:rsidRPr="005A773F" w:rsidRDefault="00E0469B" w:rsidP="00E0469B">
      <w:pPr>
        <w:pStyle w:val="NormalHanging"/>
      </w:pPr>
      <w:r w:rsidRPr="005A773F">
        <w:t>G.</w:t>
      </w:r>
      <w:r w:rsidRPr="005A773F">
        <w:tab/>
        <w:t xml:space="preserve">arvestades, et Eurostati andmete kohaselt on finantssektor ELi majanduse oluline osa, mis lõi 2022. aastal ligikaudu 0,9 triljonit eurot lisaväärtust, andis tööd peaaegu 5 miljonile inimesele ja tegi ligikaudu 2,4 triljoni euro suuruse netokäibe; arvestades, et sektor panustab riigi rahandusse äriühingute maksustamise, palgafondimaksude ja sektoripõhiste tasude kaudu; arvestades, et ELi finantssektoril on reaalmajanduse rahastamisel, innovatsiooni toetamisel ja investeeringute hõlbustamisel keskne </w:t>
      </w:r>
      <w:r w:rsidR="00520BC2" w:rsidRPr="005A773F">
        <w:t>tähtsus</w:t>
      </w:r>
      <w:r w:rsidRPr="005A773F">
        <w:t>;</w:t>
      </w:r>
    </w:p>
    <w:p w14:paraId="0E39827C" w14:textId="1B0595A5" w:rsidR="00E0469B" w:rsidRPr="005A773F" w:rsidRDefault="00E0469B" w:rsidP="00E0469B">
      <w:pPr>
        <w:pStyle w:val="NormalHanging"/>
      </w:pPr>
      <w:r w:rsidRPr="005A773F">
        <w:t>H.</w:t>
      </w:r>
      <w:r w:rsidRPr="005A773F">
        <w:tab/>
        <w:t xml:space="preserve">arvestades, et hiljutised algatused, nagu nõukogu 10. detsembri 2024. aasta direktiiv 2025/50 ülemääraselt kinnipeetava maksu vähendamise kiiremate ja turvalisemate </w:t>
      </w:r>
      <w:r w:rsidRPr="005A773F">
        <w:lastRenderedPageBreak/>
        <w:t>menetluste kohta</w:t>
      </w:r>
      <w:r w:rsidR="0063088B" w:rsidRPr="005A773F">
        <w:rPr>
          <w:rStyle w:val="FootnoteReference"/>
        </w:rPr>
        <w:footnoteReference w:id="7"/>
      </w:r>
      <w:r w:rsidRPr="005A773F">
        <w:t xml:space="preserve"> (FASTERi direktiiv), on aidanud teha märkimisväärseid edusamme halduskoormuse vähendamisel ja piiriülese majandustegevuse hõlbustamisel ELis ning sarnaseid jõupingutusi tuleks jätkata, et ühtse turu integratsiooni ja tõhusust veelgi tugevdada;</w:t>
      </w:r>
    </w:p>
    <w:p w14:paraId="4F4F782F" w14:textId="75C70734" w:rsidR="00E0469B" w:rsidRPr="005A773F" w:rsidRDefault="00E0469B" w:rsidP="00E0469B">
      <w:pPr>
        <w:pStyle w:val="NormalHanging"/>
      </w:pPr>
      <w:r w:rsidRPr="005A773F">
        <w:t>I.</w:t>
      </w:r>
      <w:r w:rsidRPr="005A773F">
        <w:tab/>
        <w:t>arvestades, et nõukogu on viivitanud otsuse tegemisega komisjoni ettepaneku kohta võtta vastu direktiiv, millega kehtestatakse mikro-, väikeste ja keskmise suurusega ettevõtjate peakontori maksustamise süsteem ning muudetakse direktiivi 2011/16/EL, samas kui Euroopa Parlament kiitis seadusandliku resolutsiooni heaks juba 10. aprillil 2024</w:t>
      </w:r>
      <w:r w:rsidR="0063088B" w:rsidRPr="005A773F">
        <w:rPr>
          <w:rStyle w:val="FootnoteReference"/>
        </w:rPr>
        <w:footnoteReference w:id="8"/>
      </w:r>
      <w:r w:rsidRPr="005A773F">
        <w:t>;</w:t>
      </w:r>
    </w:p>
    <w:p w14:paraId="36C27233" w14:textId="77777777" w:rsidR="00E0469B" w:rsidRPr="005A773F" w:rsidRDefault="00E0469B" w:rsidP="00E0469B">
      <w:pPr>
        <w:pStyle w:val="NormalHanging"/>
      </w:pPr>
      <w:r w:rsidRPr="005A773F">
        <w:t>J.</w:t>
      </w:r>
      <w:r w:rsidRPr="005A773F">
        <w:tab/>
        <w:t>arvestades, et mis tahes tulevased algatused peaksid vähendama ühtse turu killustatust ja tugevdama konkurentsivõimet, tagades finantsteenuste sidusa, prognoositava ja neutraalse maksuraamistiku, võttes samal ajal arvesse erinevaid ärimudeleid ja maksude koostoimet kogu ELi finantssektoris;</w:t>
      </w:r>
    </w:p>
    <w:p w14:paraId="5CA3E12C" w14:textId="77777777" w:rsidR="00E0469B" w:rsidRPr="005A773F" w:rsidRDefault="00E0469B" w:rsidP="00E0469B">
      <w:pPr>
        <w:pStyle w:val="NormalHanging"/>
      </w:pPr>
      <w:r w:rsidRPr="005A773F">
        <w:t>K.</w:t>
      </w:r>
      <w:r w:rsidRPr="005A773F">
        <w:tab/>
        <w:t>arvestades, et finantsteenuste maksustamine ELis on endiselt väga killustatud ning riikide lähenemisviisid kindlustusmaksetelt võetavatele maksudele, finantstehingute maksudele, pangamaksudele, finantstegevuse maksudele ja muudele kasumipõhistele maksudele on erinevad; arvestades, et selline killustatus tekitab õiguskindlusetust ja keerukust, põhjustab turumoonutusi, soodustab maksustamise vältimist ja vähendab ELi konkurentsivõimet;</w:t>
      </w:r>
    </w:p>
    <w:p w14:paraId="16023C3D" w14:textId="77777777" w:rsidR="00E0469B" w:rsidRPr="005A773F" w:rsidRDefault="00E0469B" w:rsidP="00E0469B">
      <w:pPr>
        <w:pStyle w:val="NormalHanging"/>
      </w:pPr>
      <w:r w:rsidRPr="005A773F">
        <w:t>L.</w:t>
      </w:r>
      <w:r w:rsidRPr="005A773F">
        <w:tab/>
        <w:t>arvestades, et Euroopa hoiuste ja investeeringute liit eeldab seda, et inimestele antakse tugevamaid stiimuleid Euroopa kapitaliturgudel säästmiseks ja neisse investeerimiseks; arvestades, et hoiuste ja investeeringute liidu väljakujundamiseks on vaja terviklikku lähenemisviisi finantsstabiilsusele, turgude integreerimisele ja investorite kaitsele; arvestades, et hoiuste ja investeeringute liidu edu ja usaldusväärsuse jaoks on äärmiselt oluline tagada, et finantssektor annaks olulise panuse riigi rahandusse, võtaks enda tekitatavad riskid enda kanda ja toetaks pikaajalisi kestlikke investeeringuid;</w:t>
      </w:r>
    </w:p>
    <w:p w14:paraId="6ECDAF2C" w14:textId="77777777" w:rsidR="00E0469B" w:rsidRPr="005A773F" w:rsidRDefault="00E0469B" w:rsidP="00E0469B">
      <w:pPr>
        <w:pStyle w:val="NormalHanging"/>
      </w:pPr>
      <w:r w:rsidRPr="005A773F">
        <w:t>M.</w:t>
      </w:r>
      <w:r w:rsidRPr="005A773F">
        <w:tab/>
        <w:t>arvestades, et finantstehingute makse ja pangamakse arutati pärast 2008. ja 2009. aasta finantskriisi; arvestades, et nende meetmetega püüti korvata kriisi tekitatud kulusid;</w:t>
      </w:r>
    </w:p>
    <w:p w14:paraId="63C621F8" w14:textId="77777777" w:rsidR="00E0469B" w:rsidRPr="005A773F" w:rsidRDefault="00E0469B" w:rsidP="00E0469B">
      <w:pPr>
        <w:pStyle w:val="NormalHanging"/>
      </w:pPr>
      <w:r w:rsidRPr="005A773F">
        <w:t>N.</w:t>
      </w:r>
      <w:r w:rsidRPr="005A773F">
        <w:tab/>
        <w:t>arvestades, et vähemalt seitse liikmesriiki kohaldavad praegu finantstehingute maksu; arvestades, et need liikmesriigid ei ole oma finantstehingute maksude kohaldamisala, määra ega kohaldamist kooskõlastanud; arvestades, et kogu ELi hõlmava finantstehingute maksu suhtes ei ole kokkuleppele jõutud, kuigi komisjon on alates 2011. aastast esitanud mitu seadusandlikku ettepanekut;</w:t>
      </w:r>
    </w:p>
    <w:p w14:paraId="43121204" w14:textId="77777777" w:rsidR="00E0469B" w:rsidRPr="005A773F" w:rsidRDefault="00E0469B" w:rsidP="00E0469B">
      <w:pPr>
        <w:pStyle w:val="NormalHanging"/>
      </w:pPr>
      <w:r w:rsidRPr="005A773F">
        <w:t>O.</w:t>
      </w:r>
      <w:r w:rsidRPr="005A773F">
        <w:tab/>
        <w:t>arvestades, et Euroopa Parlament on järjekindlalt toetanud kogu ELi hõlmava finantstehingute maksu kehtestamist, sealhulgas võimaliku omavahendina, väljendades viimati sellele toetust oma 2023. aasta mai resolutsioonis; arvestades, et komisjon tegi oma 2026. aasta tööprogrammis ettepaneku võtta oma varasem finantstehingute maksu ettepanek tagasi, kuna liikmesriikide vahel puudus konsensus ja kokkuleppele ei jõutud;</w:t>
      </w:r>
    </w:p>
    <w:p w14:paraId="274A0503" w14:textId="77777777" w:rsidR="00E0469B" w:rsidRPr="005A773F" w:rsidRDefault="00E0469B" w:rsidP="00E0469B">
      <w:pPr>
        <w:pStyle w:val="NormalHanging"/>
      </w:pPr>
      <w:r w:rsidRPr="005A773F">
        <w:lastRenderedPageBreak/>
        <w:t>P.</w:t>
      </w:r>
      <w:r w:rsidRPr="005A773F">
        <w:tab/>
        <w:t>arvestades, et liikmesriigid jätkavad pankade kasumile ajutiste erakorraliste maksude või solidaarsusmaksude kehtestamist, et tegeleda rahapoliitikast tingitud kasumlikkuse erakorralise suurenemisega;</w:t>
      </w:r>
    </w:p>
    <w:p w14:paraId="5DAF0A99" w14:textId="77777777" w:rsidR="00E0469B" w:rsidRPr="005A773F" w:rsidRDefault="00E0469B" w:rsidP="00E0469B">
      <w:pPr>
        <w:pStyle w:val="Normal12a"/>
      </w:pPr>
      <w:r w:rsidRPr="005A773F">
        <w:rPr>
          <w:b/>
          <w:i/>
        </w:rPr>
        <w:t>Finantssektori maksustamise killustatuse vähendamine ja sektori konkurentsivõime suurendamine</w:t>
      </w:r>
    </w:p>
    <w:p w14:paraId="1F366680" w14:textId="2567865F" w:rsidR="00E0469B" w:rsidRPr="005A773F" w:rsidRDefault="00E0469B" w:rsidP="00E0469B">
      <w:pPr>
        <w:pStyle w:val="NormalHanging12a"/>
      </w:pPr>
      <w:r w:rsidRPr="005A773F">
        <w:t>1.</w:t>
      </w:r>
      <w:r w:rsidRPr="005A773F">
        <w:tab/>
        <w:t xml:space="preserve">märgib, et </w:t>
      </w:r>
      <w:r w:rsidR="00B422D2" w:rsidRPr="005A773F">
        <w:t>pärast suurt finantskriisi</w:t>
      </w:r>
      <w:r w:rsidRPr="005A773F">
        <w:t xml:space="preserve"> on liikmesriigid kehtestanud 91 sektoripõhist maksu, et finantssektorit maksustada, ning selle tulemuseks on väga killustatud maksumaastik; märgib, et selline killustatud maksumaastik tekitab täiendavaid tegevus- ja halduskulusid ning suurendab struktuurseid tõkkeid finantsteenuste osutajate piiriülesele laienemisele, nõrgendades seeläbi ELi finantssektorit ja selle investeerimissuutlikkust ning kahjustades Euroopa hoiuste ja investeeringute liidu ja pangandusliidu eesmärke;</w:t>
      </w:r>
    </w:p>
    <w:p w14:paraId="7A3BECEE" w14:textId="7C37E7CE" w:rsidR="00E0469B" w:rsidRPr="005A773F" w:rsidRDefault="006C6CAB" w:rsidP="00E0469B">
      <w:pPr>
        <w:pStyle w:val="NormalHanging12a"/>
      </w:pPr>
      <w:r w:rsidRPr="005A773F">
        <w:t>2.</w:t>
      </w:r>
      <w:r w:rsidR="00E0469B" w:rsidRPr="005A773F">
        <w:tab/>
        <w:t>märgib, et riikide maksusüsteemide erinevused kajastavad riigisiseseid poliitilisi valikuid; võtab teadmiseks rahvusvahelisel tasandil käimasoleva töö kasumi ümberpaigutamise valdkonnas; nõuab tugevamat koordineerimist ELi tasandil, sealhulgas teise samba direktiivi rakendamisel, rangeid maksustamise vältimise vastaseid reegleid ja läbipaistvusnõudeid, eelkõige riikide lõikes esitatava avaliku aruandluse valdkonnas;</w:t>
      </w:r>
    </w:p>
    <w:p w14:paraId="67FD72CD" w14:textId="07C4D1AF" w:rsidR="00E0469B" w:rsidRPr="005A773F" w:rsidRDefault="006C6CAB" w:rsidP="00E0469B">
      <w:pPr>
        <w:pStyle w:val="NormalHanging12a"/>
      </w:pPr>
      <w:r w:rsidRPr="005A773F">
        <w:t>3</w:t>
      </w:r>
      <w:r w:rsidR="00E0469B" w:rsidRPr="005A773F">
        <w:t>.</w:t>
      </w:r>
      <w:r w:rsidR="00E0469B" w:rsidRPr="005A773F">
        <w:tab/>
        <w:t>märgib, et riiklike maksusüsteemide killustatus suurendab piiriülese topeltmaksustamise ohtu ning võib haldusliku ja õigusliku keerukuse tõttu pärssida ELi finantssektori kasvu ja takistada ELi finantsturgude sügavamat integratsiooni; rõhutab, et topeltmaksustamise vältimine ja halduskoormuse vähendamine peaksid jääma ülioluliseks; rõhutab siiski, et lihtsustamispüüdlused ei tohi kaasa tuua dereguleerimist ega võidujooksu madalaimate maksustandardite suunas;</w:t>
      </w:r>
    </w:p>
    <w:p w14:paraId="012A048F" w14:textId="24ACE631" w:rsidR="00E0469B" w:rsidRPr="005A773F" w:rsidRDefault="006C6CAB" w:rsidP="00E0469B">
      <w:pPr>
        <w:pStyle w:val="NormalHanging12a"/>
      </w:pPr>
      <w:r w:rsidRPr="005A773F">
        <w:t>4</w:t>
      </w:r>
      <w:r w:rsidR="00E0469B" w:rsidRPr="005A773F">
        <w:t>.</w:t>
      </w:r>
      <w:r w:rsidR="00E0469B" w:rsidRPr="005A773F">
        <w:tab/>
        <w:t>toonitab, et kinnipeetavat maksu käsitlevate riiklike menetluste erinevused tekitavad halduskoormust ja tõkkeid piiriülestele investeeringutele, nagu tunnistatakse komisjoni hoiuste ja investeeringute liidu strateegias; väljendab heameelt FASTERi direktiivi vastuvõtmise üle; nõuab täiendavaid edusamme koordineerituma ja ambitsioonikama raamistiku suunas liikumisel;</w:t>
      </w:r>
    </w:p>
    <w:p w14:paraId="43FD8C82" w14:textId="1807A172" w:rsidR="00E0469B" w:rsidRPr="005A773F" w:rsidRDefault="006C6CAB" w:rsidP="00E0469B">
      <w:pPr>
        <w:pStyle w:val="NormalHanging12a"/>
      </w:pPr>
      <w:r w:rsidRPr="005A773F">
        <w:t>5</w:t>
      </w:r>
      <w:r w:rsidR="00E0469B" w:rsidRPr="005A773F">
        <w:t>.</w:t>
      </w:r>
      <w:r w:rsidR="00E0469B" w:rsidRPr="005A773F">
        <w:tab/>
        <w:t>kutsub nõukogu üles tegema otsust komisjoni ettepaneku kohta võtta vastu nõukogu direktiiv, millega kehtestatakse mikro-, väikeste ja keskmise suurusega ettevõtjate peakontori maksustamise süsteem ning muudetakse direktiivi 2011/16/EL, võttes igakülgselt arvesse Euroopa Parlamendi 10. aprilli 2024. aasta seadusandlikku resolutsiooni;</w:t>
      </w:r>
    </w:p>
    <w:p w14:paraId="710437A8" w14:textId="4F15D83D" w:rsidR="00E0469B" w:rsidRPr="005A773F" w:rsidRDefault="006C6CAB" w:rsidP="00E0469B">
      <w:pPr>
        <w:pStyle w:val="NormalHanging12a"/>
      </w:pPr>
      <w:r w:rsidRPr="005A773F">
        <w:t>6</w:t>
      </w:r>
      <w:r w:rsidR="00E0469B" w:rsidRPr="005A773F">
        <w:t>.</w:t>
      </w:r>
      <w:r w:rsidR="00E0469B" w:rsidRPr="005A773F">
        <w:tab/>
        <w:t>märgib lisaks, et kehtivad maksu</w:t>
      </w:r>
      <w:r w:rsidR="00520BC2" w:rsidRPr="005A773F">
        <w:t>normid</w:t>
      </w:r>
      <w:r w:rsidR="00E0469B" w:rsidRPr="005A773F">
        <w:t xml:space="preserve"> ei ole uute finantstoodete ja turutaristute tekkimisega täielikult sammu pidanud; rõhutab, et killustumine muutub kiiresti murettekitavamaks seoses neopankade, näiteks ainult digilahendusi kasutavate pankade, konkureerivate pankade ja finantstehnoloogia pankade eduga; juhib tähelepanu nendes pankades hoitavate piiriüleste hoiuste osakaalu märkimisväärsele suurenemisele viimase kuue aasta jooksul; toonitab, et erinevused pankade ja pangandussektoriväliste üksuste maksu</w:t>
      </w:r>
      <w:r w:rsidR="00520BC2" w:rsidRPr="005A773F">
        <w:t>normides</w:t>
      </w:r>
      <w:r w:rsidR="00E0469B" w:rsidRPr="005A773F">
        <w:t xml:space="preserve"> võivad tekitada moonutusi;</w:t>
      </w:r>
    </w:p>
    <w:p w14:paraId="49D82AEE" w14:textId="164E6753" w:rsidR="00E0469B" w:rsidRPr="005A773F" w:rsidRDefault="006C6CAB" w:rsidP="00E0469B">
      <w:pPr>
        <w:pStyle w:val="NormalHanging12a"/>
      </w:pPr>
      <w:r w:rsidRPr="005A773F">
        <w:t>7</w:t>
      </w:r>
      <w:r w:rsidR="00E0469B" w:rsidRPr="005A773F">
        <w:t>.</w:t>
      </w:r>
      <w:r w:rsidR="00E0469B" w:rsidRPr="005A773F">
        <w:tab/>
        <w:t xml:space="preserve">rõhutab, et ebapiisavad andmed ELi finantssektori tegeliku maksukoormuse kohta takistavad tõenditel põhinevat poliitikakujundamist ning turukäitumisele, konkurentsile ja finantsstabiilsusele avalduva poliitilise mõju hindamist; rõhutab vajadust suurema </w:t>
      </w:r>
      <w:r w:rsidR="00E0469B" w:rsidRPr="005A773F">
        <w:lastRenderedPageBreak/>
        <w:t>läbipaistvuse ja</w:t>
      </w:r>
      <w:r w:rsidR="00B422D2" w:rsidRPr="005A773F">
        <w:t xml:space="preserve"> olemasolevate</w:t>
      </w:r>
      <w:r w:rsidR="00E0469B" w:rsidRPr="005A773F">
        <w:t xml:space="preserve"> andmete </w:t>
      </w:r>
      <w:r w:rsidR="00B422D2" w:rsidRPr="005A773F">
        <w:t xml:space="preserve">parema kasutamise </w:t>
      </w:r>
      <w:r w:rsidR="00E0469B" w:rsidRPr="005A773F">
        <w:t>järele, mis on finantssektori maksustamise sidusa reformi eeltingimus;</w:t>
      </w:r>
    </w:p>
    <w:p w14:paraId="04F3D2E4" w14:textId="3BB39E1A" w:rsidR="00E0469B" w:rsidRPr="005A773F" w:rsidRDefault="006C6CAB" w:rsidP="00E0469B">
      <w:pPr>
        <w:pStyle w:val="NormalHanging12a"/>
      </w:pPr>
      <w:r w:rsidRPr="005A773F">
        <w:t>8</w:t>
      </w:r>
      <w:r w:rsidR="00E0469B" w:rsidRPr="005A773F">
        <w:t>.</w:t>
      </w:r>
      <w:r w:rsidR="00E0469B" w:rsidRPr="005A773F">
        <w:tab/>
        <w:t xml:space="preserve">rõhutab, et maksutõkete kõrvaldamine piiriüleselt investeerimiselt sidusate ELi tasandi </w:t>
      </w:r>
      <w:r w:rsidR="00520BC2" w:rsidRPr="005A773F">
        <w:t>normide</w:t>
      </w:r>
      <w:r w:rsidR="00E0469B" w:rsidRPr="005A773F">
        <w:t xml:space="preserve"> abil vähendaks nõuete täitmisega seotud kulusid, parandaks turu tõhusust, suurendaks piiriüleste kapitalivoogudega seoses õigusselgust ja tugevdaks ELi finantsteenuste konkurentsivõimet, piirates samal ajal maksudest kõrvalehoidmist ja agressiivset maksuplaneerimist; rõhutab, et ELi finantssektori jaoks on vaja ühtseid</w:t>
      </w:r>
      <w:r w:rsidR="00520BC2" w:rsidRPr="005A773F">
        <w:t xml:space="preserve"> norme</w:t>
      </w:r>
      <w:r w:rsidR="00E0469B" w:rsidRPr="005A773F">
        <w:t>, austades samal ajal liikmesriikide maksusuveräänsust ja subsidiaarsuse põhimõtet; rõhutab, et finantsteenuste maksustamine peaks aitama säilitada finantssektori konkurentsivõimet;</w:t>
      </w:r>
    </w:p>
    <w:p w14:paraId="18EE33EC" w14:textId="74C52AD3" w:rsidR="00E0469B" w:rsidRPr="005A773F" w:rsidRDefault="006C6CAB" w:rsidP="00E0469B">
      <w:pPr>
        <w:pStyle w:val="NormalHanging12a"/>
      </w:pPr>
      <w:r w:rsidRPr="005A773F">
        <w:t>9</w:t>
      </w:r>
      <w:r w:rsidR="00E0469B" w:rsidRPr="005A773F">
        <w:t>.</w:t>
      </w:r>
      <w:r w:rsidR="00E0469B" w:rsidRPr="005A773F">
        <w:tab/>
        <w:t>märgib, et komisjoni 2026. aasta Euroopa makromajanduse aruande</w:t>
      </w:r>
      <w:r w:rsidR="0063088B" w:rsidRPr="005A773F">
        <w:rPr>
          <w:rStyle w:val="FootnoteReference"/>
        </w:rPr>
        <w:footnoteReference w:id="9"/>
      </w:r>
      <w:r w:rsidR="00E0469B" w:rsidRPr="005A773F">
        <w:t xml:space="preserve"> kohaselt on ELi kodumajapidamiste säästumäär endiselt palju kõrgem kui Majandusliku Koostöö ja Arengu Organisatsiooni riikide keskmine; peab kahetsusväärseks, et umbes kolmandik nendest säästudest investeeritakse väljapoole ELi, mis näitab ELi finantsraamistiku puudusi investeeringute hoidmisel; kutsub komisjoni üles hindama, kuidas maksumeetmed võivad soodustada investeeringute liikumist ELi; toonitab, kui oluline on takistada raha väljavoolu koostööd mittetegevate jurisdiktsioonide ELi loetellu kantud riikidesse;</w:t>
      </w:r>
    </w:p>
    <w:p w14:paraId="054A95F7" w14:textId="4B08E99F" w:rsidR="00E0469B" w:rsidRPr="005A773F" w:rsidRDefault="006C6CAB" w:rsidP="00E0469B">
      <w:pPr>
        <w:pStyle w:val="NormalHanging12a"/>
      </w:pPr>
      <w:r w:rsidRPr="005A773F">
        <w:t>10</w:t>
      </w:r>
      <w:r w:rsidR="00E0469B" w:rsidRPr="005A773F">
        <w:t>.</w:t>
      </w:r>
      <w:r w:rsidR="00E0469B" w:rsidRPr="005A773F">
        <w:tab/>
        <w:t>rõhutab Euroopa hoiuste ja investeeringute liidu edendamise tähtsust, et mobiliseerida sääste tootlikeks investeeringuteks; on seisukohal, et maksustamise killustatuse vähendamine ja piiriüleste investeerimiskanalite parandamine on keskse tähtsusega, et mobiliseerida Euroopa säästud investeeringuteks ELis;</w:t>
      </w:r>
    </w:p>
    <w:p w14:paraId="1967E52C" w14:textId="2FF7541A" w:rsidR="00E0469B" w:rsidRPr="005A773F" w:rsidRDefault="006C6CAB" w:rsidP="00E0469B">
      <w:pPr>
        <w:pStyle w:val="NormalHanging12a"/>
      </w:pPr>
      <w:r w:rsidRPr="005A773F">
        <w:t>11</w:t>
      </w:r>
      <w:r w:rsidR="00E0469B" w:rsidRPr="005A773F">
        <w:t>.</w:t>
      </w:r>
      <w:r w:rsidR="00E0469B" w:rsidRPr="005A773F">
        <w:tab/>
        <w:t>rõhutab, et hoiuste ja investeeringute liidu eesmärkide kõrval tuleks kavandada finantsteenuste maksuraamistik, milles keskendutakse tõhususe suurendamisele, turumoonutustega tegelemisele ning investeeringute ja pikaajalise majanduskasvu edendamisele, tagades samal ajal tasakaalustatud lähenemisviisi, milles võetakse arvesse ka laiemaid majanduslikke ja sotsiaalseid kaalutlusi;</w:t>
      </w:r>
    </w:p>
    <w:p w14:paraId="41CF848D" w14:textId="3E622D08" w:rsidR="00E0469B" w:rsidRPr="005A773F" w:rsidRDefault="006C6CAB" w:rsidP="00E0469B">
      <w:pPr>
        <w:pStyle w:val="NormalHanging12a"/>
      </w:pPr>
      <w:r w:rsidRPr="005A773F">
        <w:t>12</w:t>
      </w:r>
      <w:r w:rsidR="00E0469B" w:rsidRPr="005A773F">
        <w:t>.</w:t>
      </w:r>
      <w:r w:rsidR="00E0469B" w:rsidRPr="005A773F">
        <w:tab/>
        <w:t>märgib, et finantssektori maksustamisel tuleks juhinduda lihtsuse, neutraalsuse, õigluse, majandusliku, keskkonnaalase ja sotsiaalse kestlikkuse ning õiguskindluse põhimõtetest; märgib, et see peaks kajastama ka pankade kasumlikkuse tsüklilist dünaamikat, mis on seotud rahapoliitika ja majandustingimustega;</w:t>
      </w:r>
    </w:p>
    <w:p w14:paraId="511CFE92" w14:textId="57665F9A" w:rsidR="00E0469B" w:rsidRPr="005A773F" w:rsidRDefault="006C6CAB" w:rsidP="00E0469B">
      <w:pPr>
        <w:pStyle w:val="NormalHanging12a"/>
      </w:pPr>
      <w:r w:rsidRPr="005A773F">
        <w:t>13</w:t>
      </w:r>
      <w:r w:rsidR="00E0469B" w:rsidRPr="005A773F">
        <w:t>.</w:t>
      </w:r>
      <w:r w:rsidR="00E0469B" w:rsidRPr="005A773F">
        <w:tab/>
        <w:t>kutsub komisjoni üles täitma oma kohustust pakkuda sektori maksustamiseks välja uuenduslikke lahendusi, mis vähendavad killustatust, toetavad edasist integratsiooni ELi tasandil ja aitavad viia lõpule hoiuste ja investeeringute liidu väljakujundamise;</w:t>
      </w:r>
    </w:p>
    <w:p w14:paraId="605F0FB6" w14:textId="77777777" w:rsidR="00E0469B" w:rsidRPr="005A773F" w:rsidRDefault="00E0469B" w:rsidP="00E0469B">
      <w:pPr>
        <w:pStyle w:val="Normal12a"/>
      </w:pPr>
      <w:r w:rsidRPr="005A773F">
        <w:rPr>
          <w:b/>
          <w:i/>
        </w:rPr>
        <w:t>Finantsteenuste käibemaksukorra käsitlemine</w:t>
      </w:r>
    </w:p>
    <w:p w14:paraId="39EAAFCE" w14:textId="0D6E6CAB" w:rsidR="00E0469B" w:rsidRPr="005A773F" w:rsidRDefault="006C6CAB" w:rsidP="00E0469B">
      <w:pPr>
        <w:pStyle w:val="NormalHanging12a"/>
      </w:pPr>
      <w:r w:rsidRPr="005A773F">
        <w:t>14</w:t>
      </w:r>
      <w:r w:rsidR="00E0469B" w:rsidRPr="005A773F">
        <w:t>.</w:t>
      </w:r>
      <w:r w:rsidR="00E0469B" w:rsidRPr="005A773F">
        <w:tab/>
        <w:t>märgib, et finantsteenuste käibemaksuvabastus pärineb 1977. aastast ja selle eesmärk oli vältida tehnilisi raskusi käibemaksu kohaldamisel keerukatele finantsteenustele, kuivõrd seda peeti halduslikult teostamatuks; tunnistab, et tänu tehnoloogia arengule ja digitaliseerimisele saaks käibemaksuvabastuse algsed tehnilised probleemid nüüd lahendada;</w:t>
      </w:r>
    </w:p>
    <w:p w14:paraId="7B6740E2" w14:textId="604B87CD" w:rsidR="00E0469B" w:rsidRPr="005A773F" w:rsidRDefault="006C6CAB" w:rsidP="00E0469B">
      <w:pPr>
        <w:pStyle w:val="NormalHanging12a"/>
      </w:pPr>
      <w:r w:rsidRPr="005A773F">
        <w:lastRenderedPageBreak/>
        <w:t>15</w:t>
      </w:r>
      <w:r w:rsidR="00E0469B" w:rsidRPr="005A773F">
        <w:t>.</w:t>
      </w:r>
      <w:r w:rsidR="00E0469B" w:rsidRPr="005A773F">
        <w:tab/>
        <w:t>märgib, et maksuvabastus ei anna finantsasutustele tingimata eelist, kuna see takistab neil käibemaksu tagasi saada; on seisukohal, et praegune olukord põlistab turumoonutusi, võib põhjustada läbipaistvuse puudumist ja suurendada tarbijate kulusid, tugevdab finantssektoris isevarustamise soodustamist ja loob ebasoodsa konkurentsiolukorra võrreldes ELi mittekuuluvate riikide asutustega;</w:t>
      </w:r>
    </w:p>
    <w:p w14:paraId="43311024" w14:textId="4CA5BFB4" w:rsidR="00E0469B" w:rsidRPr="005A773F" w:rsidRDefault="006C6CAB" w:rsidP="00E0469B">
      <w:pPr>
        <w:pStyle w:val="NormalHanging12a"/>
      </w:pPr>
      <w:r w:rsidRPr="005A773F">
        <w:t>16</w:t>
      </w:r>
      <w:r w:rsidR="00E0469B" w:rsidRPr="005A773F">
        <w:t>.</w:t>
      </w:r>
      <w:r w:rsidR="00E0469B" w:rsidRPr="005A773F">
        <w:tab/>
        <w:t>rõhutab, et käibemaksuvabastusi antakse sageli üldist huvi pakkuvatele tegevustele, et tunnustada nende olulist sotsiaalset funktsiooni; toonitab, et teatavad põhilised finantsteenused, eelkõige makseteenused, hoiuste kaasamine ja põhiline laenude andmine, võivad täita sarnast, peaaegu üldiselt kasulikku funktsiooni, kaitstes sääste, võimaldades majandustegevust ning tagades, et inimesed ja ettevõtjad saavad majanduses turvaliselt osaleda;</w:t>
      </w:r>
    </w:p>
    <w:p w14:paraId="4C45209A" w14:textId="0DB83C61" w:rsidR="00E0469B" w:rsidRPr="005A773F" w:rsidRDefault="006C6CAB" w:rsidP="00E0469B">
      <w:pPr>
        <w:pStyle w:val="NormalHanging12a"/>
      </w:pPr>
      <w:r w:rsidRPr="005A773F">
        <w:t>17</w:t>
      </w:r>
      <w:r w:rsidR="00E0469B" w:rsidRPr="005A773F">
        <w:t>.</w:t>
      </w:r>
      <w:r w:rsidR="00E0469B" w:rsidRPr="005A773F">
        <w:tab/>
        <w:t>märgib, et komisjoni korduvad algatused, sealhulgas 2007. aasta ettepanekud ja 2020. aasta esialgne mõjuhinnang, ei toonud kaasa finantssektori käibemaksuvabastuse reformi, sest liikmesriigid ei jõudnud ühehäälsele kokkuleppele; märgib, et viimati kavatses komisjon avaldada käibemaksudirektiivi</w:t>
      </w:r>
      <w:r w:rsidR="0063088B" w:rsidRPr="005A773F">
        <w:rPr>
          <w:rStyle w:val="FootnoteReference"/>
        </w:rPr>
        <w:footnoteReference w:id="10"/>
      </w:r>
      <w:r w:rsidR="00E0469B" w:rsidRPr="005A773F">
        <w:t xml:space="preserve"> muudatused 2023. aasta alguses; märgib, et need plaanid seiskusid, mistõttu on see oluline reform ikka veel pooleli;</w:t>
      </w:r>
    </w:p>
    <w:p w14:paraId="13008086" w14:textId="6FF0FC80" w:rsidR="00E0469B" w:rsidRPr="005A773F" w:rsidRDefault="006C6CAB" w:rsidP="00E0469B">
      <w:pPr>
        <w:pStyle w:val="NormalHanging12a"/>
      </w:pPr>
      <w:r w:rsidRPr="005A773F">
        <w:t>18</w:t>
      </w:r>
      <w:r w:rsidR="00E0469B" w:rsidRPr="005A773F">
        <w:t>.</w:t>
      </w:r>
      <w:r w:rsidR="00E0469B" w:rsidRPr="005A773F">
        <w:tab/>
        <w:t>märgib, et käibemaksudirektiivi artikli 11 kohaselt on käibemaksugrupi kasutamine liikmesriikidele vabatahtlik ja seda piiravad territoriaalsed piirangud, mis tekitavad finantsteenuste valdkonnas tegutsevatele piiriülestele kontsernidele õiguslikke ja praktilisi takistusi;</w:t>
      </w:r>
    </w:p>
    <w:p w14:paraId="154F6096" w14:textId="4EDB55D8" w:rsidR="00E0469B" w:rsidRPr="005A773F" w:rsidRDefault="006C6CAB" w:rsidP="00E0469B">
      <w:pPr>
        <w:pStyle w:val="NormalHanging12a"/>
      </w:pPr>
      <w:r w:rsidRPr="005A773F">
        <w:t>19</w:t>
      </w:r>
      <w:r w:rsidR="00E0469B" w:rsidRPr="005A773F">
        <w:t>.</w:t>
      </w:r>
      <w:r w:rsidR="00E0469B" w:rsidRPr="005A773F">
        <w:tab/>
        <w:t>rõhutab, et hoolimata käibemaksugrupi ja kulude jagamise korra kasutamisest mõnes liikmesriigis loob käibemaksuvabastus koos erinevate kompenseerivate riiklike maksu</w:t>
      </w:r>
      <w:r w:rsidR="00520BC2" w:rsidRPr="005A773F">
        <w:t>normidega</w:t>
      </w:r>
      <w:r w:rsidR="00E0469B" w:rsidRPr="005A773F">
        <w:t xml:space="preserve"> (nt kindlustusmaksetelt võetavad maksud) keerulise ja killustatud maksumaastiku, mis muudab piiriülese maksukohustuse täitmise kulukaks ja suurendab ettevõtete tegevuskulusid; toonitab, et selle koormuse vähendamiseks, </w:t>
      </w:r>
      <w:r w:rsidR="00520BC2" w:rsidRPr="005A773F">
        <w:t>normide</w:t>
      </w:r>
      <w:r w:rsidR="00E0469B" w:rsidRPr="005A773F">
        <w:t xml:space="preserve"> järjepideva kohaldamise tagamiseks kogu ELis, piiriülese tegevuse hõlbustamiseks ja innovatsiooni toetamiseks on vaja selgemaid käibemaksu määratlusi ja lihtsustatud </w:t>
      </w:r>
      <w:r w:rsidR="00520BC2" w:rsidRPr="005A773F">
        <w:t>norme</w:t>
      </w:r>
      <w:r w:rsidR="00E0469B" w:rsidRPr="005A773F">
        <w:t>;</w:t>
      </w:r>
    </w:p>
    <w:p w14:paraId="21390E0C" w14:textId="4F7920F3" w:rsidR="00E0469B" w:rsidRPr="005A773F" w:rsidRDefault="006C6CAB" w:rsidP="00E0469B">
      <w:pPr>
        <w:pStyle w:val="NormalHanging12a"/>
      </w:pPr>
      <w:r w:rsidRPr="005A773F">
        <w:t>20</w:t>
      </w:r>
      <w:r w:rsidR="00E0469B" w:rsidRPr="005A773F">
        <w:t>.</w:t>
      </w:r>
      <w:r w:rsidR="00E0469B" w:rsidRPr="005A773F">
        <w:tab/>
        <w:t>märgib, et käibemaksugruppi, mis võib vähendada finantsasutuste halduskoormust ja parandada nende tõhusust, kasutatakse praegu liikmesriikides ebaühtlaselt ja see piirdub üldiselt ainult ühes liikmesriigis asutatud üksustega; rõhutab, et käibemaksugrupi kohaldamise suurem ühtlustamine võib vähendada siseturu killustatust ja õiguskindlusetust ning hõlbustada finantsteenustega seotud piiriülest tegevust;</w:t>
      </w:r>
    </w:p>
    <w:p w14:paraId="24DC94A3" w14:textId="74F1F02D" w:rsidR="00E0469B" w:rsidRPr="005A773F" w:rsidRDefault="006C6CAB" w:rsidP="00E0469B">
      <w:pPr>
        <w:pStyle w:val="NormalHanging12a"/>
      </w:pPr>
      <w:r w:rsidRPr="005A773F">
        <w:t>21</w:t>
      </w:r>
      <w:r w:rsidR="00E0469B" w:rsidRPr="005A773F">
        <w:t>.</w:t>
      </w:r>
      <w:r w:rsidR="00E0469B" w:rsidRPr="005A773F">
        <w:tab/>
        <w:t>kutsub komisjoni üles ergutama liikmesriike rakendama käibemaksugruppi järjepidevalt ja uurima võimalusi selgema õigusraamistiku loomiseks, sealhulgas piiriülese käibemaksugrupi võimalust; toonitab, et käibemaksugrupi laialdasem kasutamine finants- ja kindlustusteenuste puhul peab olema kooskõlas äriühingu tulumaksu normidega, eelkõige siirdehindu käsitlevate normidega, ning sellega peavad kaasnema siduvad kuritarvituste vastased kaitsemeetmed, et vältida pettusi ja maksustamise vältimist, kontsernisisest käibemaksu alalaekumist ja kulude jagamise kuritarvitamist;</w:t>
      </w:r>
    </w:p>
    <w:p w14:paraId="3D3F067C" w14:textId="5FD566E6" w:rsidR="00E0469B" w:rsidRPr="005A773F" w:rsidRDefault="006C6CAB" w:rsidP="00E0469B">
      <w:pPr>
        <w:pStyle w:val="NormalHanging12a"/>
      </w:pPr>
      <w:r w:rsidRPr="005A773F">
        <w:lastRenderedPageBreak/>
        <w:t>22</w:t>
      </w:r>
      <w:r w:rsidR="00E0469B" w:rsidRPr="005A773F">
        <w:t>.</w:t>
      </w:r>
      <w:r w:rsidR="00E0469B" w:rsidRPr="005A773F">
        <w:tab/>
        <w:t>märgib, et käibemaksudirektiivis puuduvad erisätted uute finantsinstrumentide, sealhulgas krüptovara, detsentraliseeritud rahanduse ja finantstehnoloogia kohta; rõhutab, et lisaks ei käsitleta direktiivis tuletisinstrumentide käibemaksuga maksustamist ja et investeerimisfondide maksustamine on liikmesriigiti endiselt erinev; märgib, et see on toonud liikmesriikides kaasa käibemaksu</w:t>
      </w:r>
      <w:r w:rsidR="00520BC2" w:rsidRPr="005A773F">
        <w:t>normide</w:t>
      </w:r>
      <w:r w:rsidR="00E0469B" w:rsidRPr="005A773F">
        <w:t xml:space="preserve"> erineva tõlgendamise, õiguskindlusetuse teenuseosutajate jaoks ning traditsiooniliste ja uute finantsteenuste ebavõrdse kohtlemise ning võib takistada innovatsiooni ja konkurentsivõimet;</w:t>
      </w:r>
    </w:p>
    <w:p w14:paraId="35E891A6" w14:textId="18D970B5" w:rsidR="00E0469B" w:rsidRPr="005A773F" w:rsidRDefault="006C6CAB" w:rsidP="00E0469B">
      <w:pPr>
        <w:pStyle w:val="NormalHanging12a"/>
      </w:pPr>
      <w:r w:rsidRPr="005A773F">
        <w:t>23</w:t>
      </w:r>
      <w:r w:rsidR="00E0469B" w:rsidRPr="005A773F">
        <w:t>.</w:t>
      </w:r>
      <w:r w:rsidR="00E0469B" w:rsidRPr="005A773F">
        <w:tab/>
        <w:t>rõhutab, et kaasaegne maksuraamistik peaks toetama finantstehnoloogia ja digirahanduse valdkonnas innovatsiooni ning vältima uutele turuletulijatele regulatiivsete takistuste loomist; kutsub komisjoni üles selgitama uute finantsteenuste käibemaksuga maksustamist, et tagada tehnoloogiline neutraalsus ja võrdsed tingimused kogu ELis;</w:t>
      </w:r>
    </w:p>
    <w:p w14:paraId="36285589" w14:textId="7C8A5D21" w:rsidR="00E0469B" w:rsidRPr="005A773F" w:rsidRDefault="006C6CAB" w:rsidP="00E0469B">
      <w:pPr>
        <w:pStyle w:val="NormalHanging12a"/>
      </w:pPr>
      <w:r w:rsidRPr="005A773F">
        <w:t>24</w:t>
      </w:r>
      <w:r w:rsidR="00E0469B" w:rsidRPr="005A773F">
        <w:t>.</w:t>
      </w:r>
      <w:r w:rsidR="00E0469B" w:rsidRPr="005A773F">
        <w:tab/>
        <w:t xml:space="preserve">on seisukohal, et ulatuslik ja diferentseerimata käibemaksuvabastus kogu finantssektorile tekitab küsimusi maksusüsteemi üldise ühtsuse ja tasakaalu kohta; rõhutab, et käibemaksuvabastuse reform võib vähendada moonutusi ja tagastamatu käibemaksu määra, tekitamata ebaproportsionaalset halduskeerukust; märgib, et käibemaksuvabastuse kaotamise võimalused võiksid </w:t>
      </w:r>
      <w:r w:rsidR="00E27862" w:rsidRPr="005A773F">
        <w:t xml:space="preserve">tulemuslikult </w:t>
      </w:r>
      <w:r w:rsidR="00E0469B" w:rsidRPr="005A773F">
        <w:t xml:space="preserve">kõrvaldada </w:t>
      </w:r>
      <w:proofErr w:type="spellStart"/>
      <w:r w:rsidR="00E0469B" w:rsidRPr="005A773F">
        <w:t>tagastamatu</w:t>
      </w:r>
      <w:proofErr w:type="spellEnd"/>
      <w:r w:rsidR="00E0469B" w:rsidRPr="005A773F">
        <w:t xml:space="preserve"> käibemaksu, võimaldades finantssektori äriühingutel täielikult tagasi nõuda käibemaksu, mida nad maksavad oma tegevuses kasutatavatelt kaupadelt ja teenustelt; rõhutab, et see kõrvaldaks praeguse suundumuse tuua teenused äriühingu sisse, selle asemel et neid allhanke korras tellida, mis võib piirata ettevõtte suutlikkust spetsialiseeruda, omada juurdepääsu välisekspertidele ja teha uuendusi; tunnistab, et see reform võiks luua võrdsed tingimused ka teistele jurisdiktsioonidele ja tugevdada ELi finantsasutuste rahvusvahelist konkurentsivõimet;</w:t>
      </w:r>
    </w:p>
    <w:p w14:paraId="44664681" w14:textId="6323A8AE" w:rsidR="00E0469B" w:rsidRPr="005A773F" w:rsidRDefault="006C6CAB" w:rsidP="00E0469B">
      <w:pPr>
        <w:pStyle w:val="NormalHanging12a"/>
      </w:pPr>
      <w:r w:rsidRPr="005A773F">
        <w:t>25</w:t>
      </w:r>
      <w:r w:rsidR="00E0469B" w:rsidRPr="005A773F">
        <w:t>.</w:t>
      </w:r>
      <w:r w:rsidR="00E0469B" w:rsidRPr="005A773F">
        <w:tab/>
        <w:t>tuletab meelde, et käibemaksu puhul on tegemist ELi tasandil ühtlustatud maksuraamistikuga, kuigi liikmesriikidele jääb selle rakendamiseks teatav tegutsemisruum; tunnistab seetõttu, et finantsteenuste käibemaksusüsteemi reformi tuleks käsitleda ELi tasandil;</w:t>
      </w:r>
    </w:p>
    <w:p w14:paraId="22ABA59F" w14:textId="348BAF7A" w:rsidR="00E0469B" w:rsidRPr="005A773F" w:rsidRDefault="006C6CAB" w:rsidP="00E0469B">
      <w:pPr>
        <w:pStyle w:val="NormalHanging12a"/>
      </w:pPr>
      <w:r w:rsidRPr="005A773F">
        <w:t>26</w:t>
      </w:r>
      <w:r w:rsidR="00E0469B" w:rsidRPr="005A773F">
        <w:t>.</w:t>
      </w:r>
      <w:r w:rsidR="00E0469B" w:rsidRPr="005A773F">
        <w:tab/>
        <w:t xml:space="preserve">kutsub komisjoni üles vaatama läbi praeguse käibemaksukorra mõju finantssektorile ja seda analüüsi avalikult jagama; kutsub komisjoni üles kaaluma poliitikameetmeid tuvastatud moonutava mõjuga tegelemiseks; rõhutab, et iga selline reform peaks vähendama </w:t>
      </w:r>
      <w:proofErr w:type="spellStart"/>
      <w:r w:rsidR="00E0469B" w:rsidRPr="005A773F">
        <w:t>tagastamatut</w:t>
      </w:r>
      <w:proofErr w:type="spellEnd"/>
      <w:r w:rsidR="00E0469B" w:rsidRPr="005A773F">
        <w:t xml:space="preserve"> käibemaksu ja </w:t>
      </w:r>
      <w:r w:rsidR="00520BC2" w:rsidRPr="005A773F">
        <w:t>normide</w:t>
      </w:r>
      <w:r w:rsidR="00E0469B" w:rsidRPr="005A773F">
        <w:t xml:space="preserve"> killustatud kohaldamist, parandama õiguskindlust ja õiglast maksustamist ning tugevdama ELi finantsturgude konkurentsivõimet, kaitstes samal ajal finantsstabiilsust ja minimeerides regulatiivset arbitraaži liikmesriikide vahel; toonitab, et iga sellise reformiga tuleb kaitsta ka tarbijaid ja jätkuvalt tagada, et finantssektor annab avaliku sektori tuludesse õiglase panuse;</w:t>
      </w:r>
    </w:p>
    <w:p w14:paraId="2DFD87AD" w14:textId="6DD7B9E1" w:rsidR="00E0469B" w:rsidRPr="005A773F" w:rsidRDefault="006C6CAB" w:rsidP="00E0469B">
      <w:pPr>
        <w:pStyle w:val="NormalHanging12a"/>
      </w:pPr>
      <w:r w:rsidRPr="005A773F">
        <w:t>27</w:t>
      </w:r>
      <w:r w:rsidR="00E0469B" w:rsidRPr="005A773F">
        <w:t>.</w:t>
      </w:r>
      <w:r w:rsidR="00E0469B" w:rsidRPr="005A773F">
        <w:tab/>
        <w:t>märgib, et kõik käibemaksuraamistiku muutmise ettepanekud peaksid põhinema makromajanduslikul tasandil tehtaval põhjalikul analüüsil ning riiklike pangamaksude ja -lõivude põhjalikul kaardistamisel; rõhutab, et sellises analüüsis tuleks arvesse võtta haldusmõju finantsteenustele, olemasolevate riiklike pangamaksude, finantssektori tasude ja käibemaksusüsteemi koostoimet ning mõju ühtsele turule;</w:t>
      </w:r>
    </w:p>
    <w:p w14:paraId="724AB330" w14:textId="0802CF6C" w:rsidR="00E0469B" w:rsidRPr="005A773F" w:rsidRDefault="006C6CAB" w:rsidP="00E0469B">
      <w:pPr>
        <w:pStyle w:val="NormalHanging12a"/>
      </w:pPr>
      <w:r w:rsidRPr="005A773F">
        <w:t>28</w:t>
      </w:r>
      <w:r w:rsidR="00E0469B" w:rsidRPr="005A773F">
        <w:t>.</w:t>
      </w:r>
      <w:r w:rsidR="00E0469B" w:rsidRPr="005A773F">
        <w:tab/>
        <w:t>toonitab, et finantsteenuste käibemaksuga maksustamise mis tahes muudatuste puhul tuleb hoolikalt hinnata mõju jaetarbijatele, eelkõige väikese ja keskmise sissetulekuga leibkondadele osutatavatele teenustele, ning vältida täiendavaid üldkulusid;</w:t>
      </w:r>
    </w:p>
    <w:p w14:paraId="36C9333F" w14:textId="6EDC1E40" w:rsidR="00E0469B" w:rsidRPr="005A773F" w:rsidRDefault="006C6CAB" w:rsidP="00E0469B">
      <w:pPr>
        <w:pStyle w:val="NormalHanging12a"/>
      </w:pPr>
      <w:r w:rsidRPr="005A773F">
        <w:lastRenderedPageBreak/>
        <w:t>29</w:t>
      </w:r>
      <w:r w:rsidR="00E0469B" w:rsidRPr="005A773F">
        <w:t>.</w:t>
      </w:r>
      <w:r w:rsidR="00E0469B" w:rsidRPr="005A773F">
        <w:tab/>
        <w:t>kutsub komisjoni üles hindama käibemaksuvabastuse võimaliku reformi raames seda, kas kindlustusmaksetelt võetavate riiklike maksude asendamine kindlustusteenuste täieliku integreerimisega käibemaksusüsteemi on teostatav;</w:t>
      </w:r>
    </w:p>
    <w:p w14:paraId="5FBFC6A2" w14:textId="77777777" w:rsidR="00E0469B" w:rsidRPr="005A773F" w:rsidRDefault="00E0469B" w:rsidP="00E0469B">
      <w:pPr>
        <w:pStyle w:val="Normal12a"/>
      </w:pPr>
      <w:r w:rsidRPr="005A773F">
        <w:rPr>
          <w:b/>
          <w:i/>
        </w:rPr>
        <w:t>Finantssektori ühtsema maksuraamistiku edendamine</w:t>
      </w:r>
    </w:p>
    <w:p w14:paraId="5B343162" w14:textId="38CE1E4F" w:rsidR="00E0469B" w:rsidRPr="005A773F" w:rsidRDefault="006C6CAB" w:rsidP="00E0469B">
      <w:pPr>
        <w:pStyle w:val="NormalHanging12a"/>
      </w:pPr>
      <w:r w:rsidRPr="005A773F">
        <w:t>30</w:t>
      </w:r>
      <w:r w:rsidR="00E0469B" w:rsidRPr="005A773F">
        <w:t>.</w:t>
      </w:r>
      <w:r w:rsidR="00E0469B" w:rsidRPr="005A773F">
        <w:tab/>
        <w:t>tuletab meelde, et EL seisab silmitsi märkimisväärse investeeringute puudujäägiga, mis ulatub igal aastal 750–800 miljardi euroni, et saavutada oma kliima-, digi- ja strateegilise autonoomia eesmärgid; tuletab meelde liikmesriikide ja ELi võetud kohustust suurendada märkimisväärselt Euroopa kaitseinvesteeringuid; rõhutab, et nendele probleemidele reageerimiseks võiks finantssektori õiglane ja sidusam maksustamine, aidata kaasata erakapitali, stimuleerides seeläbi jaeinvesteeringuid, ja tugevdada Euroopa kapitaliturge, suurendades samal ajal tulu avaliku sektori investeeringuteks strateegiliste prioriteetide ning meie sotsiaalsete, kliimaga seotud ja investeerimisvajaduste jaoks, tugevdades seekaudu ELi konkurentsivõimet;</w:t>
      </w:r>
    </w:p>
    <w:p w14:paraId="7C575217" w14:textId="566D8F45" w:rsidR="00E0469B" w:rsidRPr="005A773F" w:rsidRDefault="006C6CAB" w:rsidP="00E0469B">
      <w:pPr>
        <w:pStyle w:val="NormalHanging12a"/>
      </w:pPr>
      <w:r w:rsidRPr="005A773F">
        <w:t>31</w:t>
      </w:r>
      <w:r w:rsidR="00E0469B" w:rsidRPr="005A773F">
        <w:t>.</w:t>
      </w:r>
      <w:r w:rsidR="00E0469B" w:rsidRPr="005A773F">
        <w:tab/>
        <w:t>tuletab sellega seoses meelde 2020. aastal Euroopa Parlamendi, nõukogu ja komisjoni vahel saavutatud kokkulepet uute omavahendite, sealhulgas finantstehingute maksu kasutuselevõtmise suunas liikumise tegevuskava kohta, mis põhineb mõjuhinnangu tulemustel;</w:t>
      </w:r>
    </w:p>
    <w:p w14:paraId="3CF54639" w14:textId="441E2A59" w:rsidR="00E0469B" w:rsidRPr="005A773F" w:rsidRDefault="006C6CAB" w:rsidP="00E0469B">
      <w:pPr>
        <w:pStyle w:val="NormalHanging12a"/>
      </w:pPr>
      <w:r w:rsidRPr="005A773F">
        <w:t>32</w:t>
      </w:r>
      <w:r w:rsidR="00E0469B" w:rsidRPr="005A773F">
        <w:t>.</w:t>
      </w:r>
      <w:r w:rsidR="00E0469B" w:rsidRPr="005A773F">
        <w:tab/>
        <w:t>tunnistab, et hoolimata ulatuslikust arutelust ei ole nõukogus finantstehingute maksu ettepaneku osas edusamme tehtud, seda nii ühehäälsuse kui ka tõhustatud koostöö osas, ning võtab teadmiseks, et komisjon teatas oma 2026. aasta tööprogrammis finantstehingute maksu ettepaneku tagasivõtmisest;</w:t>
      </w:r>
    </w:p>
    <w:p w14:paraId="2893DAF1" w14:textId="544B81D5" w:rsidR="00E0469B" w:rsidRPr="005A773F" w:rsidRDefault="006C6CAB" w:rsidP="00E0469B">
      <w:pPr>
        <w:pStyle w:val="NormalHanging12a"/>
      </w:pPr>
      <w:r w:rsidRPr="005A773F">
        <w:t>33</w:t>
      </w:r>
      <w:r w:rsidR="00E0469B" w:rsidRPr="005A773F">
        <w:t>.</w:t>
      </w:r>
      <w:r w:rsidR="00E0469B" w:rsidRPr="005A773F">
        <w:tab/>
        <w:t>on seisukohal, et maksupoliitika majandusliku mõju ja jätkuva asjakohasuse korrapärane hindamine finantssektoris on äärmiselt oluline, et vältida finantsturgudel soovimatuid või püsivaid moonutusi; väljendab heameelt asjaolu üle, et komisjon analüüsib põhjalikult finantssektori üldise maksustamise võimalikku mõju turu toimimisele, piiriülestele investeeringutele ja ELi finantsturgude konkurentsivõimele;</w:t>
      </w:r>
    </w:p>
    <w:p w14:paraId="4B43080C" w14:textId="4AAC2092" w:rsidR="00E0469B" w:rsidRPr="005A773F" w:rsidRDefault="006C6CAB" w:rsidP="00E0469B">
      <w:pPr>
        <w:pStyle w:val="NormalHanging12a"/>
      </w:pPr>
      <w:r w:rsidRPr="005A773F">
        <w:t>34</w:t>
      </w:r>
      <w:r w:rsidR="00E0469B" w:rsidRPr="005A773F">
        <w:t>.</w:t>
      </w:r>
      <w:r w:rsidR="00E0469B" w:rsidRPr="005A773F">
        <w:tab/>
        <w:t>rõhutab, et finantssektori maksu</w:t>
      </w:r>
      <w:r w:rsidR="00520BC2" w:rsidRPr="005A773F">
        <w:t>norme</w:t>
      </w:r>
      <w:r w:rsidR="00E0469B" w:rsidRPr="005A773F">
        <w:t xml:space="preserve"> tuleks lihtsustada ja tagada, et sektor annab õiglase ja usaldusväärse rahalise panuse, ning need peaksid olema selged, läbipaistvad ja prognoositavad, et vähendada killustatust, võimaldada investeeringuid ja piiriülest tegevust, tagades samal ajal tarbijakaitse kõrge taseme; rõhutab, et need reeglid peaksid parandama tõhusust ja kapitalipaigutust, kaitsma turu stabiilsust ja konkurentsivõimet ning leevendama nõuete täitmisega seotud kulusid, eelkõige jaetarbijate ning väikeste ja keskmise suurusega ettevõtjate jaoks;</w:t>
      </w:r>
    </w:p>
    <w:p w14:paraId="2D17A104" w14:textId="77777777" w:rsidR="0063088B" w:rsidRPr="005A773F" w:rsidRDefault="0063088B" w:rsidP="0063088B">
      <w:pPr>
        <w:keepLines/>
        <w:spacing w:before="100" w:beforeAutospacing="1" w:after="100" w:afterAutospacing="1"/>
        <w:jc w:val="center"/>
      </w:pPr>
      <w:r w:rsidRPr="005A773F">
        <w:rPr>
          <w:noProof/>
        </w:rPr>
        <w:t>o</w:t>
      </w:r>
      <w:r w:rsidRPr="005A773F">
        <w:rPr>
          <w:noProof/>
        </w:rPr>
        <w:br/>
        <w:t>o   o</w:t>
      </w:r>
    </w:p>
    <w:p w14:paraId="414992A6" w14:textId="486A50FD" w:rsidR="00E365E1" w:rsidRPr="005A773F" w:rsidRDefault="006C6CAB" w:rsidP="0063088B">
      <w:pPr>
        <w:pStyle w:val="NormalHanging12a"/>
      </w:pPr>
      <w:r w:rsidRPr="005A773F">
        <w:t>35</w:t>
      </w:r>
      <w:r w:rsidR="00E0469B" w:rsidRPr="005A773F">
        <w:t>.</w:t>
      </w:r>
      <w:r w:rsidR="00E0469B" w:rsidRPr="005A773F">
        <w:tab/>
        <w:t>teeb presidendile ülesandeks edastada käesolev resolutsioon nõukogule ja komisjonile.</w:t>
      </w:r>
    </w:p>
    <w:sectPr w:rsidR="00E365E1" w:rsidRPr="005A773F" w:rsidSect="00855ABB">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445BF" w14:textId="77777777" w:rsidR="00CF6D8B" w:rsidRPr="00855ABB" w:rsidRDefault="00CF6D8B">
      <w:r w:rsidRPr="00855ABB">
        <w:separator/>
      </w:r>
    </w:p>
  </w:endnote>
  <w:endnote w:type="continuationSeparator" w:id="0">
    <w:p w14:paraId="255B5C44" w14:textId="77777777" w:rsidR="00CF6D8B" w:rsidRPr="00855ABB" w:rsidRDefault="00CF6D8B">
      <w:r w:rsidRPr="00855A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7DFC3" w14:textId="77777777" w:rsidR="00CF6D8B" w:rsidRPr="00855ABB" w:rsidRDefault="00CF6D8B">
      <w:r w:rsidRPr="00855ABB">
        <w:separator/>
      </w:r>
    </w:p>
  </w:footnote>
  <w:footnote w:type="continuationSeparator" w:id="0">
    <w:p w14:paraId="69C4A2F6" w14:textId="77777777" w:rsidR="00CF6D8B" w:rsidRPr="00855ABB" w:rsidRDefault="00CF6D8B">
      <w:r w:rsidRPr="00855ABB">
        <w:continuationSeparator/>
      </w:r>
    </w:p>
  </w:footnote>
  <w:footnote w:id="1">
    <w:p w14:paraId="1AC0E230" w14:textId="7FB30F69" w:rsidR="0063088B" w:rsidRPr="0063088B" w:rsidRDefault="0063088B" w:rsidP="00855ABB">
      <w:pPr>
        <w:pStyle w:val="FootnoteText"/>
        <w:ind w:left="567" w:hanging="567"/>
        <w:rPr>
          <w:sz w:val="24"/>
          <w:szCs w:val="24"/>
          <w:lang w:val="et-EE"/>
        </w:rPr>
      </w:pPr>
      <w:r w:rsidRPr="0063088B">
        <w:rPr>
          <w:rStyle w:val="FootnoteReference"/>
          <w:sz w:val="24"/>
          <w:szCs w:val="24"/>
        </w:rPr>
        <w:footnoteRef/>
      </w:r>
      <w:r w:rsidRPr="0063088B">
        <w:rPr>
          <w:sz w:val="24"/>
          <w:szCs w:val="24"/>
          <w:lang w:val="et-EE"/>
        </w:rPr>
        <w:t xml:space="preserve"> </w:t>
      </w:r>
      <w:r w:rsidRPr="0063088B">
        <w:rPr>
          <w:sz w:val="24"/>
          <w:szCs w:val="24"/>
          <w:lang w:val="et-EE"/>
        </w:rPr>
        <w:tab/>
        <w:t xml:space="preserve">ELT L 150, 9.6.2023, lk 40, ELI: </w:t>
      </w:r>
      <w:hyperlink r:id="rId1" w:tgtFrame="http://data.europa.eu/eli/reg/2023/1114/oj" w:history="1">
        <w:r w:rsidRPr="0063088B">
          <w:rPr>
            <w:rStyle w:val="Hyperlink"/>
            <w:sz w:val="24"/>
            <w:szCs w:val="24"/>
            <w:lang w:val="et-EE"/>
          </w:rPr>
          <w:t>http://data.europa.eu/eli/reg/2023/1114/oj</w:t>
        </w:r>
      </w:hyperlink>
      <w:r w:rsidRPr="0063088B">
        <w:rPr>
          <w:sz w:val="24"/>
          <w:szCs w:val="24"/>
          <w:lang w:val="et-EE"/>
        </w:rPr>
        <w:t>.</w:t>
      </w:r>
    </w:p>
  </w:footnote>
  <w:footnote w:id="2">
    <w:p w14:paraId="1571EE79" w14:textId="11EAB1E3" w:rsidR="0063088B" w:rsidRPr="0063088B" w:rsidRDefault="0063088B" w:rsidP="00855ABB">
      <w:pPr>
        <w:pStyle w:val="FootnoteText"/>
        <w:ind w:left="567" w:hanging="567"/>
        <w:rPr>
          <w:sz w:val="24"/>
          <w:szCs w:val="24"/>
          <w:lang w:val="et-EE"/>
        </w:rPr>
      </w:pPr>
      <w:r w:rsidRPr="0063088B">
        <w:rPr>
          <w:rStyle w:val="FootnoteReference"/>
          <w:sz w:val="24"/>
          <w:szCs w:val="24"/>
        </w:rPr>
        <w:footnoteRef/>
      </w:r>
      <w:r w:rsidRPr="0063088B">
        <w:rPr>
          <w:sz w:val="24"/>
          <w:szCs w:val="24"/>
          <w:lang w:val="et-EE"/>
        </w:rPr>
        <w:t xml:space="preserve"> </w:t>
      </w:r>
      <w:r w:rsidRPr="0063088B">
        <w:rPr>
          <w:sz w:val="24"/>
          <w:szCs w:val="24"/>
          <w:lang w:val="et-EE"/>
        </w:rPr>
        <w:tab/>
      </w:r>
      <w:r w:rsidRPr="0063088B">
        <w:rPr>
          <w:sz w:val="24"/>
          <w:szCs w:val="24"/>
          <w:lang w:val="et-EE"/>
        </w:rPr>
        <w:t xml:space="preserve">ELT L 424, 15.12.2020, lk 1, ELI: </w:t>
      </w:r>
      <w:hyperlink r:id="rId2" w:tgtFrame="http://data.europa.eu/eli/dec/2020/2053/oj" w:history="1">
        <w:r w:rsidRPr="0063088B">
          <w:rPr>
            <w:rStyle w:val="Hyperlink"/>
            <w:sz w:val="24"/>
            <w:szCs w:val="24"/>
            <w:lang w:val="et-EE"/>
          </w:rPr>
          <w:t>http://data.europa.eu/eli/dec/2020/2053/oj</w:t>
        </w:r>
      </w:hyperlink>
      <w:r w:rsidRPr="0063088B">
        <w:rPr>
          <w:sz w:val="24"/>
          <w:szCs w:val="24"/>
          <w:lang w:val="et-EE"/>
        </w:rPr>
        <w:t>.</w:t>
      </w:r>
    </w:p>
  </w:footnote>
  <w:footnote w:id="3">
    <w:p w14:paraId="745A9333" w14:textId="1D3C0C67" w:rsidR="0063088B" w:rsidRPr="0063088B" w:rsidRDefault="0063088B" w:rsidP="00855ABB">
      <w:pPr>
        <w:pStyle w:val="FootnoteText"/>
        <w:ind w:left="567" w:hanging="567"/>
        <w:rPr>
          <w:sz w:val="24"/>
          <w:szCs w:val="24"/>
          <w:lang w:val="et-EE"/>
        </w:rPr>
      </w:pPr>
      <w:r w:rsidRPr="0063088B">
        <w:rPr>
          <w:rStyle w:val="FootnoteReference"/>
          <w:sz w:val="24"/>
          <w:szCs w:val="24"/>
        </w:rPr>
        <w:footnoteRef/>
      </w:r>
      <w:r w:rsidRPr="0063088B">
        <w:rPr>
          <w:sz w:val="24"/>
          <w:szCs w:val="24"/>
          <w:lang w:val="et-EE"/>
        </w:rPr>
        <w:t xml:space="preserve"> </w:t>
      </w:r>
      <w:r w:rsidRPr="0063088B">
        <w:rPr>
          <w:sz w:val="24"/>
          <w:szCs w:val="24"/>
          <w:lang w:val="et-EE"/>
        </w:rPr>
        <w:tab/>
        <w:t>Uuring „The taxation of the EU’s financial sector“ (ELi finantssektori maksustamine), Euroopa Parlament, majanduse, ülemineku ja tööstuse peadirektoraat, majanduse ja kasvu poliitikaosakond, juuni 2025.</w:t>
      </w:r>
    </w:p>
  </w:footnote>
  <w:footnote w:id="4">
    <w:p w14:paraId="622BB4DB" w14:textId="31B1CC7B" w:rsidR="0063088B" w:rsidRPr="0063088B" w:rsidRDefault="0063088B" w:rsidP="00855ABB">
      <w:pPr>
        <w:pStyle w:val="FootnoteText"/>
        <w:ind w:left="567" w:hanging="567"/>
        <w:rPr>
          <w:sz w:val="24"/>
          <w:szCs w:val="24"/>
          <w:lang w:val="et-EE"/>
        </w:rPr>
      </w:pPr>
      <w:r w:rsidRPr="0063088B">
        <w:rPr>
          <w:rStyle w:val="FootnoteReference"/>
          <w:sz w:val="24"/>
          <w:szCs w:val="24"/>
        </w:rPr>
        <w:footnoteRef/>
      </w:r>
      <w:r w:rsidRPr="0063088B">
        <w:rPr>
          <w:sz w:val="24"/>
          <w:szCs w:val="24"/>
          <w:lang w:val="et-EE"/>
        </w:rPr>
        <w:t xml:space="preserve"> </w:t>
      </w:r>
      <w:r w:rsidRPr="0063088B">
        <w:rPr>
          <w:sz w:val="24"/>
          <w:szCs w:val="24"/>
          <w:lang w:val="et-EE"/>
        </w:rPr>
        <w:tab/>
      </w:r>
      <w:r w:rsidRPr="0063088B">
        <w:rPr>
          <w:sz w:val="24"/>
          <w:szCs w:val="24"/>
          <w:lang w:val="et-EE"/>
        </w:rPr>
        <w:t>ELT L 433 I, 22.12.2020, lk 28</w:t>
      </w:r>
      <w:r w:rsidR="00E27862">
        <w:rPr>
          <w:sz w:val="24"/>
          <w:szCs w:val="24"/>
          <w:lang w:val="et-EE"/>
        </w:rPr>
        <w:t>,</w:t>
      </w:r>
      <w:r w:rsidRPr="0063088B">
        <w:rPr>
          <w:sz w:val="24"/>
          <w:szCs w:val="24"/>
          <w:lang w:val="et-EE"/>
        </w:rPr>
        <w:t xml:space="preserve"> ELI: </w:t>
      </w:r>
      <w:hyperlink r:id="rId3" w:tgtFrame="http://data.europa.eu/eli/agree_interinstit/2020/1222/oj" w:history="1">
        <w:r w:rsidRPr="0063088B">
          <w:rPr>
            <w:rStyle w:val="Hyperlink"/>
            <w:sz w:val="24"/>
            <w:szCs w:val="24"/>
            <w:lang w:val="et-EE"/>
          </w:rPr>
          <w:t>http://data.europa.eu/eli/agree_interinstit/2020/1222/oj</w:t>
        </w:r>
      </w:hyperlink>
      <w:r w:rsidRPr="0063088B">
        <w:rPr>
          <w:sz w:val="24"/>
          <w:szCs w:val="24"/>
          <w:lang w:val="et-EE"/>
        </w:rPr>
        <w:t>.</w:t>
      </w:r>
    </w:p>
  </w:footnote>
  <w:footnote w:id="5">
    <w:p w14:paraId="6AEF8463" w14:textId="03DDF499" w:rsidR="0063088B" w:rsidRPr="0063088B" w:rsidRDefault="0063088B" w:rsidP="00855ABB">
      <w:pPr>
        <w:pStyle w:val="FootnoteText"/>
        <w:ind w:left="567" w:hanging="567"/>
        <w:rPr>
          <w:sz w:val="24"/>
          <w:szCs w:val="24"/>
          <w:lang w:val="et-EE"/>
        </w:rPr>
      </w:pPr>
      <w:r w:rsidRPr="0063088B">
        <w:rPr>
          <w:rStyle w:val="FootnoteReference"/>
          <w:sz w:val="24"/>
          <w:szCs w:val="24"/>
        </w:rPr>
        <w:footnoteRef/>
      </w:r>
      <w:r w:rsidRPr="0063088B">
        <w:rPr>
          <w:sz w:val="24"/>
          <w:szCs w:val="24"/>
          <w:lang w:val="et-EE"/>
        </w:rPr>
        <w:t xml:space="preserve"> </w:t>
      </w:r>
      <w:r w:rsidRPr="0063088B">
        <w:rPr>
          <w:sz w:val="24"/>
          <w:szCs w:val="24"/>
          <w:lang w:val="et-EE"/>
        </w:rPr>
        <w:tab/>
      </w:r>
      <w:r w:rsidRPr="0063088B">
        <w:rPr>
          <w:sz w:val="24"/>
          <w:szCs w:val="24"/>
          <w:lang w:val="et-EE"/>
        </w:rPr>
        <w:t xml:space="preserve">ELT C, C/2023/1067, 15.12.2023, ELI: </w:t>
      </w:r>
      <w:hyperlink r:id="rId4" w:history="1">
        <w:r w:rsidRPr="00E27862">
          <w:rPr>
            <w:rStyle w:val="Hyperlink"/>
            <w:sz w:val="24"/>
            <w:szCs w:val="24"/>
            <w:lang w:val="et-EE"/>
          </w:rPr>
          <w:t>http://data.europa.eu/eli/C/2023/1067/oj</w:t>
        </w:r>
      </w:hyperlink>
      <w:r w:rsidRPr="0063088B">
        <w:rPr>
          <w:sz w:val="24"/>
          <w:szCs w:val="24"/>
          <w:lang w:val="et-EE"/>
        </w:rPr>
        <w:t>.</w:t>
      </w:r>
    </w:p>
  </w:footnote>
  <w:footnote w:id="6">
    <w:p w14:paraId="521DAB07" w14:textId="4797C295" w:rsidR="0063088B" w:rsidRPr="0063088B" w:rsidRDefault="0063088B" w:rsidP="00855ABB">
      <w:pPr>
        <w:pStyle w:val="FootnoteText"/>
        <w:ind w:left="567" w:hanging="567"/>
        <w:rPr>
          <w:sz w:val="24"/>
          <w:szCs w:val="24"/>
          <w:lang w:val="et-EE"/>
        </w:rPr>
      </w:pPr>
      <w:r w:rsidRPr="0063088B">
        <w:rPr>
          <w:rStyle w:val="FootnoteReference"/>
          <w:sz w:val="24"/>
          <w:szCs w:val="24"/>
        </w:rPr>
        <w:footnoteRef/>
      </w:r>
      <w:r w:rsidRPr="0063088B">
        <w:rPr>
          <w:sz w:val="24"/>
          <w:szCs w:val="24"/>
          <w:lang w:val="et-EE"/>
        </w:rPr>
        <w:t xml:space="preserve"> </w:t>
      </w:r>
      <w:r w:rsidRPr="0063088B">
        <w:rPr>
          <w:sz w:val="24"/>
          <w:szCs w:val="24"/>
          <w:lang w:val="et-EE"/>
        </w:rPr>
        <w:tab/>
      </w:r>
      <w:r w:rsidRPr="0063088B">
        <w:rPr>
          <w:sz w:val="24"/>
          <w:szCs w:val="24"/>
          <w:lang w:val="et-EE"/>
        </w:rPr>
        <w:t xml:space="preserve">ELT L, 2025/2029, 8.10.2025, ELI: </w:t>
      </w:r>
      <w:hyperlink r:id="rId5" w:tgtFrame="http://data.europa.eu/eli/reco/2025/2029/oj" w:history="1">
        <w:r w:rsidRPr="0063088B">
          <w:rPr>
            <w:rStyle w:val="Hyperlink"/>
            <w:sz w:val="24"/>
            <w:szCs w:val="24"/>
            <w:lang w:val="et-EE"/>
          </w:rPr>
          <w:t>http://data.europa.eu/eli/reco/2025/2029/oj</w:t>
        </w:r>
      </w:hyperlink>
      <w:r w:rsidRPr="0063088B">
        <w:rPr>
          <w:sz w:val="24"/>
          <w:szCs w:val="24"/>
          <w:lang w:val="et-EE"/>
        </w:rPr>
        <w:t>.</w:t>
      </w:r>
    </w:p>
  </w:footnote>
  <w:footnote w:id="7">
    <w:p w14:paraId="2C538442" w14:textId="0A17F016" w:rsidR="0063088B" w:rsidRPr="0063088B" w:rsidRDefault="0063088B" w:rsidP="00855ABB">
      <w:pPr>
        <w:pStyle w:val="FootnoteText"/>
        <w:ind w:left="567" w:hanging="567"/>
        <w:rPr>
          <w:sz w:val="24"/>
          <w:szCs w:val="24"/>
          <w:lang w:val="et-EE"/>
        </w:rPr>
      </w:pPr>
      <w:r w:rsidRPr="0063088B">
        <w:rPr>
          <w:rStyle w:val="FootnoteReference"/>
          <w:sz w:val="24"/>
          <w:szCs w:val="24"/>
        </w:rPr>
        <w:footnoteRef/>
      </w:r>
      <w:r w:rsidRPr="0063088B">
        <w:rPr>
          <w:sz w:val="24"/>
          <w:szCs w:val="24"/>
          <w:lang w:val="et-EE"/>
        </w:rPr>
        <w:t xml:space="preserve"> </w:t>
      </w:r>
      <w:r w:rsidRPr="0063088B">
        <w:rPr>
          <w:sz w:val="24"/>
          <w:szCs w:val="24"/>
          <w:lang w:val="et-EE"/>
        </w:rPr>
        <w:tab/>
      </w:r>
      <w:r w:rsidRPr="0063088B">
        <w:rPr>
          <w:sz w:val="24"/>
          <w:szCs w:val="24"/>
          <w:lang w:val="et-EE"/>
        </w:rPr>
        <w:t xml:space="preserve">ELT L, 2025/50, 10.1.2025, ELI: </w:t>
      </w:r>
      <w:hyperlink r:id="rId6" w:tgtFrame="http://data.europa.eu/eli/dir/2025/50/oj" w:history="1">
        <w:r w:rsidRPr="0063088B">
          <w:rPr>
            <w:rStyle w:val="Hyperlink"/>
            <w:sz w:val="24"/>
            <w:szCs w:val="24"/>
            <w:lang w:val="et-EE"/>
          </w:rPr>
          <w:t>http://data.europa.eu/eli/dir/2025/50/oj</w:t>
        </w:r>
      </w:hyperlink>
      <w:r w:rsidRPr="0063088B">
        <w:rPr>
          <w:sz w:val="24"/>
          <w:szCs w:val="24"/>
          <w:lang w:val="et-EE"/>
        </w:rPr>
        <w:t>.</w:t>
      </w:r>
    </w:p>
  </w:footnote>
  <w:footnote w:id="8">
    <w:p w14:paraId="16F5FBBC" w14:textId="26F98D74" w:rsidR="0063088B" w:rsidRPr="0063088B" w:rsidRDefault="0063088B" w:rsidP="00855ABB">
      <w:pPr>
        <w:pStyle w:val="FootnoteText"/>
        <w:ind w:left="567" w:hanging="567"/>
        <w:rPr>
          <w:sz w:val="24"/>
          <w:szCs w:val="24"/>
          <w:lang w:val="et-EE"/>
        </w:rPr>
      </w:pPr>
      <w:r w:rsidRPr="0063088B">
        <w:rPr>
          <w:rStyle w:val="FootnoteReference"/>
          <w:sz w:val="24"/>
          <w:szCs w:val="24"/>
        </w:rPr>
        <w:footnoteRef/>
      </w:r>
      <w:r w:rsidRPr="0063088B">
        <w:rPr>
          <w:sz w:val="24"/>
          <w:szCs w:val="24"/>
          <w:lang w:val="et-EE"/>
        </w:rPr>
        <w:t xml:space="preserve"> </w:t>
      </w:r>
      <w:r w:rsidRPr="0063088B">
        <w:rPr>
          <w:sz w:val="24"/>
          <w:szCs w:val="24"/>
          <w:lang w:val="et-EE"/>
        </w:rPr>
        <w:tab/>
        <w:t>Euroopa Parlamendi 10. aprilli 2024. </w:t>
      </w:r>
      <w:r w:rsidRPr="0063088B">
        <w:rPr>
          <w:sz w:val="24"/>
          <w:szCs w:val="24"/>
          <w:lang w:val="et-EE"/>
        </w:rPr>
        <w:t xml:space="preserve">aasta seadusandlik resolutsioon ettepaneku kohta võtta vastu nõukogu direktiiv, millega kehtestatakse mikro-, väikeste ja keskmise suurusega ettevõtjate peakontori maksustamise süsteem ning muudetakse direktiivi 2011/16/EL (ELT C, C/2025/1326, 13.3.2025, ELI: </w:t>
      </w:r>
      <w:hyperlink r:id="rId7" w:tgtFrame="http://data.europa.eu/eli/C/2025/1326/oj" w:history="1">
        <w:r w:rsidRPr="0063088B">
          <w:rPr>
            <w:rStyle w:val="Hyperlink"/>
            <w:sz w:val="24"/>
            <w:szCs w:val="24"/>
            <w:lang w:val="et-EE"/>
          </w:rPr>
          <w:t>http://data.europa.eu/eli/C/2025/1326/oj</w:t>
        </w:r>
      </w:hyperlink>
      <w:r w:rsidRPr="0063088B">
        <w:rPr>
          <w:sz w:val="24"/>
          <w:szCs w:val="24"/>
          <w:lang w:val="et-EE"/>
        </w:rPr>
        <w:t>).</w:t>
      </w:r>
    </w:p>
  </w:footnote>
  <w:footnote w:id="9">
    <w:p w14:paraId="57DFB1A0" w14:textId="51D12C9E" w:rsidR="0063088B" w:rsidRPr="0063088B" w:rsidRDefault="0063088B" w:rsidP="00855ABB">
      <w:pPr>
        <w:pStyle w:val="FootnoteText"/>
        <w:ind w:left="567" w:hanging="567"/>
        <w:rPr>
          <w:sz w:val="24"/>
          <w:szCs w:val="24"/>
          <w:lang w:val="et-EE"/>
        </w:rPr>
      </w:pPr>
      <w:r w:rsidRPr="0063088B">
        <w:rPr>
          <w:rStyle w:val="FootnoteReference"/>
          <w:sz w:val="24"/>
          <w:szCs w:val="24"/>
        </w:rPr>
        <w:footnoteRef/>
      </w:r>
      <w:r w:rsidRPr="0063088B">
        <w:rPr>
          <w:sz w:val="24"/>
          <w:szCs w:val="24"/>
          <w:lang w:val="et-EE"/>
        </w:rPr>
        <w:t xml:space="preserve"> </w:t>
      </w:r>
      <w:r w:rsidRPr="0063088B">
        <w:rPr>
          <w:sz w:val="24"/>
          <w:szCs w:val="24"/>
          <w:lang w:val="et-EE"/>
        </w:rPr>
        <w:tab/>
        <w:t>Euroopa Komisjon, „2026 European Macroeconomic Report“ (2026. aasta Euroopa makromajanduse aruanne), november 2025.</w:t>
      </w:r>
    </w:p>
  </w:footnote>
  <w:footnote w:id="10">
    <w:p w14:paraId="57F46D60" w14:textId="2CB89512" w:rsidR="0063088B" w:rsidRPr="0063088B" w:rsidRDefault="0063088B" w:rsidP="00855ABB">
      <w:pPr>
        <w:pStyle w:val="FootnoteText"/>
        <w:ind w:left="567" w:hanging="567"/>
        <w:rPr>
          <w:sz w:val="24"/>
          <w:szCs w:val="24"/>
          <w:lang w:val="et-EE"/>
        </w:rPr>
      </w:pPr>
      <w:r w:rsidRPr="0063088B">
        <w:rPr>
          <w:rStyle w:val="FootnoteReference"/>
          <w:sz w:val="24"/>
          <w:szCs w:val="24"/>
        </w:rPr>
        <w:footnoteRef/>
      </w:r>
      <w:r w:rsidRPr="0063088B">
        <w:rPr>
          <w:sz w:val="24"/>
          <w:szCs w:val="24"/>
          <w:lang w:val="et-EE"/>
        </w:rPr>
        <w:t xml:space="preserve"> </w:t>
      </w:r>
      <w:r w:rsidRPr="0063088B">
        <w:rPr>
          <w:sz w:val="24"/>
          <w:szCs w:val="24"/>
          <w:lang w:val="et-EE"/>
        </w:rPr>
        <w:tab/>
        <w:t>Nõukogu 28. novembri 2006. </w:t>
      </w:r>
      <w:r w:rsidRPr="0063088B">
        <w:rPr>
          <w:sz w:val="24"/>
          <w:szCs w:val="24"/>
          <w:lang w:val="et-EE"/>
        </w:rPr>
        <w:t xml:space="preserve">aasta direktiiv 2006/112/EÜ, mis käsitleb ühist käibemaksusüsteemi (ELT L 347, 11.12.2006, lk 1, ELI: </w:t>
      </w:r>
      <w:hyperlink r:id="rId8" w:tgtFrame="http://data.europa.eu/eli/dir/2006/112/oj" w:history="1">
        <w:r w:rsidRPr="0063088B">
          <w:rPr>
            <w:rStyle w:val="Hyperlink"/>
            <w:sz w:val="24"/>
            <w:szCs w:val="24"/>
            <w:lang w:val="et-EE"/>
          </w:rPr>
          <w:t>http://data.europa.eu/eli/dir/2006/112/oj</w:t>
        </w:r>
      </w:hyperlink>
      <w:r w:rsidRPr="0063088B">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3230469">
    <w:abstractNumId w:val="9"/>
  </w:num>
  <w:num w:numId="2" w16cid:durableId="1202093744">
    <w:abstractNumId w:val="9"/>
  </w:num>
  <w:num w:numId="3" w16cid:durableId="1994412740">
    <w:abstractNumId w:val="7"/>
  </w:num>
  <w:num w:numId="4" w16cid:durableId="2785058">
    <w:abstractNumId w:val="7"/>
  </w:num>
  <w:num w:numId="5" w16cid:durableId="1328677751">
    <w:abstractNumId w:val="6"/>
  </w:num>
  <w:num w:numId="6" w16cid:durableId="1228223151">
    <w:abstractNumId w:val="6"/>
  </w:num>
  <w:num w:numId="7" w16cid:durableId="272519865">
    <w:abstractNumId w:val="5"/>
  </w:num>
  <w:num w:numId="8" w16cid:durableId="4945624">
    <w:abstractNumId w:val="5"/>
  </w:num>
  <w:num w:numId="9" w16cid:durableId="1688483966">
    <w:abstractNumId w:val="4"/>
  </w:num>
  <w:num w:numId="10" w16cid:durableId="1956785041">
    <w:abstractNumId w:val="4"/>
  </w:num>
  <w:num w:numId="11" w16cid:durableId="1186675108">
    <w:abstractNumId w:val="8"/>
  </w:num>
  <w:num w:numId="12" w16cid:durableId="355812620">
    <w:abstractNumId w:val="8"/>
  </w:num>
  <w:num w:numId="13" w16cid:durableId="1906649474">
    <w:abstractNumId w:val="3"/>
  </w:num>
  <w:num w:numId="14" w16cid:durableId="293216780">
    <w:abstractNumId w:val="3"/>
  </w:num>
  <w:num w:numId="15" w16cid:durableId="1709139526">
    <w:abstractNumId w:val="2"/>
  </w:num>
  <w:num w:numId="16" w16cid:durableId="1777745678">
    <w:abstractNumId w:val="2"/>
  </w:num>
  <w:num w:numId="17" w16cid:durableId="1068580029">
    <w:abstractNumId w:val="1"/>
  </w:num>
  <w:num w:numId="18" w16cid:durableId="865172640">
    <w:abstractNumId w:val="1"/>
  </w:num>
  <w:num w:numId="19" w16cid:durableId="895042530">
    <w:abstractNumId w:val="0"/>
  </w:num>
  <w:num w:numId="20" w16cid:durableId="823399018">
    <w:abstractNumId w:val="0"/>
  </w:num>
  <w:num w:numId="21" w16cid:durableId="764568563">
    <w:abstractNumId w:val="9"/>
  </w:num>
  <w:num w:numId="22" w16cid:durableId="1870022944">
    <w:abstractNumId w:val="7"/>
  </w:num>
  <w:num w:numId="23" w16cid:durableId="1607730485">
    <w:abstractNumId w:val="6"/>
  </w:num>
  <w:num w:numId="24" w16cid:durableId="1205370382">
    <w:abstractNumId w:val="5"/>
  </w:num>
  <w:num w:numId="25" w16cid:durableId="624779154">
    <w:abstractNumId w:val="4"/>
  </w:num>
  <w:num w:numId="26" w16cid:durableId="670332462">
    <w:abstractNumId w:val="8"/>
  </w:num>
  <w:num w:numId="27" w16cid:durableId="1220432908">
    <w:abstractNumId w:val="3"/>
  </w:num>
  <w:num w:numId="28" w16cid:durableId="1694959293">
    <w:abstractNumId w:val="2"/>
  </w:num>
  <w:num w:numId="29" w16cid:durableId="486239468">
    <w:abstractNumId w:val="1"/>
  </w:num>
  <w:num w:numId="30" w16cid:durableId="672223964">
    <w:abstractNumId w:val="0"/>
  </w:num>
  <w:num w:numId="31" w16cid:durableId="1951662751">
    <w:abstractNumId w:val="9"/>
  </w:num>
  <w:num w:numId="32" w16cid:durableId="1148474411">
    <w:abstractNumId w:val="7"/>
  </w:num>
  <w:num w:numId="33" w16cid:durableId="142966748">
    <w:abstractNumId w:val="6"/>
  </w:num>
  <w:num w:numId="34" w16cid:durableId="1382707918">
    <w:abstractNumId w:val="5"/>
  </w:num>
  <w:num w:numId="35" w16cid:durableId="1068259719">
    <w:abstractNumId w:val="4"/>
  </w:num>
  <w:num w:numId="36" w16cid:durableId="700397310">
    <w:abstractNumId w:val="8"/>
  </w:num>
  <w:num w:numId="37" w16cid:durableId="1347559052">
    <w:abstractNumId w:val="3"/>
  </w:num>
  <w:num w:numId="38" w16cid:durableId="1364793903">
    <w:abstractNumId w:val="2"/>
  </w:num>
  <w:num w:numId="39" w16cid:durableId="233856756">
    <w:abstractNumId w:val="1"/>
  </w:num>
  <w:num w:numId="40" w16cid:durableId="1139499413">
    <w:abstractNumId w:val="0"/>
  </w:num>
  <w:num w:numId="41" w16cid:durableId="532884425">
    <w:abstractNumId w:val="10"/>
  </w:num>
  <w:num w:numId="42" w16cid:durableId="1461534568">
    <w:abstractNumId w:val="10"/>
  </w:num>
  <w:num w:numId="43" w16cid:durableId="1352292928">
    <w:abstractNumId w:val="10"/>
  </w:num>
  <w:num w:numId="44" w16cid:durableId="268315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ET"/>
    <w:docVar w:name="dvnumam" w:val="0"/>
    <w:docVar w:name="dvpe" w:val="779.360"/>
    <w:docVar w:name="dvrapporteur" w:val="Raportöör: "/>
    <w:docVar w:name="dvtitre" w:val="Euroopa Parlamendi .... 2026. aasta resolutsioon ELi finantssektori maksustamise sidusa raamistiku kohta(2024/2117(INI))"/>
  </w:docVars>
  <w:rsids>
    <w:rsidRoot w:val="00CF6D8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BC2"/>
    <w:rsid w:val="00545827"/>
    <w:rsid w:val="00560270"/>
    <w:rsid w:val="005A773F"/>
    <w:rsid w:val="005C2568"/>
    <w:rsid w:val="005F1B17"/>
    <w:rsid w:val="006037C0"/>
    <w:rsid w:val="0063088B"/>
    <w:rsid w:val="006631B6"/>
    <w:rsid w:val="00680577"/>
    <w:rsid w:val="006C6CAB"/>
    <w:rsid w:val="006F74FA"/>
    <w:rsid w:val="00731ADD"/>
    <w:rsid w:val="00734777"/>
    <w:rsid w:val="00736A62"/>
    <w:rsid w:val="00747932"/>
    <w:rsid w:val="00751A4A"/>
    <w:rsid w:val="00756632"/>
    <w:rsid w:val="00762C74"/>
    <w:rsid w:val="00786EC0"/>
    <w:rsid w:val="007D1690"/>
    <w:rsid w:val="007E22AD"/>
    <w:rsid w:val="00817416"/>
    <w:rsid w:val="00842779"/>
    <w:rsid w:val="00855ABB"/>
    <w:rsid w:val="00865F67"/>
    <w:rsid w:val="00881A7B"/>
    <w:rsid w:val="008840E5"/>
    <w:rsid w:val="00887B3E"/>
    <w:rsid w:val="008C2AC6"/>
    <w:rsid w:val="00930C23"/>
    <w:rsid w:val="0093193B"/>
    <w:rsid w:val="009509D8"/>
    <w:rsid w:val="00950B64"/>
    <w:rsid w:val="00954678"/>
    <w:rsid w:val="00981893"/>
    <w:rsid w:val="00A1687D"/>
    <w:rsid w:val="00A43E52"/>
    <w:rsid w:val="00A4678D"/>
    <w:rsid w:val="00A778C7"/>
    <w:rsid w:val="00AB441E"/>
    <w:rsid w:val="00AB6293"/>
    <w:rsid w:val="00AE0928"/>
    <w:rsid w:val="00AE508D"/>
    <w:rsid w:val="00AF3B82"/>
    <w:rsid w:val="00B12E95"/>
    <w:rsid w:val="00B22876"/>
    <w:rsid w:val="00B422D2"/>
    <w:rsid w:val="00B558F0"/>
    <w:rsid w:val="00BD48FE"/>
    <w:rsid w:val="00BD7BD8"/>
    <w:rsid w:val="00BE6ADC"/>
    <w:rsid w:val="00C05BFE"/>
    <w:rsid w:val="00C23CD4"/>
    <w:rsid w:val="00C61C0C"/>
    <w:rsid w:val="00C941CB"/>
    <w:rsid w:val="00CC2357"/>
    <w:rsid w:val="00CF071A"/>
    <w:rsid w:val="00CF6D8B"/>
    <w:rsid w:val="00D058B8"/>
    <w:rsid w:val="00D56C11"/>
    <w:rsid w:val="00D834A0"/>
    <w:rsid w:val="00D872DF"/>
    <w:rsid w:val="00D91E21"/>
    <w:rsid w:val="00DA7FCD"/>
    <w:rsid w:val="00E0469B"/>
    <w:rsid w:val="00E27862"/>
    <w:rsid w:val="00E302A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32861"/>
  <w15:chartTrackingRefBased/>
  <w15:docId w15:val="{BC49E241-9A9F-41E8-9332-1516CD406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0469B"/>
    <w:pPr>
      <w:widowControl/>
      <w:spacing w:after="240"/>
    </w:pPr>
    <w:rPr>
      <w:szCs w:val="24"/>
      <w:lang w:eastAsia="en-US"/>
    </w:rPr>
  </w:style>
  <w:style w:type="paragraph" w:customStyle="1" w:styleId="NormalHanging12a">
    <w:name w:val="NormalHanging12a"/>
    <w:basedOn w:val="Normal"/>
    <w:rsid w:val="00E0469B"/>
    <w:pPr>
      <w:widowControl/>
      <w:spacing w:after="240"/>
      <w:ind w:left="566" w:hanging="566"/>
    </w:pPr>
    <w:rPr>
      <w:szCs w:val="24"/>
      <w:lang w:eastAsia="en-US"/>
    </w:rPr>
  </w:style>
  <w:style w:type="paragraph" w:customStyle="1" w:styleId="Normal12">
    <w:name w:val="Normal12"/>
    <w:basedOn w:val="Normal"/>
    <w:rsid w:val="00E0469B"/>
    <w:pPr>
      <w:spacing w:after="240"/>
    </w:pPr>
    <w:rPr>
      <w:szCs w:val="24"/>
      <w:lang w:eastAsia="en-US"/>
    </w:rPr>
  </w:style>
  <w:style w:type="paragraph" w:customStyle="1" w:styleId="NormalHanging">
    <w:name w:val="NormalHanging"/>
    <w:basedOn w:val="Normal"/>
    <w:rsid w:val="00E0469B"/>
    <w:pPr>
      <w:spacing w:after="240"/>
      <w:ind w:left="566" w:hanging="566"/>
    </w:pPr>
    <w:rPr>
      <w:szCs w:val="24"/>
      <w:lang w:eastAsia="en-US"/>
    </w:rPr>
  </w:style>
  <w:style w:type="paragraph" w:customStyle="1" w:styleId="NormalCenter12a">
    <w:name w:val="NormalCenter12a"/>
    <w:basedOn w:val="Normal"/>
    <w:rsid w:val="00E0469B"/>
    <w:pPr>
      <w:widowControl/>
      <w:spacing w:after="240"/>
      <w:jc w:val="center"/>
    </w:pPr>
    <w:rPr>
      <w:szCs w:val="24"/>
      <w:lang w:eastAsia="en-US"/>
    </w:rPr>
  </w:style>
  <w:style w:type="character" w:styleId="Hyperlink">
    <w:name w:val="Hyperlink"/>
    <w:basedOn w:val="DefaultParagraphFont"/>
    <w:rsid w:val="00E0469B"/>
    <w:rPr>
      <w:color w:val="0000FF"/>
      <w:u w:val="single"/>
    </w:rPr>
  </w:style>
  <w:style w:type="paragraph" w:styleId="Revision">
    <w:name w:val="Revision"/>
    <w:hidden/>
    <w:uiPriority w:val="99"/>
    <w:semiHidden/>
    <w:rsid w:val="0063088B"/>
    <w:rPr>
      <w:sz w:val="24"/>
      <w:lang w:val="et-EE"/>
    </w:rPr>
  </w:style>
  <w:style w:type="character" w:styleId="UnresolvedMention">
    <w:name w:val="Unresolved Mention"/>
    <w:basedOn w:val="DefaultParagraphFont"/>
    <w:uiPriority w:val="99"/>
    <w:semiHidden/>
    <w:unhideWhenUsed/>
    <w:rsid w:val="00E27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6/11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5/1326/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dir/2025/50/oj"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C/2023/1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2829</Words>
  <Characters>22788</Characters>
  <Application>Microsoft Office Word</Application>
  <DocSecurity>0</DocSecurity>
  <Lines>474</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2026-07-07T13:33:00Z</dcterms:created>
  <dcterms:modified xsi:type="dcterms:W3CDTF">2026-07-07T13:33:00Z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A10-0169/2026</vt:lpwstr>
  </property>
  <property fmtid="{D5CDD505-2E9C-101B-9397-08002B2CF9AE}" pid="4" name="&lt;Type&gt;">
    <vt:lpwstr>RR</vt:lpwstr>
  </property>
</Properties>
</file>