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77B6" w14:paraId="2FF495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9DD139" w14:textId="77777777" w:rsidR="00751A4A" w:rsidRPr="002B77B6" w:rsidRDefault="0004274F" w:rsidP="0010095E">
            <w:pPr>
              <w:pStyle w:val="EPName"/>
            </w:pPr>
            <w:r w:rsidRPr="002B77B6">
              <w:t>Europski parlament</w:t>
            </w:r>
          </w:p>
          <w:p w14:paraId="4E706BC5" w14:textId="77777777" w:rsidR="00751A4A" w:rsidRPr="002B77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77B6">
              <w:t>2024</w:t>
            </w:r>
            <w:r w:rsidR="00817416" w:rsidRPr="002B77B6">
              <w:t>-202</w:t>
            </w:r>
            <w:r w:rsidRPr="002B77B6">
              <w:t>9</w:t>
            </w:r>
          </w:p>
        </w:tc>
        <w:tc>
          <w:tcPr>
            <w:tcW w:w="2268" w:type="dxa"/>
            <w:shd w:val="clear" w:color="auto" w:fill="auto"/>
          </w:tcPr>
          <w:p w14:paraId="49E34C58" w14:textId="77777777" w:rsidR="00751A4A" w:rsidRPr="002B77B6" w:rsidRDefault="00187494" w:rsidP="0010095E">
            <w:pPr>
              <w:pStyle w:val="EPLogo"/>
            </w:pPr>
            <w:r w:rsidRPr="002B77B6">
              <w:rPr>
                <w:noProof/>
                <w:lang w:eastAsia="ja-JP"/>
              </w:rPr>
              <w:drawing>
                <wp:inline distT="0" distB="0" distL="0" distR="0" wp14:anchorId="0494DF3F" wp14:editId="5E4534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144431" w14:textId="77777777" w:rsidR="00D058B8" w:rsidRPr="002B77B6" w:rsidRDefault="00D058B8" w:rsidP="004C5D52">
      <w:pPr>
        <w:pStyle w:val="LineTop"/>
      </w:pPr>
    </w:p>
    <w:p w14:paraId="0588F95A" w14:textId="77777777" w:rsidR="00680577" w:rsidRPr="002B77B6" w:rsidRDefault="0004274F" w:rsidP="00680577">
      <w:pPr>
        <w:pStyle w:val="EPBodyTA1"/>
      </w:pPr>
      <w:r w:rsidRPr="002B77B6">
        <w:t>USVOJENI TEKSTOVI</w:t>
      </w:r>
    </w:p>
    <w:p w14:paraId="72D2943C" w14:textId="77777777" w:rsidR="00D058B8" w:rsidRPr="002B77B6" w:rsidRDefault="00D058B8" w:rsidP="00D058B8">
      <w:pPr>
        <w:pStyle w:val="LineBottom"/>
      </w:pPr>
    </w:p>
    <w:p w14:paraId="138DB7E3" w14:textId="3A5E7F30" w:rsidR="0004274F" w:rsidRPr="002B77B6" w:rsidRDefault="0004274F" w:rsidP="0004274F">
      <w:pPr>
        <w:pStyle w:val="ATHeading1"/>
      </w:pPr>
      <w:bookmarkStart w:id="0" w:name="TANumber"/>
      <w:r w:rsidRPr="002B77B6">
        <w:t>P10_TA(2026)0</w:t>
      </w:r>
      <w:r w:rsidR="00962D13">
        <w:t>248</w:t>
      </w:r>
      <w:bookmarkEnd w:id="0"/>
    </w:p>
    <w:p w14:paraId="3ED43D22" w14:textId="5087BDB5" w:rsidR="0004274F" w:rsidRPr="002B77B6" w:rsidRDefault="00BF6223" w:rsidP="0004274F">
      <w:pPr>
        <w:pStyle w:val="ATHeading2"/>
      </w:pPr>
      <w:bookmarkStart w:id="1" w:name="title"/>
      <w:r w:rsidRPr="00BF6223">
        <w:rPr>
          <w:bCs/>
        </w:rPr>
        <w:t>Dosljedan porezni okvir za financijski sektor EU-a</w:t>
      </w:r>
      <w:bookmarkEnd w:id="1"/>
    </w:p>
    <w:p w14:paraId="6F3A07A2" w14:textId="77777777" w:rsidR="0004274F" w:rsidRPr="002B77B6" w:rsidRDefault="0004274F" w:rsidP="0004274F">
      <w:pPr>
        <w:rPr>
          <w:i/>
          <w:vanish/>
        </w:rPr>
      </w:pPr>
      <w:r w:rsidRPr="002B77B6">
        <w:rPr>
          <w:i/>
        </w:rPr>
        <w:fldChar w:fldCharType="begin"/>
      </w:r>
      <w:r w:rsidRPr="002B77B6">
        <w:rPr>
          <w:i/>
        </w:rPr>
        <w:instrText xml:space="preserve"> TC"(</w:instrText>
      </w:r>
      <w:bookmarkStart w:id="2" w:name="DocNumber"/>
      <w:r w:rsidRPr="002B77B6">
        <w:rPr>
          <w:i/>
        </w:rPr>
        <w:instrText>A10-0169/2026</w:instrText>
      </w:r>
      <w:bookmarkEnd w:id="2"/>
      <w:r w:rsidRPr="002B77B6">
        <w:rPr>
          <w:i/>
        </w:rPr>
        <w:instrText xml:space="preserve"> - Izvjestitelj: Matthias </w:instrText>
      </w:r>
      <w:proofErr w:type="spellStart"/>
      <w:r w:rsidRPr="002B77B6">
        <w:rPr>
          <w:i/>
        </w:rPr>
        <w:instrText>Ecke</w:instrText>
      </w:r>
      <w:proofErr w:type="spellEnd"/>
      <w:r w:rsidRPr="002B77B6">
        <w:rPr>
          <w:i/>
        </w:rPr>
        <w:instrText xml:space="preserve">)"\l3 \n&gt; \* MERGEFORMAT </w:instrText>
      </w:r>
      <w:r w:rsidRPr="002B77B6">
        <w:rPr>
          <w:i/>
        </w:rPr>
        <w:fldChar w:fldCharType="end"/>
      </w:r>
    </w:p>
    <w:p w14:paraId="2043BA3B" w14:textId="77777777" w:rsidR="0004274F" w:rsidRPr="002B77B6" w:rsidRDefault="0004274F" w:rsidP="0004274F">
      <w:pPr>
        <w:rPr>
          <w:vanish/>
        </w:rPr>
      </w:pPr>
      <w:bookmarkStart w:id="3" w:name="Commission"/>
      <w:r w:rsidRPr="002B77B6">
        <w:rPr>
          <w:vanish/>
        </w:rPr>
        <w:t>Odbor za ekonomsku i monetarnu politiku</w:t>
      </w:r>
      <w:bookmarkEnd w:id="3"/>
    </w:p>
    <w:p w14:paraId="614C1DF5" w14:textId="77777777" w:rsidR="0004274F" w:rsidRPr="002B77B6" w:rsidRDefault="0004274F" w:rsidP="0004274F">
      <w:pPr>
        <w:rPr>
          <w:vanish/>
        </w:rPr>
      </w:pPr>
      <w:bookmarkStart w:id="4" w:name="PE"/>
      <w:r w:rsidRPr="002B77B6">
        <w:rPr>
          <w:vanish/>
        </w:rPr>
        <w:t>PE779.360</w:t>
      </w:r>
      <w:bookmarkEnd w:id="4"/>
    </w:p>
    <w:p w14:paraId="40262682" w14:textId="32D5ED85" w:rsidR="0004274F" w:rsidRPr="002B77B6" w:rsidRDefault="0004274F" w:rsidP="0004274F">
      <w:pPr>
        <w:pStyle w:val="ATHeading3"/>
      </w:pPr>
      <w:bookmarkStart w:id="5" w:name="Sujet"/>
      <w:r w:rsidRPr="002B77B6">
        <w:t xml:space="preserve">Rezolucija Europskog parlamenta od </w:t>
      </w:r>
      <w:r w:rsidR="00BF6223">
        <w:t>7. srpnja</w:t>
      </w:r>
      <w:r w:rsidRPr="002B77B6">
        <w:t xml:space="preserve"> 2026. o dosljednom poreznom okviru za financijski sektor EU-a</w:t>
      </w:r>
      <w:bookmarkEnd w:id="5"/>
      <w:r w:rsidRPr="002B77B6">
        <w:t xml:space="preserve"> </w:t>
      </w:r>
      <w:bookmarkStart w:id="6" w:name="References"/>
      <w:r w:rsidRPr="002B77B6">
        <w:t>(2024/2117(INI))</w:t>
      </w:r>
      <w:bookmarkEnd w:id="6"/>
    </w:p>
    <w:p w14:paraId="0EEF353A" w14:textId="77777777" w:rsidR="0060579B" w:rsidRPr="00BF6223" w:rsidRDefault="0060579B" w:rsidP="00BF6223">
      <w:pPr>
        <w:pStyle w:val="Normal12"/>
        <w:spacing w:before="360"/>
        <w:rPr>
          <w:i/>
          <w:iCs/>
        </w:rPr>
      </w:pPr>
      <w:r w:rsidRPr="00BF6223">
        <w:rPr>
          <w:i/>
          <w:iCs/>
        </w:rPr>
        <w:t>Europski parlament,</w:t>
      </w:r>
    </w:p>
    <w:p w14:paraId="09D99EF5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Ugovor o funkcioniranju Europske unije, a posebno njegove članke 113., 114. i 115.,</w:t>
      </w:r>
    </w:p>
    <w:p w14:paraId="7CB3C8E9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Komisijin prijedlog direktive Vijeća od 28. rujna 2011. o zajedničkom sustavu poreza na financijske transakcije i izmjeni Direktive 2008/7/EZ (COM(2011)0594),</w:t>
      </w:r>
    </w:p>
    <w:p w14:paraId="182F7D6C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Komisijin prijedlog direktive Vijeća od 14. veljače 2013. o provedbi pojačane suradnje u području poreza na financijske transakcije (COM(2013)0071) (prijedlog o porezu na financijske transakcije),</w:t>
      </w:r>
    </w:p>
    <w:p w14:paraId="70EB4590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Komisijin prijedlog uredbe Vijeća od 28. studenoga 2007. o utvrđivanju provedbenih mjera za Direktivu 2006/112/EZ o zajedničkom sustavu poreza na dodanu vrijednost u vezi s tretmanom usluga osiguranja i financijskih usluga (COM(2007)0746),</w:t>
      </w:r>
    </w:p>
    <w:p w14:paraId="0CD8A166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Komisijin prijedlog direktive Vijeća od 28. studenoga 2007. o izmjeni Direktive 2006/112/EZ o zajedničkom sustavu poreza na dodanu vrijednost u vezi s tretmanom usluga osiguranja i financijskih usluga (COM(2007)0747),</w:t>
      </w:r>
    </w:p>
    <w:p w14:paraId="6DB471BC" w14:textId="60CFB4E2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 xml:space="preserve">uzimajući u obzir Uredbu (EU) 2023/1114 Europskog parlamenta i Vijeća od 31. svibnja 2023. o tržištima </w:t>
      </w:r>
      <w:proofErr w:type="spellStart"/>
      <w:r w:rsidRPr="002B77B6">
        <w:t>kriptoimovine</w:t>
      </w:r>
      <w:proofErr w:type="spellEnd"/>
      <w:r w:rsidRPr="002B77B6">
        <w:t xml:space="preserve"> i izmjeni uredaba (EU) br. 1093/2010 i (EU) br. 1095/2010 te direktiva 2013/36/EU i (EU) 2019/1937</w:t>
      </w:r>
      <w:r w:rsidR="00BF6223">
        <w:rPr>
          <w:rStyle w:val="FootnoteReference"/>
        </w:rPr>
        <w:footnoteReference w:id="1"/>
      </w:r>
      <w:r w:rsidRPr="002B77B6">
        <w:t>,</w:t>
      </w:r>
    </w:p>
    <w:p w14:paraId="3E7C3587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Komisijinu početnu procjenu učinka od 22. listopada 2020. koja se bavila revizijom pravila o PDV-u za financijske usluge i usluge osiguranja,</w:t>
      </w:r>
    </w:p>
    <w:p w14:paraId="3E1E5C2D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 xml:space="preserve">uzimajući u obzir prijedlog Komisije od 12. rujna 2023. o uspostavi sustava </w:t>
      </w:r>
      <w:r w:rsidRPr="002B77B6">
        <w:lastRenderedPageBreak/>
        <w:t xml:space="preserve">oporezivanja sjedišta za </w:t>
      </w:r>
      <w:proofErr w:type="spellStart"/>
      <w:r w:rsidRPr="002B77B6">
        <w:t>mikropoduzeća</w:t>
      </w:r>
      <w:proofErr w:type="spellEnd"/>
      <w:r w:rsidRPr="002B77B6">
        <w:t>, mala i srednja poduzeća i o izmjeni Direktive 2011/16/EU,</w:t>
      </w:r>
    </w:p>
    <w:p w14:paraId="2DC305E9" w14:textId="3EF24C8C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Odluku Vijeća (EU, Euratom) 2020/2053 od 14. prosinca 2020. o sustavu vlastitih sredstava Europske unije te o stavljanju izvan snage Odluke 2014/335/EU, Euratom</w:t>
      </w:r>
      <w:r w:rsidR="00BF6223">
        <w:rPr>
          <w:rStyle w:val="FootnoteReference"/>
        </w:rPr>
        <w:footnoteReference w:id="2"/>
      </w:r>
      <w:r w:rsidRPr="002B77B6">
        <w:t>,</w:t>
      </w:r>
    </w:p>
    <w:p w14:paraId="2DC69423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Komunikaciju Komisije od 22. prosinca 2021. o sljedećoj generaciji vlastitih sredstava za proračun EU-a (COM(2021)0566),</w:t>
      </w:r>
    </w:p>
    <w:p w14:paraId="362DCA0C" w14:textId="728BF134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studiju koju je naručio Pododbor Parlamenta za porezna pitanja i koju je u lipnju 2025. objavila njegova Glavna uprava za gospodarstvo, transformaciju i industriju, naslovljenu „</w:t>
      </w:r>
      <w:proofErr w:type="spellStart"/>
      <w:r w:rsidRPr="002B77B6">
        <w:t>The</w:t>
      </w:r>
      <w:proofErr w:type="spellEnd"/>
      <w:r w:rsidRPr="002B77B6">
        <w:t xml:space="preserve"> </w:t>
      </w:r>
      <w:proofErr w:type="spellStart"/>
      <w:r w:rsidRPr="002B77B6">
        <w:t>taxation</w:t>
      </w:r>
      <w:proofErr w:type="spellEnd"/>
      <w:r w:rsidRPr="002B77B6">
        <w:t xml:space="preserve"> </w:t>
      </w:r>
      <w:proofErr w:type="spellStart"/>
      <w:r w:rsidRPr="002B77B6">
        <w:t>of</w:t>
      </w:r>
      <w:proofErr w:type="spellEnd"/>
      <w:r w:rsidRPr="002B77B6">
        <w:t xml:space="preserve"> </w:t>
      </w:r>
      <w:proofErr w:type="spellStart"/>
      <w:r w:rsidRPr="002B77B6">
        <w:t>the</w:t>
      </w:r>
      <w:proofErr w:type="spellEnd"/>
      <w:r w:rsidRPr="002B77B6">
        <w:t xml:space="preserve"> </w:t>
      </w:r>
      <w:proofErr w:type="spellStart"/>
      <w:r w:rsidRPr="002B77B6">
        <w:t>EU’s</w:t>
      </w:r>
      <w:proofErr w:type="spellEnd"/>
      <w:r w:rsidRPr="002B77B6">
        <w:t xml:space="preserve"> </w:t>
      </w:r>
      <w:proofErr w:type="spellStart"/>
      <w:r w:rsidRPr="002B77B6">
        <w:t>financial</w:t>
      </w:r>
      <w:proofErr w:type="spellEnd"/>
      <w:r w:rsidRPr="002B77B6">
        <w:t xml:space="preserve"> </w:t>
      </w:r>
      <w:proofErr w:type="spellStart"/>
      <w:r w:rsidRPr="002B77B6">
        <w:t>sector</w:t>
      </w:r>
      <w:proofErr w:type="spellEnd"/>
      <w:r w:rsidRPr="002B77B6">
        <w:t>” (Oporezivanje financijskog sektora EU-a)</w:t>
      </w:r>
      <w:r w:rsidR="00BF6223">
        <w:rPr>
          <w:rStyle w:val="FootnoteReference"/>
        </w:rPr>
        <w:footnoteReference w:id="3"/>
      </w:r>
      <w:r w:rsidRPr="002B77B6">
        <w:t>,</w:t>
      </w:r>
    </w:p>
    <w:p w14:paraId="15AD0534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 xml:space="preserve">uzimajući u obzir sudsku praksu Suda Europske unije o oslobođenju od plaćanja PDV-a za financijske i </w:t>
      </w:r>
      <w:proofErr w:type="spellStart"/>
      <w:r w:rsidRPr="002B77B6">
        <w:t>osiguravateljske</w:t>
      </w:r>
      <w:proofErr w:type="spellEnd"/>
      <w:r w:rsidRPr="002B77B6">
        <w:t xml:space="preserve"> usluge,</w:t>
      </w:r>
    </w:p>
    <w:p w14:paraId="29AD6360" w14:textId="296EB978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 xml:space="preserve">uzimajući u obzir </w:t>
      </w:r>
      <w:proofErr w:type="spellStart"/>
      <w:r w:rsidRPr="002B77B6">
        <w:t>Međuinstitucijski</w:t>
      </w:r>
      <w:proofErr w:type="spellEnd"/>
      <w:r w:rsidRPr="002B77B6">
        <w:t xml:space="preserve">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="00BF6223">
        <w:rPr>
          <w:rStyle w:val="FootnoteReference"/>
        </w:rPr>
        <w:footnoteReference w:id="4"/>
      </w:r>
      <w:r w:rsidRPr="002B77B6">
        <w:t>,</w:t>
      </w:r>
    </w:p>
    <w:p w14:paraId="7BCA1849" w14:textId="7C1FD339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svoju rezoluciju od 10. svibnja 2023. naslovljenu „Vlastita sredstva: novi početak za financije EU-a, novi početak za Europu”</w:t>
      </w:r>
      <w:r w:rsidR="00BF6223">
        <w:rPr>
          <w:rStyle w:val="FootnoteReference"/>
        </w:rPr>
        <w:footnoteReference w:id="5"/>
      </w:r>
      <w:r w:rsidRPr="002B77B6">
        <w:t>,</w:t>
      </w:r>
    </w:p>
    <w:p w14:paraId="1312B47D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 xml:space="preserve">uzimajući u obzir izvješće Enrica </w:t>
      </w:r>
      <w:proofErr w:type="spellStart"/>
      <w:r w:rsidRPr="002B77B6">
        <w:t>Lette</w:t>
      </w:r>
      <w:proofErr w:type="spellEnd"/>
      <w:r w:rsidRPr="002B77B6">
        <w:t xml:space="preserve"> iz travnja 2024. naslovljeno „</w:t>
      </w:r>
      <w:proofErr w:type="spellStart"/>
      <w:r w:rsidRPr="002B77B6">
        <w:t>Much</w:t>
      </w:r>
      <w:proofErr w:type="spellEnd"/>
      <w:r w:rsidRPr="002B77B6">
        <w:t xml:space="preserve"> more </w:t>
      </w:r>
      <w:proofErr w:type="spellStart"/>
      <w:r w:rsidRPr="002B77B6">
        <w:t>than</w:t>
      </w:r>
      <w:proofErr w:type="spellEnd"/>
      <w:r w:rsidRPr="002B77B6">
        <w:t xml:space="preserve"> a market – </w:t>
      </w:r>
      <w:proofErr w:type="spellStart"/>
      <w:r w:rsidRPr="002B77B6">
        <w:t>Speed</w:t>
      </w:r>
      <w:proofErr w:type="spellEnd"/>
      <w:r w:rsidRPr="002B77B6">
        <w:t xml:space="preserve">, </w:t>
      </w:r>
      <w:proofErr w:type="spellStart"/>
      <w:r w:rsidRPr="002B77B6">
        <w:t>security</w:t>
      </w:r>
      <w:proofErr w:type="spellEnd"/>
      <w:r w:rsidRPr="002B77B6">
        <w:t xml:space="preserve">, </w:t>
      </w:r>
      <w:proofErr w:type="spellStart"/>
      <w:r w:rsidRPr="002B77B6">
        <w:t>solidarity</w:t>
      </w:r>
      <w:proofErr w:type="spellEnd"/>
      <w:r w:rsidRPr="002B77B6">
        <w:t xml:space="preserve">” (Mnogo više od tržišta – Brzina, sigurnost, solidarnost): </w:t>
      </w:r>
      <w:proofErr w:type="spellStart"/>
      <w:r w:rsidRPr="002B77B6">
        <w:t>Empowering</w:t>
      </w:r>
      <w:proofErr w:type="spellEnd"/>
      <w:r w:rsidRPr="002B77B6">
        <w:t xml:space="preserve"> </w:t>
      </w:r>
      <w:proofErr w:type="spellStart"/>
      <w:r w:rsidRPr="002B77B6">
        <w:t>the</w:t>
      </w:r>
      <w:proofErr w:type="spellEnd"/>
      <w:r w:rsidRPr="002B77B6">
        <w:t xml:space="preserve"> single market to </w:t>
      </w:r>
      <w:proofErr w:type="spellStart"/>
      <w:r w:rsidRPr="002B77B6">
        <w:t>deliver</w:t>
      </w:r>
      <w:proofErr w:type="spellEnd"/>
      <w:r w:rsidRPr="002B77B6">
        <w:t xml:space="preserve"> a </w:t>
      </w:r>
      <w:proofErr w:type="spellStart"/>
      <w:r w:rsidRPr="002B77B6">
        <w:t>sustainable</w:t>
      </w:r>
      <w:proofErr w:type="spellEnd"/>
      <w:r w:rsidRPr="002B77B6">
        <w:t xml:space="preserve"> future </w:t>
      </w:r>
      <w:proofErr w:type="spellStart"/>
      <w:r w:rsidRPr="002B77B6">
        <w:t>and</w:t>
      </w:r>
      <w:proofErr w:type="spellEnd"/>
      <w:r w:rsidRPr="002B77B6">
        <w:t xml:space="preserve"> </w:t>
      </w:r>
      <w:proofErr w:type="spellStart"/>
      <w:r w:rsidRPr="002B77B6">
        <w:t>prosperity</w:t>
      </w:r>
      <w:proofErr w:type="spellEnd"/>
      <w:r w:rsidRPr="002B77B6">
        <w:t xml:space="preserve"> for </w:t>
      </w:r>
      <w:proofErr w:type="spellStart"/>
      <w:r w:rsidRPr="002B77B6">
        <w:t>all</w:t>
      </w:r>
      <w:proofErr w:type="spellEnd"/>
      <w:r w:rsidRPr="002B77B6">
        <w:t xml:space="preserve"> EU </w:t>
      </w:r>
      <w:proofErr w:type="spellStart"/>
      <w:r w:rsidRPr="002B77B6">
        <w:t>citizens</w:t>
      </w:r>
      <w:proofErr w:type="spellEnd"/>
      <w:r w:rsidRPr="002B77B6">
        <w:t>” (Osnaživanje jedinstvenog tržišta za ostvarivanje održive budućnosti i blagostanja za sve građane EU-a) (</w:t>
      </w:r>
      <w:proofErr w:type="spellStart"/>
      <w:r w:rsidRPr="002B77B6">
        <w:t>Lettino</w:t>
      </w:r>
      <w:proofErr w:type="spellEnd"/>
      <w:r w:rsidRPr="002B77B6">
        <w:t xml:space="preserve"> izvješće),</w:t>
      </w:r>
    </w:p>
    <w:p w14:paraId="4FA2DE93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 xml:space="preserve">uzimajući u obzir izvješće Marija </w:t>
      </w:r>
      <w:proofErr w:type="spellStart"/>
      <w:r w:rsidRPr="002B77B6">
        <w:t>Draghija</w:t>
      </w:r>
      <w:proofErr w:type="spellEnd"/>
      <w:r w:rsidRPr="002B77B6">
        <w:t xml:space="preserve"> od 9. rujna 2024. naslovljeno „Budućnost europske konkurentnosti” (</w:t>
      </w:r>
      <w:proofErr w:type="spellStart"/>
      <w:r w:rsidRPr="002B77B6">
        <w:t>Draghijevo</w:t>
      </w:r>
      <w:proofErr w:type="spellEnd"/>
      <w:r w:rsidRPr="002B77B6">
        <w:t xml:space="preserve"> izvješće),</w:t>
      </w:r>
    </w:p>
    <w:p w14:paraId="36418BF6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komunikaciju Komisije naslovljenu „Unija za štednju i ulaganja: Strategija za povećanje bogatstva građana i gospodarske konkurentnosti EU-a” (COM(2025)0124),</w:t>
      </w:r>
    </w:p>
    <w:p w14:paraId="0BA33F0D" w14:textId="0CCEE5E4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Komisijinu Preporuku (EU) 2025/2029 od 30. rujna 2025. o povećanju dostupnosti štednih i investicijskih računa s pojednostavnjenim i povoljnim poreznim tretmanom</w:t>
      </w:r>
      <w:r w:rsidR="00BF6223">
        <w:rPr>
          <w:rStyle w:val="FootnoteReference"/>
        </w:rPr>
        <w:footnoteReference w:id="6"/>
      </w:r>
      <w:r w:rsidRPr="002B77B6">
        <w:t>,</w:t>
      </w:r>
    </w:p>
    <w:p w14:paraId="10B691AB" w14:textId="77777777" w:rsidR="0060579B" w:rsidRPr="002B77B6" w:rsidRDefault="0060579B" w:rsidP="0060579B">
      <w:pPr>
        <w:pStyle w:val="NormalHanging"/>
      </w:pPr>
      <w:r w:rsidRPr="002B77B6">
        <w:lastRenderedPageBreak/>
        <w:t>–</w:t>
      </w:r>
      <w:r w:rsidRPr="002B77B6">
        <w:tab/>
        <w:t xml:space="preserve">uzimajući u obzir radni dokument Svjetske banke „VAT </w:t>
      </w:r>
      <w:proofErr w:type="spellStart"/>
      <w:r w:rsidRPr="002B77B6">
        <w:t>Exemptions</w:t>
      </w:r>
      <w:proofErr w:type="spellEnd"/>
      <w:r w:rsidRPr="002B77B6">
        <w:t xml:space="preserve">, </w:t>
      </w:r>
      <w:proofErr w:type="spellStart"/>
      <w:r w:rsidRPr="002B77B6">
        <w:t>Embedded</w:t>
      </w:r>
      <w:proofErr w:type="spellEnd"/>
      <w:r w:rsidRPr="002B77B6">
        <w:t xml:space="preserve"> </w:t>
      </w:r>
      <w:proofErr w:type="spellStart"/>
      <w:r w:rsidRPr="002B77B6">
        <w:t>Tax</w:t>
      </w:r>
      <w:proofErr w:type="spellEnd"/>
      <w:r w:rsidRPr="002B77B6">
        <w:t xml:space="preserve">, </w:t>
      </w:r>
      <w:proofErr w:type="spellStart"/>
      <w:r w:rsidRPr="002B77B6">
        <w:t>and</w:t>
      </w:r>
      <w:proofErr w:type="spellEnd"/>
      <w:r w:rsidRPr="002B77B6">
        <w:t xml:space="preserve"> </w:t>
      </w:r>
      <w:proofErr w:type="spellStart"/>
      <w:r w:rsidRPr="002B77B6">
        <w:t>Unintended</w:t>
      </w:r>
      <w:proofErr w:type="spellEnd"/>
      <w:r w:rsidRPr="002B77B6">
        <w:t xml:space="preserve"> </w:t>
      </w:r>
      <w:proofErr w:type="spellStart"/>
      <w:r w:rsidRPr="002B77B6">
        <w:t>Consequences</w:t>
      </w:r>
      <w:proofErr w:type="spellEnd"/>
      <w:r w:rsidRPr="002B77B6">
        <w:t>” (Oslobođenja od plaćanja PDV-a, integrirani porez i neplanirane posljedice) iz svibnja 2025.,</w:t>
      </w:r>
    </w:p>
    <w:p w14:paraId="46FF0C96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članak 55. Poslovnika,</w:t>
      </w:r>
    </w:p>
    <w:p w14:paraId="4192AA90" w14:textId="77777777" w:rsidR="0060579B" w:rsidRPr="002B77B6" w:rsidRDefault="0060579B" w:rsidP="0060579B">
      <w:pPr>
        <w:pStyle w:val="NormalHanging"/>
      </w:pPr>
      <w:r w:rsidRPr="002B77B6">
        <w:t>–</w:t>
      </w:r>
      <w:r w:rsidRPr="002B77B6">
        <w:tab/>
        <w:t>uzimajući u obzir izvješće Odbora za ekonomsku i monetarnu politiku (A10-0169/2026),</w:t>
      </w:r>
    </w:p>
    <w:p w14:paraId="32A62883" w14:textId="77777777" w:rsidR="0060579B" w:rsidRPr="002B77B6" w:rsidRDefault="0060579B" w:rsidP="0060579B">
      <w:pPr>
        <w:pStyle w:val="NormalHanging"/>
      </w:pPr>
      <w:r w:rsidRPr="002B77B6">
        <w:t>A.</w:t>
      </w:r>
      <w:r w:rsidRPr="002B77B6">
        <w:tab/>
        <w:t>budući da je predsjednica Komisije 2024. u svojem mandatnom pismu upućenom povjereniku nadležnom za oporezivanje zadužila Komisiju da identificira inovativna rješenja za oporezivanje financijskog sektora EU-a kako bi se poduprle daljnja integracija tog sektora, prekogranična aktivnost, digitalizacija i inovacije; budući da je Komisija naručila studiju o oporezivanju financijskog sektora u EU-u;</w:t>
      </w:r>
    </w:p>
    <w:p w14:paraId="2B6CE708" w14:textId="77777777" w:rsidR="0060579B" w:rsidRPr="002B77B6" w:rsidRDefault="0060579B" w:rsidP="0060579B">
      <w:pPr>
        <w:pStyle w:val="NormalHanging"/>
      </w:pPr>
      <w:r w:rsidRPr="002B77B6">
        <w:t>B.</w:t>
      </w:r>
      <w:r w:rsidRPr="002B77B6">
        <w:tab/>
        <w:t xml:space="preserve">budući da su financijske usluge općenito oslobođene od poreza na dodanu vrijednost (PDV) u EU-u; budući da financijske institucije zbog tog oslobođenja nemaju pravo na odbitak ulaznog PDV, uslijed čega dolazi do tzv. „problema </w:t>
      </w:r>
      <w:proofErr w:type="spellStart"/>
      <w:r w:rsidRPr="002B77B6">
        <w:t>nepovrativog</w:t>
      </w:r>
      <w:proofErr w:type="spellEnd"/>
      <w:r w:rsidRPr="002B77B6">
        <w:t xml:space="preserve"> PDV-a”; budući da bi to oslobođenje moglo dovesti do manjka transparentnosti, povećanja troškova za potrošače i dodatnih troškova za financijske institucije, utjecati na odluke o eksternalizaciji i organizaciji te dovesti do slabljenja konkurentnosti manjih, digitalnih i prekograničnih pružatelja usluga u odnosu na konkurenciju;</w:t>
      </w:r>
    </w:p>
    <w:p w14:paraId="0BE7F5A7" w14:textId="77777777" w:rsidR="0060579B" w:rsidRPr="002B77B6" w:rsidRDefault="0060579B" w:rsidP="0060579B">
      <w:pPr>
        <w:pStyle w:val="NormalHanging"/>
      </w:pPr>
      <w:r w:rsidRPr="002B77B6">
        <w:t>C.</w:t>
      </w:r>
      <w:r w:rsidRPr="002B77B6">
        <w:tab/>
        <w:t>budući da se mogućnost da financijske institucije uđu u sustav PDV-a ne nudi dosljedno u državama članicama, što dovodi do dodatnih administrativnih složenosti;</w:t>
      </w:r>
    </w:p>
    <w:p w14:paraId="5CC7AFAE" w14:textId="77777777" w:rsidR="0060579B" w:rsidRPr="002B77B6" w:rsidRDefault="0060579B" w:rsidP="0060579B">
      <w:pPr>
        <w:pStyle w:val="NormalHanging"/>
      </w:pPr>
      <w:r w:rsidRPr="002B77B6">
        <w:t>D.</w:t>
      </w:r>
      <w:r w:rsidRPr="002B77B6">
        <w:tab/>
        <w:t>budući da je oslobođenje od plaćanja PDV-a uvedeno 1977. kada je oporezivanje takvih usluga dovodilo do znatnih tehničkih i administrativnih poteškoća; budući da bi se prvotno tehničko obrazloženje za oslobođenje od PDV-a sada moglo premostiti zahvaljujući tehnološkim, digitalnim i nadzornim naprecima, uključujući obradu podataka u stvarnom vremenu i poboljšane zahtjeve za izvješćivanje;</w:t>
      </w:r>
    </w:p>
    <w:p w14:paraId="73AB7FE6" w14:textId="77777777" w:rsidR="0060579B" w:rsidRPr="002B77B6" w:rsidRDefault="0060579B" w:rsidP="0060579B">
      <w:pPr>
        <w:pStyle w:val="NormalHanging"/>
      </w:pPr>
      <w:r w:rsidRPr="002B77B6">
        <w:t>E.</w:t>
      </w:r>
      <w:r w:rsidRPr="002B77B6">
        <w:tab/>
        <w:t xml:space="preserve">budući da je više jurisdikcija u svijetu revidiralo slična oslobođenja ili uvelo alternativne oblike oporezivanja financijskih usluga kako bi se otklonili neplanirani fiskalni i konkurentski učinci </w:t>
      </w:r>
      <w:proofErr w:type="spellStart"/>
      <w:r w:rsidRPr="002B77B6">
        <w:t>nepovrativog</w:t>
      </w:r>
      <w:proofErr w:type="spellEnd"/>
      <w:r w:rsidRPr="002B77B6">
        <w:t xml:space="preserve"> PDV-a te i dalje ostvarivao pravedan i pouzdan doprinos financijskog sektora javnim prihodima;</w:t>
      </w:r>
    </w:p>
    <w:p w14:paraId="155684A8" w14:textId="77777777" w:rsidR="0060579B" w:rsidRPr="002B77B6" w:rsidRDefault="0060579B" w:rsidP="0060579B">
      <w:pPr>
        <w:pStyle w:val="NormalHanging"/>
      </w:pPr>
      <w:r w:rsidRPr="002B77B6">
        <w:t>F.</w:t>
      </w:r>
      <w:r w:rsidRPr="002B77B6">
        <w:tab/>
        <w:t xml:space="preserve">budući da je i u </w:t>
      </w:r>
      <w:proofErr w:type="spellStart"/>
      <w:r w:rsidRPr="002B77B6">
        <w:t>Lettinu</w:t>
      </w:r>
      <w:proofErr w:type="spellEnd"/>
      <w:r w:rsidRPr="002B77B6">
        <w:t xml:space="preserve"> i u </w:t>
      </w:r>
      <w:proofErr w:type="spellStart"/>
      <w:r w:rsidRPr="002B77B6">
        <w:t>Draghijevu</w:t>
      </w:r>
      <w:proofErr w:type="spellEnd"/>
      <w:r w:rsidRPr="002B77B6">
        <w:t xml:space="preserve"> izvješću istaknuto da </w:t>
      </w:r>
      <w:proofErr w:type="spellStart"/>
      <w:r w:rsidRPr="002B77B6">
        <w:t>fragmentiranost</w:t>
      </w:r>
      <w:proofErr w:type="spellEnd"/>
      <w:r w:rsidRPr="002B77B6">
        <w:t xml:space="preserve"> jedinstvenog tržišta, uključujući administrativne i porezne prepreke, ometa gospodarski rast, trgovinu i prekogranične aktivnosti; budući da unutarnje prepreke u EU-u u praksi znače carinu na financijske usluge od gotovo 100 %; budući da te regulatorne prepreke, prema </w:t>
      </w:r>
      <w:proofErr w:type="spellStart"/>
      <w:r w:rsidRPr="002B77B6">
        <w:t>Draghiju</w:t>
      </w:r>
      <w:proofErr w:type="spellEnd"/>
      <w:r w:rsidRPr="002B77B6">
        <w:t>, mnogo više štete gospodarskom rastu od bilo kakvih carina koje bi SAD mogao nametnuti;</w:t>
      </w:r>
    </w:p>
    <w:p w14:paraId="332BDC4D" w14:textId="77777777" w:rsidR="0060579B" w:rsidRPr="002B77B6" w:rsidRDefault="0060579B" w:rsidP="0060579B">
      <w:pPr>
        <w:pStyle w:val="NormalHanging"/>
      </w:pPr>
      <w:r w:rsidRPr="002B77B6">
        <w:t>G.</w:t>
      </w:r>
      <w:r w:rsidRPr="002B77B6">
        <w:tab/>
        <w:t>budući da je prema podacima Eurostata financijski sektor velik dio gospodarstva EU-a, koji je 2022. proizveo dodanu vrijednost od približno 0,9 bilijuna EUR, zapošljava gotovo pet milijuna ljudi i ostvaruje neto prihode od približno 2,4 bilijuna EUR; budući da sektor doprinosi javnim financijama u obliku korporativnog oporezivanja, poreza na plaće i sektorskih pristojbi; budući da financijski sektor EU-a ima jednu od glavnih uloga u financiranju realnoga gospodarstva, podržavanju inovacija i olakšavanju ulaganja;</w:t>
      </w:r>
    </w:p>
    <w:p w14:paraId="34AF4373" w14:textId="6BD7F6A9" w:rsidR="0060579B" w:rsidRPr="002B77B6" w:rsidRDefault="0060579B" w:rsidP="0060579B">
      <w:pPr>
        <w:pStyle w:val="NormalHanging"/>
      </w:pPr>
      <w:r w:rsidRPr="002B77B6">
        <w:lastRenderedPageBreak/>
        <w:t>H.</w:t>
      </w:r>
      <w:r w:rsidRPr="002B77B6">
        <w:tab/>
        <w:t>budući da je nedavnim inicijativama, kao što je Direktiva Vijeća (EU) 2025/50 od 10. prosinca 2024. o bržem i sigurnijem oslobođenju za preplaćeni porez po odbitku</w:t>
      </w:r>
      <w:r w:rsidR="00BF6223">
        <w:rPr>
          <w:rStyle w:val="FootnoteReference"/>
        </w:rPr>
        <w:footnoteReference w:id="7"/>
      </w:r>
      <w:r w:rsidRPr="002B77B6">
        <w:t xml:space="preserve"> (Direktiva FASTER), ostvaren važan napredak na smanjivanju administrativnog opterećenja i poticanju prekogranične gospodarske aktivnosti u EU-u, te da bi se i dalje trebalo na sličan način raditi na tom pitanju kako bi se dodatno ojačale integracija i učinkovitost jedinstvenog tržišta;</w:t>
      </w:r>
    </w:p>
    <w:p w14:paraId="42BB6593" w14:textId="102ECB68" w:rsidR="0060579B" w:rsidRPr="002B77B6" w:rsidRDefault="0060579B" w:rsidP="0060579B">
      <w:pPr>
        <w:pStyle w:val="NormalHanging"/>
      </w:pPr>
      <w:r w:rsidRPr="002B77B6">
        <w:t>I.</w:t>
      </w:r>
      <w:r w:rsidRPr="002B77B6">
        <w:tab/>
        <w:t xml:space="preserve">budući da Vijeće odgađa donošenje odluke o Komisijinu prijedlogu Direktive o uspostavi sustava oporezivanja sjedišta za </w:t>
      </w:r>
      <w:proofErr w:type="spellStart"/>
      <w:r w:rsidRPr="002B77B6">
        <w:t>mikropoduzeća</w:t>
      </w:r>
      <w:proofErr w:type="spellEnd"/>
      <w:r w:rsidRPr="002B77B6">
        <w:t xml:space="preserve"> te mala i srednja poduzeća te o izmjeni Direktive 2011/16/EU, a Parlament je već odobrio zakonodavnu rezoluciju 10. travnja 2024.</w:t>
      </w:r>
      <w:r w:rsidR="00BF6223">
        <w:rPr>
          <w:rStyle w:val="FootnoteReference"/>
        </w:rPr>
        <w:footnoteReference w:id="8"/>
      </w:r>
      <w:r w:rsidRPr="002B77B6">
        <w:t>;</w:t>
      </w:r>
    </w:p>
    <w:p w14:paraId="2A34873B" w14:textId="77777777" w:rsidR="0060579B" w:rsidRPr="002B77B6" w:rsidRDefault="0060579B" w:rsidP="0060579B">
      <w:pPr>
        <w:pStyle w:val="NormalHanging"/>
      </w:pPr>
      <w:r w:rsidRPr="002B77B6">
        <w:t>J.</w:t>
      </w:r>
      <w:r w:rsidRPr="002B77B6">
        <w:tab/>
        <w:t xml:space="preserve">budući da sve buduće inicijative trebaju smanjiti </w:t>
      </w:r>
      <w:proofErr w:type="spellStart"/>
      <w:r w:rsidRPr="002B77B6">
        <w:t>fragmentiranost</w:t>
      </w:r>
      <w:proofErr w:type="spellEnd"/>
      <w:r w:rsidRPr="002B77B6">
        <w:t xml:space="preserve"> jedinstvenog tržišta i ojačati konkurentnost s pomoću koherentnog, predvidljivog i neutralnog poreznog okvira za financijske usluge, pri čemu se u obzir trebaju uzeti različiti poslovni modeli i porezne interakcije u financijskom sektoru u EU-u;</w:t>
      </w:r>
    </w:p>
    <w:p w14:paraId="3C349935" w14:textId="77777777" w:rsidR="0060579B" w:rsidRPr="002B77B6" w:rsidRDefault="0060579B" w:rsidP="0060579B">
      <w:pPr>
        <w:pStyle w:val="NormalHanging"/>
      </w:pPr>
      <w:r w:rsidRPr="002B77B6">
        <w:t>K.</w:t>
      </w:r>
      <w:r w:rsidRPr="002B77B6">
        <w:tab/>
        <w:t xml:space="preserve">budući da je oporezivanje financijskih usluga u EU-u i dalje vrlo fragmentirano i da se nacionalni pristupi razlikuju kad je riječ o porezima na premiju osiguranja, porezima na financijske transakcije, bankovnim pristojbama, porezima na financijske aktivnosti i drugim porezima koji se temelje na dobiti; budući da ta </w:t>
      </w:r>
      <w:proofErr w:type="spellStart"/>
      <w:r w:rsidRPr="002B77B6">
        <w:t>fragmentiranost</w:t>
      </w:r>
      <w:proofErr w:type="spellEnd"/>
      <w:r w:rsidRPr="002B77B6">
        <w:t xml:space="preserve"> stvara pravnu nesigurnost i složenost, stimulira poremećaje na tržištu, potiče izbjegavanje plaćanja poreza i smanjuje konkurentnost EU-a;</w:t>
      </w:r>
    </w:p>
    <w:p w14:paraId="48E657A0" w14:textId="77777777" w:rsidR="0060579B" w:rsidRPr="002B77B6" w:rsidRDefault="0060579B" w:rsidP="0060579B">
      <w:pPr>
        <w:pStyle w:val="NormalHanging"/>
      </w:pPr>
      <w:r w:rsidRPr="002B77B6">
        <w:t>L.</w:t>
      </w:r>
      <w:r w:rsidRPr="002B77B6">
        <w:tab/>
        <w:t>budući da su za uniju štednje i ulaganja potrebni snažniji poticaji za građane da štede i ulažu u europska tržišta kapitala; budući da je za dovršetak unije štednje i ulaganja potreban sveobuhvatan pristup financijskoj stabilnosti, integraciji tržišta i zaštiti ulagatelja; budući da je za uspjeh i vjerodostojnost unije štednje i ulaganja ključno osigurati da financijski sektor smisleno doprinese javnim financijama, internalizira rizike koje generira i podržava dugoročno održivo ulaganje;</w:t>
      </w:r>
    </w:p>
    <w:p w14:paraId="47BC7901" w14:textId="77777777" w:rsidR="0060579B" w:rsidRPr="002B77B6" w:rsidRDefault="0060579B" w:rsidP="0060579B">
      <w:pPr>
        <w:pStyle w:val="NormalHanging"/>
      </w:pPr>
      <w:r w:rsidRPr="002B77B6">
        <w:t>M.</w:t>
      </w:r>
      <w:r w:rsidRPr="002B77B6">
        <w:tab/>
        <w:t>budući da se o porezu na financijske transakcije i bankovnim pristojbama raspravljalo nakon financijske krize 2008. i 2009.; budući da je cilj tih mjera bio nadoknaditi troškove krize;</w:t>
      </w:r>
    </w:p>
    <w:p w14:paraId="247AFA13" w14:textId="77777777" w:rsidR="0060579B" w:rsidRPr="002B77B6" w:rsidRDefault="0060579B" w:rsidP="0060579B">
      <w:pPr>
        <w:pStyle w:val="NormalHanging"/>
      </w:pPr>
      <w:r w:rsidRPr="002B77B6">
        <w:t>N.</w:t>
      </w:r>
      <w:r w:rsidRPr="002B77B6">
        <w:tab/>
        <w:t>budući da se u najmanje sedam država članica trenutačno naplaćuje porez na financijske transakcije; budući da te države članice nisu uskladile ni područje primjene ni stope ni postupke primjene svojih poreza na financijske transakcije; budući da, unatoč nekoliko zakonodavnih prijedloga Komisije od 2011., nije postignut dogovor o porezu na financijske transakcije na razini EU-a;</w:t>
      </w:r>
    </w:p>
    <w:p w14:paraId="1CD87529" w14:textId="77777777" w:rsidR="0060579B" w:rsidRPr="002B77B6" w:rsidRDefault="0060579B" w:rsidP="0060579B">
      <w:pPr>
        <w:pStyle w:val="NormalHanging"/>
      </w:pPr>
      <w:r w:rsidRPr="002B77B6">
        <w:t>O.</w:t>
      </w:r>
      <w:r w:rsidRPr="002B77B6">
        <w:tab/>
        <w:t xml:space="preserve">budući da je Parlament dosljedno podupirao uvođenje poreza na financijske transakcije na razini EU-a, među ostalim kao mogućeg izvora vlastitih sredstava, posljednji put u svojoj rezoluciji iz svibnja 2023.; budući da je Komisija u svojem programu rada za 2026. predložila povlačenje svojeg prethodnog prijedloga o porezu na financijske </w:t>
      </w:r>
      <w:r w:rsidRPr="002B77B6">
        <w:lastRenderedPageBreak/>
        <w:t>transakcije jer među državama članicama ne postoji konsenzus i jer nije postignut nikakav sporazum;</w:t>
      </w:r>
    </w:p>
    <w:p w14:paraId="37135999" w14:textId="77777777" w:rsidR="0060579B" w:rsidRPr="002B77B6" w:rsidRDefault="0060579B" w:rsidP="0060579B">
      <w:pPr>
        <w:pStyle w:val="NormalHanging"/>
      </w:pPr>
      <w:r w:rsidRPr="002B77B6">
        <w:t>P.</w:t>
      </w:r>
      <w:r w:rsidRPr="002B77B6">
        <w:tab/>
        <w:t>budući da države članice i dalje uvode privremene poreze na neočekivanu dobit i solidarne namete na dobit banaka kako bi odgovorile na iznimna povećanja profitabilnosti potaknuta monetarnom politikom;</w:t>
      </w:r>
    </w:p>
    <w:p w14:paraId="7C6102CB" w14:textId="77777777" w:rsidR="0060579B" w:rsidRPr="002B77B6" w:rsidRDefault="0060579B" w:rsidP="0060579B">
      <w:pPr>
        <w:pStyle w:val="Normal12a"/>
      </w:pPr>
      <w:r w:rsidRPr="002B77B6">
        <w:rPr>
          <w:b/>
          <w:i/>
        </w:rPr>
        <w:t xml:space="preserve">Rješavanje problema porezne </w:t>
      </w:r>
      <w:proofErr w:type="spellStart"/>
      <w:r w:rsidRPr="002B77B6">
        <w:rPr>
          <w:b/>
          <w:i/>
        </w:rPr>
        <w:t>fragmentiranosti</w:t>
      </w:r>
      <w:proofErr w:type="spellEnd"/>
      <w:r w:rsidRPr="002B77B6">
        <w:rPr>
          <w:b/>
          <w:i/>
        </w:rPr>
        <w:t xml:space="preserve"> financijskog sektora i povećanje njegove konkurentnosti</w:t>
      </w:r>
    </w:p>
    <w:p w14:paraId="30B51923" w14:textId="4AB1AA37" w:rsidR="0060579B" w:rsidRPr="002B77B6" w:rsidRDefault="0060579B" w:rsidP="0060579B">
      <w:pPr>
        <w:pStyle w:val="NormalHanging12a"/>
      </w:pPr>
      <w:r w:rsidRPr="002B77B6">
        <w:t>1.</w:t>
      </w:r>
      <w:r w:rsidRPr="002B77B6">
        <w:tab/>
        <w:t xml:space="preserve"> ističe da su </w:t>
      </w:r>
      <w:r w:rsidR="00A32621" w:rsidRPr="00A32621">
        <w:t>nakon velike financijske krize</w:t>
      </w:r>
      <w:r w:rsidRPr="002B77B6">
        <w:t xml:space="preserve"> države članice uvele 91 sektorski porez kako bi oporezivale financijski sektor, što je dovelo do vrlo fragmentiranog poreznog okruženja; napominje da to fragmentirano porezno okruženje stvara dodatne operativne i administrativne troškove i povećava strukturne prepreke koje stoje na putu prekograničnom širenju pružatelja financijskih usluga, što dovodi do slabljenja financijskog sektora EU-a i njegova kapaciteta ulaganja te ugrožava ciljeve unije štednje i ulaganja i bankovne unije;</w:t>
      </w:r>
    </w:p>
    <w:p w14:paraId="3758045D" w14:textId="30F01122" w:rsidR="0060579B" w:rsidRPr="002B77B6" w:rsidRDefault="0098522E" w:rsidP="0060579B">
      <w:pPr>
        <w:pStyle w:val="NormalHanging12a"/>
      </w:pPr>
      <w:r>
        <w:t>2</w:t>
      </w:r>
      <w:r w:rsidR="0060579B" w:rsidRPr="002B77B6">
        <w:t>.</w:t>
      </w:r>
      <w:r w:rsidR="0060579B" w:rsidRPr="002B77B6">
        <w:tab/>
        <w:t>napominje da razlike u nacionalnim poreznim sustavima odražavaju domaće političke odluke; napominje rad koji se trenutačno odvija na međunarodnoj razini u pogledu premještanja dobiti; poziva na pojačanu koordinaciju na razini EU-a, među ostalim u provedbi Direktive o drugom stupu, temeljitih pravila protiv izbjegavanja plaćanja poreza i zahtjeva u pogledu transparentnosti, posebno u području javnog izvješćivanja po zemljama;</w:t>
      </w:r>
    </w:p>
    <w:p w14:paraId="46AC3EAC" w14:textId="04CE0498" w:rsidR="0060579B" w:rsidRPr="002B77B6" w:rsidRDefault="0098522E" w:rsidP="0060579B">
      <w:pPr>
        <w:pStyle w:val="NormalHanging12a"/>
      </w:pPr>
      <w:r>
        <w:t>3</w:t>
      </w:r>
      <w:r w:rsidR="0060579B" w:rsidRPr="002B77B6">
        <w:t>.</w:t>
      </w:r>
      <w:r w:rsidR="0060579B" w:rsidRPr="002B77B6">
        <w:tab/>
        <w:t xml:space="preserve">napominje da </w:t>
      </w:r>
      <w:proofErr w:type="spellStart"/>
      <w:r w:rsidR="0060579B" w:rsidRPr="002B77B6">
        <w:t>fragmentiranost</w:t>
      </w:r>
      <w:proofErr w:type="spellEnd"/>
      <w:r w:rsidR="0060579B" w:rsidRPr="002B77B6">
        <w:t xml:space="preserve"> nacionalnih poreznih sustava povećava rizik od prekograničnog dvostrukog oporezivanja i da, potaknuta administrativnom i pravnom složenošću, može kočiti rast financijskog sektora EU-a i predstavljati prepreku uspješnijoj integraciji financijskih tržišta u EU-u; naglašava da bi izbjegavanje dvostrukog oporezivanja i smanjenje administrativnog opterećenja i dalje trebali biti presudni; međutim, naglašava da pojednostavnjivanje ne smije dovesti do deregulacije ili trke prema dnu u području poreznih standarda;</w:t>
      </w:r>
    </w:p>
    <w:p w14:paraId="58ED32FC" w14:textId="6E92FA61" w:rsidR="0060579B" w:rsidRPr="002B77B6" w:rsidRDefault="0098522E" w:rsidP="0060579B">
      <w:pPr>
        <w:pStyle w:val="NormalHanging12a"/>
      </w:pPr>
      <w:r>
        <w:t>4</w:t>
      </w:r>
      <w:r w:rsidR="0060579B" w:rsidRPr="002B77B6">
        <w:t>.</w:t>
      </w:r>
      <w:r w:rsidR="0060579B" w:rsidRPr="002B77B6">
        <w:tab/>
        <w:t>naglašava da razlike u nacionalnim postupcima za porez po odbitku stvaraju administrativna opterećenja i prepreke za prekogranična ulaganja, kako je potvrđeno u Komisijinoj strategiji za uniju štednje i ulaganja; pozdravlja donošenje Direktive FASTER; poziva na daljnji napredak prema usklađenijem i ambicioznijem okviru;</w:t>
      </w:r>
    </w:p>
    <w:p w14:paraId="1EC9D9F8" w14:textId="179C602A" w:rsidR="0060579B" w:rsidRPr="002B77B6" w:rsidRDefault="0098522E" w:rsidP="0060579B">
      <w:pPr>
        <w:pStyle w:val="NormalHanging12a"/>
      </w:pPr>
      <w:r>
        <w:t>5</w:t>
      </w:r>
      <w:r w:rsidR="0060579B" w:rsidRPr="002B77B6">
        <w:t>.</w:t>
      </w:r>
      <w:r w:rsidR="0060579B" w:rsidRPr="002B77B6">
        <w:tab/>
        <w:t xml:space="preserve">poziva Vijeće da donese odluku o Komisijinu prijedlogu direktive Vijeća o uspostavi sustava oporezivanja sjedišta za </w:t>
      </w:r>
      <w:proofErr w:type="spellStart"/>
      <w:r w:rsidR="0060579B" w:rsidRPr="002B77B6">
        <w:t>mikropoduzeća</w:t>
      </w:r>
      <w:proofErr w:type="spellEnd"/>
      <w:r w:rsidR="0060579B" w:rsidRPr="002B77B6">
        <w:t xml:space="preserve"> te mala i srednja poduzeća te o izmjeni Direktive 2011/16/EU, propisno uzimajući u obzir zakonodavnu rezoluciju Parlamenta od 10. travnja 2024.;</w:t>
      </w:r>
    </w:p>
    <w:p w14:paraId="40BBD290" w14:textId="6521E7B9" w:rsidR="0060579B" w:rsidRPr="002B77B6" w:rsidRDefault="0098522E" w:rsidP="0060579B">
      <w:pPr>
        <w:pStyle w:val="NormalHanging12a"/>
      </w:pPr>
      <w:r>
        <w:t>6</w:t>
      </w:r>
      <w:r w:rsidR="0060579B" w:rsidRPr="002B77B6">
        <w:t>.</w:t>
      </w:r>
      <w:r w:rsidR="0060579B" w:rsidRPr="002B77B6">
        <w:tab/>
        <w:t xml:space="preserve">nadalje primjećuje da postojeća porezna pravila nisu u potpunosti pratila nastanak novih financijskih proizvoda i tržišnih infrastruktura; naglašava da s uspjehom novih vrsta banaka, npr. isključivo digitalne banke, nove konkurentske banke ili banke koje se bave razvojem financijske tehnologije, ta fragmentacija brzo postaje sve veći uzrok za zabrinutost; ističe da je tijekom prošlih šest godina znatno porastao udio prekograničnih depozita kod tih banaka; ističe da razlike u poreznim pravilima između banaka i </w:t>
      </w:r>
      <w:proofErr w:type="spellStart"/>
      <w:r w:rsidR="0060579B" w:rsidRPr="002B77B6">
        <w:t>nebankovnih</w:t>
      </w:r>
      <w:proofErr w:type="spellEnd"/>
      <w:r w:rsidR="0060579B" w:rsidRPr="002B77B6">
        <w:t xml:space="preserve"> subjekata mogu dovesti do poremećaja;</w:t>
      </w:r>
    </w:p>
    <w:p w14:paraId="0089C57E" w14:textId="4A22DD5D" w:rsidR="0060579B" w:rsidRPr="002B77B6" w:rsidRDefault="0098522E" w:rsidP="0060579B">
      <w:pPr>
        <w:pStyle w:val="NormalHanging12a"/>
      </w:pPr>
      <w:r>
        <w:lastRenderedPageBreak/>
        <w:t>7</w:t>
      </w:r>
      <w:r w:rsidR="0060579B" w:rsidRPr="002B77B6">
        <w:t>.</w:t>
      </w:r>
      <w:r w:rsidR="0060579B" w:rsidRPr="002B77B6">
        <w:tab/>
        <w:t xml:space="preserve">naglašava da nedostatak podataka o efektivnom poreznom opterećenju u financijskom sektoru EU-a sprječava oblikovanje politika utemeljeno na dokazima i procjenu utjecaja politika na tržišno ponašanje, konkurentnost i financijsku stabilnost; naglašava potrebu za poboljšanom transparentnošću i </w:t>
      </w:r>
      <w:r w:rsidR="00A32621" w:rsidRPr="00A32621">
        <w:t>boljim korištenjem postojećih</w:t>
      </w:r>
      <w:r w:rsidR="0060579B" w:rsidRPr="002B77B6">
        <w:t xml:space="preserve"> podataka kao preduvjetom za dosljednu reformu oporezivanja financijskog sektora;</w:t>
      </w:r>
    </w:p>
    <w:p w14:paraId="406A2AD2" w14:textId="36930D9B" w:rsidR="0060579B" w:rsidRPr="002B77B6" w:rsidRDefault="0098522E" w:rsidP="0060579B">
      <w:pPr>
        <w:pStyle w:val="NormalHanging12a"/>
      </w:pPr>
      <w:r>
        <w:t>8</w:t>
      </w:r>
      <w:r w:rsidR="0060579B" w:rsidRPr="002B77B6">
        <w:t>.</w:t>
      </w:r>
      <w:r w:rsidR="0060579B" w:rsidRPr="002B77B6">
        <w:tab/>
        <w:t>naglašava da bi se uklanjanjem poreznih prepreka koje stoje na putu prekograničnim ulaganjima s pomoću dosljednih pravila na razini EU-a smanjili troškovi usklađivanja, poboljšala učinkovitost tržišta, povećala pravna jasnoća za prekogranične tokove kapitala i ojačala konkurentnost financijskih usluga EU-a, dok bi se istodobno utaja poreza i agresivno porezno planiranje smanjili; naglašava potrebu za dosljednim skupom pravila za financijski sektor EU-a, uz poštovanje poreznog suvereniteta država članica i načela supsidijarnosti; naglašava da bi oporezivanje financijskih usluga trebalo pomoći u održavanju konkurentnosti financijskog sektora;</w:t>
      </w:r>
    </w:p>
    <w:p w14:paraId="43F98F09" w14:textId="427DBE76" w:rsidR="0060579B" w:rsidRPr="002B77B6" w:rsidRDefault="0098522E" w:rsidP="0060579B">
      <w:pPr>
        <w:pStyle w:val="NormalHanging12a"/>
      </w:pPr>
      <w:r>
        <w:t>9</w:t>
      </w:r>
      <w:r w:rsidR="0060579B" w:rsidRPr="002B77B6">
        <w:t>.</w:t>
      </w:r>
      <w:r w:rsidR="0060579B" w:rsidRPr="002B77B6">
        <w:tab/>
        <w:t>napominje da su, prema Europskom makroekonomskom izvješću Komisije za 2026.</w:t>
      </w:r>
      <w:r w:rsidR="00BF6223">
        <w:rPr>
          <w:rStyle w:val="FootnoteReference"/>
        </w:rPr>
        <w:footnoteReference w:id="9"/>
      </w:r>
      <w:r w:rsidR="0060579B" w:rsidRPr="002B77B6">
        <w:t>, stope štednje kućanstava u EU-u i dalje znatno iznad prosjeka zemalja Organizacije za gospodarsku suradnju i razvoj; žali zbog toga što se otprilike jedna trećina te štednje ulaže izvan EU-a, što upućuje na nedostatke financijskog okvira EU-a u pogledu zadržavanja ulaganja; poziva Komisiju da procijeni kako porezne mjere mogu potaknuti privlačenje ulaganja u EU; naglašava važnost odvraćanja od financijskih odljeva u države na EU-ovu popisu nekooperativnih jurisdikcija;</w:t>
      </w:r>
    </w:p>
    <w:p w14:paraId="57F11BEB" w14:textId="6D0095D2" w:rsidR="0060579B" w:rsidRPr="002B77B6" w:rsidRDefault="0098522E" w:rsidP="0060579B">
      <w:pPr>
        <w:pStyle w:val="NormalHanging12a"/>
      </w:pPr>
      <w:r>
        <w:t>10</w:t>
      </w:r>
      <w:r w:rsidR="0060579B" w:rsidRPr="002B77B6">
        <w:t>.</w:t>
      </w:r>
      <w:r w:rsidR="0060579B" w:rsidRPr="002B77B6">
        <w:tab/>
        <w:t xml:space="preserve">naglašava važnost unapređenja unije za štednju i ulaganja kako bi se mobilizirala štednja za produktivna ulaganja; smatra da su smanjivanje porezne </w:t>
      </w:r>
      <w:proofErr w:type="spellStart"/>
      <w:r w:rsidR="0060579B" w:rsidRPr="002B77B6">
        <w:t>fragmentiranosti</w:t>
      </w:r>
      <w:proofErr w:type="spellEnd"/>
      <w:r w:rsidR="0060579B" w:rsidRPr="002B77B6">
        <w:t xml:space="preserve"> i poboljšavanje kanala za prekogranično ulaganje ključni za mobilizaciju europske štednje u svrhu ulaganja unutar EU-a;</w:t>
      </w:r>
    </w:p>
    <w:p w14:paraId="57C8E36E" w14:textId="4A809B24" w:rsidR="0060579B" w:rsidRPr="002B77B6" w:rsidRDefault="0098522E" w:rsidP="0060579B">
      <w:pPr>
        <w:pStyle w:val="NormalHanging12a"/>
      </w:pPr>
      <w:r>
        <w:t>11</w:t>
      </w:r>
      <w:r w:rsidR="0060579B" w:rsidRPr="002B77B6">
        <w:t>.</w:t>
      </w:r>
      <w:r w:rsidR="0060579B" w:rsidRPr="002B77B6">
        <w:tab/>
        <w:t>naglašava da bi porezni okvir za financijske usluge trebao biti osmišljen zajedno s ciljevima unije za štednju i ulaganja, s naglaskom na povećanju učinkovitosti, ispravljanju poremećaja na tržištu i poticanju ulaganja i dugoročnog rasta, uz istodobno osiguravanje uravnoteženog pristupa koji odražava i šira gospodarska i socijalna razmatranja;</w:t>
      </w:r>
    </w:p>
    <w:p w14:paraId="50C9E3BA" w14:textId="42CC85AD" w:rsidR="0060579B" w:rsidRPr="002B77B6" w:rsidRDefault="0098522E" w:rsidP="0060579B">
      <w:pPr>
        <w:pStyle w:val="NormalHanging12a"/>
      </w:pPr>
      <w:r>
        <w:t>12</w:t>
      </w:r>
      <w:r w:rsidR="0060579B" w:rsidRPr="002B77B6">
        <w:t>.</w:t>
      </w:r>
      <w:r w:rsidR="0060579B" w:rsidRPr="002B77B6">
        <w:tab/>
        <w:t>napominje da bi se oporezivanje financijskog sektora trebalo voditi načelima jednostavnosti, neutralnosti, pravednosti, gospodarske, okolišne i socijalne održivosti te pravne sigurnosti; napominje da bi ono također trebalo odražavati cikličku dinamiku profitabilnosti banaka povezanu s monetarnom politikom i gospodarskim uvjetima;</w:t>
      </w:r>
    </w:p>
    <w:p w14:paraId="6C323E92" w14:textId="3B311045" w:rsidR="0060579B" w:rsidRPr="002B77B6" w:rsidRDefault="0098522E" w:rsidP="0060579B">
      <w:pPr>
        <w:pStyle w:val="NormalHanging12a"/>
      </w:pPr>
      <w:r>
        <w:t>13</w:t>
      </w:r>
      <w:r w:rsidR="0060579B" w:rsidRPr="002B77B6">
        <w:t>.</w:t>
      </w:r>
      <w:r w:rsidR="0060579B" w:rsidRPr="002B77B6">
        <w:tab/>
        <w:t>poziva Komisiju da postupi u skladu sa svojom obvezom da će predložiti inovativna rješenja za oporezivanje sektora koja će smanjiti fragmentaciju, poduprijeti daljnju integraciju na razini EU-a i doprinijeti dovršetku unije štednje i ulaganja;</w:t>
      </w:r>
    </w:p>
    <w:p w14:paraId="5E97455F" w14:textId="77777777" w:rsidR="0060579B" w:rsidRPr="002B77B6" w:rsidRDefault="0060579B" w:rsidP="0060579B">
      <w:pPr>
        <w:pStyle w:val="Normal12a"/>
      </w:pPr>
      <w:r w:rsidRPr="002B77B6">
        <w:rPr>
          <w:b/>
          <w:i/>
        </w:rPr>
        <w:t>Rješavanje pitanja sustava PDV-a za financijske usluge</w:t>
      </w:r>
    </w:p>
    <w:p w14:paraId="6C4D41B9" w14:textId="6449F969" w:rsidR="0060579B" w:rsidRPr="002B77B6" w:rsidRDefault="0098522E" w:rsidP="00BF6223">
      <w:pPr>
        <w:pStyle w:val="NormalHanging12a"/>
        <w:ind w:left="567" w:hanging="567"/>
      </w:pPr>
      <w:r>
        <w:t>14</w:t>
      </w:r>
      <w:r w:rsidR="0060579B" w:rsidRPr="002B77B6">
        <w:t>.</w:t>
      </w:r>
      <w:r w:rsidR="0060579B" w:rsidRPr="002B77B6">
        <w:tab/>
        <w:t xml:space="preserve">napominje da oslobođenje od plaćanja PDV-a za financijske usluge seže u 1977. i služilo je za izbjegavanje tehničkih poteškoća u primjeni PDV-a na složene financijske usluge, što se s administrativnog gledišta smatralo neizvedivim; priznaje da bi se </w:t>
      </w:r>
      <w:r w:rsidR="0060579B" w:rsidRPr="002B77B6">
        <w:lastRenderedPageBreak/>
        <w:t>prvotno tehničko opravdanje za oslobođenje od PDV-a sada moglo premostiti stvarnim stanjem tehnološkog napretka i digitalizacije;</w:t>
      </w:r>
    </w:p>
    <w:p w14:paraId="6ADF4BD8" w14:textId="04F222E4" w:rsidR="0060579B" w:rsidRPr="002B77B6" w:rsidRDefault="0098522E" w:rsidP="00BF6223">
      <w:pPr>
        <w:pStyle w:val="NormalHanging12a"/>
        <w:ind w:left="567" w:hanging="567"/>
      </w:pPr>
      <w:r>
        <w:t>15</w:t>
      </w:r>
      <w:r w:rsidR="0060579B" w:rsidRPr="002B77B6">
        <w:t>.</w:t>
      </w:r>
      <w:r w:rsidR="0060579B" w:rsidRPr="002B77B6">
        <w:tab/>
        <w:t xml:space="preserve">primjećuje da oslobođenje ne predstavlja nužno prednost za financijske institucije jer zbog njega ne mogu ostvariti povrat PDV-a; smatra da zbog statusa quo dolazi do </w:t>
      </w:r>
      <w:proofErr w:type="spellStart"/>
      <w:r w:rsidR="0060579B" w:rsidRPr="002B77B6">
        <w:t>perpetuacije</w:t>
      </w:r>
      <w:proofErr w:type="spellEnd"/>
      <w:r w:rsidR="0060579B" w:rsidRPr="002B77B6">
        <w:t xml:space="preserve"> poremećaja na tržištu, da može doći do manjka transparentnosti i povećanja troškova za potrošače, jačanja pristranosti prema samoopskrbi u financijskom sektoru i stvaranja nepovoljnog konkurentskog položaja u usporedbi s institucijama iz trećih zemalja;</w:t>
      </w:r>
    </w:p>
    <w:p w14:paraId="136D7E34" w14:textId="58312DF6" w:rsidR="0060579B" w:rsidRPr="002B77B6" w:rsidRDefault="0098522E" w:rsidP="00BF6223">
      <w:pPr>
        <w:pStyle w:val="NormalHanging12a"/>
        <w:ind w:left="567" w:hanging="567"/>
      </w:pPr>
      <w:r>
        <w:t>16</w:t>
      </w:r>
      <w:r w:rsidR="0060579B" w:rsidRPr="002B77B6">
        <w:t>.</w:t>
      </w:r>
      <w:r w:rsidR="0060579B" w:rsidRPr="002B77B6">
        <w:tab/>
        <w:t>naglašava da se oslobođenja od PDV-a često odobravaju za aktivnosti od općeg interesa kao priznanje za njihove temeljne društvene funkcije; naglašava da određene osnovne financijske usluge – posebno usluge platnog prometa, primanja depozita i osnovno kreditiranje – mogu imati usporedivu funkciju neformalne javne usluge tako što štite štednje, pospješuju gospodarsku razmjenu i omogućuju ljudima i poduzećima sigurno participiranje u gospodarstvu;</w:t>
      </w:r>
    </w:p>
    <w:p w14:paraId="6A8F578C" w14:textId="71BD2BDA" w:rsidR="0060579B" w:rsidRPr="002B77B6" w:rsidRDefault="0098522E" w:rsidP="00BF6223">
      <w:pPr>
        <w:pStyle w:val="NormalHanging12a"/>
        <w:ind w:left="567" w:hanging="567"/>
      </w:pPr>
      <w:r>
        <w:t>17</w:t>
      </w:r>
      <w:r w:rsidR="0060579B" w:rsidRPr="002B77B6">
        <w:t>.</w:t>
      </w:r>
      <w:r w:rsidR="0060579B" w:rsidRPr="002B77B6">
        <w:tab/>
        <w:t>žali zbog toga što opetovane inicijative Komisije, uključujući njezine prijedloge iz 2007. i početnu procjenu učinka iz 2020., nisu rezultirale reformom sustava oslobođenja od plaćanja PDV-a za financijski sektor jer države članice nisu uspjele postići jednoglasan dogovor; napominje da je Komisija posljednji put namjeravala objaviti izmjene Direktive o PDV-u</w:t>
      </w:r>
      <w:r w:rsidR="00BF6223">
        <w:rPr>
          <w:rStyle w:val="FootnoteReference"/>
        </w:rPr>
        <w:footnoteReference w:id="10"/>
      </w:r>
      <w:r w:rsidR="0060579B" w:rsidRPr="002B77B6">
        <w:t xml:space="preserve"> početkom 2023.; primjećuje da je taj plan zaustavljen, zbog čega ta ključna reforma još uvijek čeka;</w:t>
      </w:r>
    </w:p>
    <w:p w14:paraId="181E7AB7" w14:textId="01484335" w:rsidR="0060579B" w:rsidRPr="002B77B6" w:rsidRDefault="0098522E" w:rsidP="00BF6223">
      <w:pPr>
        <w:pStyle w:val="NormalHanging12a"/>
        <w:ind w:left="567" w:hanging="567"/>
      </w:pPr>
      <w:r>
        <w:t>18</w:t>
      </w:r>
      <w:r w:rsidR="0060579B" w:rsidRPr="002B77B6">
        <w:t>.</w:t>
      </w:r>
      <w:r w:rsidR="0060579B" w:rsidRPr="002B77B6">
        <w:tab/>
        <w:t>napominje da je na temelju članka 11. Direktive o PDV-u grupiranje za potrebe PDV-a i dalje neobvezno za države članice te da podliježe teritorijalnim ograničenjima, što stvara pravne i praktične prepreke za prekogranične grupe koje djeluju u području financijskih usluga;</w:t>
      </w:r>
    </w:p>
    <w:p w14:paraId="645684B0" w14:textId="4C470937" w:rsidR="0060579B" w:rsidRPr="002B77B6" w:rsidRDefault="0098522E" w:rsidP="00BF6223">
      <w:pPr>
        <w:pStyle w:val="NormalHanging12a"/>
        <w:ind w:left="567" w:hanging="567"/>
      </w:pPr>
      <w:r>
        <w:t>19</w:t>
      </w:r>
      <w:r w:rsidR="0060579B" w:rsidRPr="002B77B6">
        <w:t>.</w:t>
      </w:r>
      <w:r w:rsidR="0060579B" w:rsidRPr="002B77B6">
        <w:tab/>
        <w:t>naglašava da, unatoč primjeni grupiranja za potrebe PDV-a i mehanizama podjele troškova u nekim državama članicama, oslobođenje od plaćanja PDV-a, u kombinaciji s različitim kompenzacijskim nacionalnim poreznim pravilima, poput poreza na premiju osiguranja, stvara složeno i fragmentirano porezno okruženje, što prekogranično usklađivanje s poreznim pravilima čini skupim i povećava operativne troškove poduzeća; naglašava da su potrebne jasnije definicije PDV-a i pojednostavnjena pravila kako bi se ta opterećenja smanjila, kako bi se osigurala dosljedna primjena pravila u cijelom EU-u, kako bi se olakšale prekogranične aktivnosti i kako bi se poduprle inovacije;</w:t>
      </w:r>
    </w:p>
    <w:p w14:paraId="662D3558" w14:textId="5C396F54" w:rsidR="0060579B" w:rsidRPr="002B77B6" w:rsidRDefault="0098522E" w:rsidP="00BF6223">
      <w:pPr>
        <w:pStyle w:val="NormalHanging12a"/>
        <w:ind w:left="567" w:hanging="567"/>
      </w:pPr>
      <w:r>
        <w:t>20</w:t>
      </w:r>
      <w:r w:rsidR="0060579B" w:rsidRPr="002B77B6">
        <w:t>.</w:t>
      </w:r>
      <w:r w:rsidR="0060579B" w:rsidRPr="002B77B6">
        <w:tab/>
        <w:t>napominje da je primjena grupiranja za potrebe PDV-a, što može smanjiti administrativno opterećenje za financijske institucije i poboljšati njihovu učinkovitost, trenutačno neusklađena u različitim državama članicama te da je općenito ograničena na subjekte sa sjedištem u samo jednoj državi članici; ističe da bi veća konvergencija u primjeni grupiranja za potrebe PDV-a mogla smanjiti fragmentaciju i pravnu nesigurnost na unutarnjem tržištu te olakšati prekogranične aktivnosti u području financijskih usluga;</w:t>
      </w:r>
    </w:p>
    <w:p w14:paraId="6F644FE6" w14:textId="2270C17C" w:rsidR="0060579B" w:rsidRPr="002B77B6" w:rsidRDefault="0098522E" w:rsidP="00BF6223">
      <w:pPr>
        <w:pStyle w:val="NormalHanging12a"/>
        <w:ind w:left="567" w:hanging="567"/>
      </w:pPr>
      <w:r>
        <w:lastRenderedPageBreak/>
        <w:t>21</w:t>
      </w:r>
      <w:r w:rsidR="0060579B" w:rsidRPr="002B77B6">
        <w:t>.</w:t>
      </w:r>
      <w:r w:rsidR="0060579B" w:rsidRPr="002B77B6">
        <w:tab/>
        <w:t>poziva Komisiju da potakne države članice na dosljednu provedbu grupiranja za potrebe PDV-a i da istraži mogućnosti za jasniji pravni okvir, uključujući mogućnost prekograničnog grupiranja za potrebe PDV-a; naglašava da šira upotreba grupiranja za potrebe PDV-a za financijske usluge i usluge osiguranja mora biti u skladu s pravilima o porezu na dobit, posebno onima o transfernim cijenama, te mora biti popraćena obvezujućim zaštitnim mjerama protiv zlouporabe kako bi se spriječile prijevare i izbjegavanje plaćanja poreza, odljev PDV-a unutar grupe i zlouporaba u podjeli troškova;</w:t>
      </w:r>
    </w:p>
    <w:p w14:paraId="765A3013" w14:textId="5ABB6EF6" w:rsidR="0060579B" w:rsidRPr="002B77B6" w:rsidRDefault="0098522E" w:rsidP="00BF6223">
      <w:pPr>
        <w:pStyle w:val="NormalHanging12a"/>
        <w:ind w:left="567" w:hanging="567"/>
      </w:pPr>
      <w:r>
        <w:t>22</w:t>
      </w:r>
      <w:r w:rsidR="0060579B" w:rsidRPr="002B77B6">
        <w:t>.</w:t>
      </w:r>
      <w:r w:rsidR="0060579B" w:rsidRPr="002B77B6">
        <w:tab/>
        <w:t xml:space="preserve">napominje da u Direktivi o PDV-u nedostaju specifične odredbe za financijske instrumente koji su u nastajanju, uključujući </w:t>
      </w:r>
      <w:proofErr w:type="spellStart"/>
      <w:r w:rsidR="0060579B" w:rsidRPr="002B77B6">
        <w:t>kriptoimovinu</w:t>
      </w:r>
      <w:proofErr w:type="spellEnd"/>
      <w:r w:rsidR="0060579B" w:rsidRPr="002B77B6">
        <w:t>, decentralizirane financije i financijsku tehnologiju; naglašava da se povrh toga Direktiva ne bavi tretmanom u pogledu PDV-a za izvedenice te da se tretman investicijskih fondova i dalje razlikuje među državama članicama; napominje da je to dovelo do različitih nacionalnih tumačenja pravila o PDV-u, pravne nesigurnosti za pružatelje usluga, nejednakog postupanja prema tradicionalnim i novim financijskim uslugama te do rizika od kočenja inovacija i konkurentnosti;</w:t>
      </w:r>
    </w:p>
    <w:p w14:paraId="7CF33D1D" w14:textId="639CC70E" w:rsidR="0060579B" w:rsidRPr="002B77B6" w:rsidRDefault="0098522E" w:rsidP="00BF6223">
      <w:pPr>
        <w:pStyle w:val="NormalHanging12a"/>
        <w:ind w:left="567" w:hanging="567"/>
      </w:pPr>
      <w:r>
        <w:t>23</w:t>
      </w:r>
      <w:r w:rsidR="0060579B" w:rsidRPr="002B77B6">
        <w:t>.</w:t>
      </w:r>
      <w:r w:rsidR="0060579B" w:rsidRPr="002B77B6">
        <w:tab/>
        <w:t>ističe da bi moderan porezni okvir trebao poticati inovacije u području financijske tehnologije i digitalnih financija te da ne bi trebao dovesti do regulatornih mjera s destimulirajućim učinkom na nove sudionike na tržištu; poziva Komisiju da razjasni tretman u pogledu PDV-a za nove financijske usluge u svrhu tehnološke neutralnosti i jednakih uvjeta u cijelom EU-u;</w:t>
      </w:r>
    </w:p>
    <w:p w14:paraId="1A7C7740" w14:textId="108D4F50" w:rsidR="0060579B" w:rsidRPr="002B77B6" w:rsidRDefault="0098522E" w:rsidP="00BF6223">
      <w:pPr>
        <w:pStyle w:val="NormalHanging12a"/>
        <w:ind w:left="567" w:hanging="567"/>
      </w:pPr>
      <w:r>
        <w:t>24</w:t>
      </w:r>
      <w:r w:rsidR="0060579B" w:rsidRPr="002B77B6">
        <w:t>.</w:t>
      </w:r>
      <w:r w:rsidR="0060579B" w:rsidRPr="002B77B6">
        <w:tab/>
        <w:t xml:space="preserve">smatra da široko i nediferencirano oslobađanje od PDV-a za cijeli financijski sektor otvara pitanja u pogledu sveukupne dosljednosti i ravnoteže poreznog sustava; ističe da bi se reformom oslobađanja od PDV-a mogli smanjiti poremećaji i razina </w:t>
      </w:r>
      <w:proofErr w:type="spellStart"/>
      <w:r w:rsidR="0060579B" w:rsidRPr="002B77B6">
        <w:t>nepovrativog</w:t>
      </w:r>
      <w:proofErr w:type="spellEnd"/>
      <w:r w:rsidR="0060579B" w:rsidRPr="002B77B6">
        <w:t xml:space="preserve"> PDV-a bez stvaranja nerazmjerne administrativne složenosti; napominje da bi se opcijama za ukidanje oslobođenja od plaćanja PDV-a mogao djelotvorno otkloniti </w:t>
      </w:r>
      <w:proofErr w:type="spellStart"/>
      <w:r w:rsidR="0060579B" w:rsidRPr="002B77B6">
        <w:t>nepovrativi</w:t>
      </w:r>
      <w:proofErr w:type="spellEnd"/>
      <w:r w:rsidR="0060579B" w:rsidRPr="002B77B6">
        <w:t xml:space="preserve"> PDV tako što bi se financijskim korporacijama omogućilo da u potpunosti povrate PDV koji plaćaju na robu i usluge u svojem poslovanju; naglašava da bi se time uklonila trenutačna pristranost prema internalizaciji usluga, a ne njihovoj eksternalizaciji, što može ograničiti sposobnost poduzeća da se specijalizira, pristupi vanjskom stručnom znanju i inovira; uviđa da bi se tom reformom također mogli izjednačiti uvjeti u pogledu drugih jurisdikcija i ojačati međunarodna konkurentnost financijskih institucija EU-a;</w:t>
      </w:r>
    </w:p>
    <w:p w14:paraId="33F79383" w14:textId="182860C5" w:rsidR="0060579B" w:rsidRPr="002B77B6" w:rsidRDefault="0098522E" w:rsidP="00BF6223">
      <w:pPr>
        <w:pStyle w:val="NormalHanging12a"/>
        <w:ind w:left="567" w:hanging="567"/>
      </w:pPr>
      <w:r>
        <w:t>25</w:t>
      </w:r>
      <w:r w:rsidR="0060579B" w:rsidRPr="002B77B6">
        <w:t>.</w:t>
      </w:r>
      <w:r w:rsidR="0060579B" w:rsidRPr="002B77B6">
        <w:tab/>
        <w:t>podsjeća da je PDV usklađeni porezni okvir na razini EU-a, iako države članice zadržavaju određeni prostor za njegovu provedbu; stoga uviđa da bi se reforma sustava PDV-a za financijske usluge trebala rješavati na razini EU-a;</w:t>
      </w:r>
    </w:p>
    <w:p w14:paraId="3BE2EA72" w14:textId="657165CB" w:rsidR="0060579B" w:rsidRPr="002B77B6" w:rsidRDefault="0098522E" w:rsidP="0060579B">
      <w:pPr>
        <w:pStyle w:val="NormalHanging12a"/>
      </w:pPr>
      <w:r>
        <w:t>26</w:t>
      </w:r>
      <w:r w:rsidR="0060579B" w:rsidRPr="002B77B6">
        <w:t>.</w:t>
      </w:r>
      <w:r w:rsidR="0060579B" w:rsidRPr="002B77B6">
        <w:tab/>
        <w:t xml:space="preserve">poziva Komisiju da preispita učinke trenutačnog sustava PDV-a na financijski sektor i da javno podijeli tu analizu; poziva Komisiju da razmotri političke opcije za otklanjanje učinaka narušavanja; naglašava da bi se svakom takvom reformom trebao umanjiti </w:t>
      </w:r>
      <w:proofErr w:type="spellStart"/>
      <w:r w:rsidR="0060579B" w:rsidRPr="002B77B6">
        <w:t>nepovrativi</w:t>
      </w:r>
      <w:proofErr w:type="spellEnd"/>
      <w:r w:rsidR="0060579B" w:rsidRPr="002B77B6">
        <w:t xml:space="preserve"> PDV i fragmentirana primjena pravila, poboljšati pravna sigurnost i porezna pravednost te ojačati konkurentnost financijskih tržišta EU-a, uz istodobnu zaštitu financijske stabilnosti i smanjenje regulatorne arbitraže među državama članicama na najmanju moguću mjeru; naglašava da se svakom takvom reformom također moraju zaštititi potrošači te i dalje ostvarivati pravedan doprinos financijskog sektora javnim prihodima;</w:t>
      </w:r>
    </w:p>
    <w:p w14:paraId="0B48F9CC" w14:textId="4A5AF7B5" w:rsidR="0060579B" w:rsidRPr="002B77B6" w:rsidRDefault="0098522E" w:rsidP="0060579B">
      <w:pPr>
        <w:pStyle w:val="NormalHanging12a"/>
      </w:pPr>
      <w:r>
        <w:lastRenderedPageBreak/>
        <w:t>27</w:t>
      </w:r>
      <w:r w:rsidR="0060579B" w:rsidRPr="002B77B6">
        <w:t>.</w:t>
      </w:r>
      <w:r w:rsidR="0060579B" w:rsidRPr="002B77B6">
        <w:tab/>
        <w:t>napominje da bi se svaki prijedlog za reviziju okvira PDV-a trebao temeljiti na dubinskoj makroekonomskoj analizi i sveobuhvatnom mapiranju nacionalnih bankovnih poreza i pristojbi; naglašava da bi takva analiza trebala uzeti u obzir administrativne posljedice za financijske usluge, interakciju između postojećih nacionalnih bankovnih poreza, pristojbi u financijskom sektoru i sustava PDV-a te učinak na jedinstveno tržište;</w:t>
      </w:r>
    </w:p>
    <w:p w14:paraId="09A3CD8C" w14:textId="1EDDC83A" w:rsidR="0060579B" w:rsidRPr="002B77B6" w:rsidRDefault="0098522E" w:rsidP="0060579B">
      <w:pPr>
        <w:pStyle w:val="NormalHanging12a"/>
      </w:pPr>
      <w:r>
        <w:t>28</w:t>
      </w:r>
      <w:r w:rsidR="0060579B" w:rsidRPr="002B77B6">
        <w:t>.</w:t>
      </w:r>
      <w:r w:rsidR="0060579B" w:rsidRPr="002B77B6">
        <w:tab/>
        <w:t>naglašava da se svim promjenama u obračunu PDV-a za financijske usluge mora pažljivo procijeniti učinak na usluge koje se pružaju potrošačima u maloprodaji, posebno kućanstvima s niskim i srednjim dohotkom, te izbjeći bilo kakvi dodatni ukupni troškovi;</w:t>
      </w:r>
    </w:p>
    <w:p w14:paraId="6C111D71" w14:textId="3D571B02" w:rsidR="0060579B" w:rsidRPr="002B77B6" w:rsidRDefault="0098522E" w:rsidP="0060579B">
      <w:pPr>
        <w:pStyle w:val="NormalHanging12a"/>
      </w:pPr>
      <w:r>
        <w:t>29</w:t>
      </w:r>
      <w:r w:rsidR="0060579B" w:rsidRPr="002B77B6">
        <w:t>.</w:t>
      </w:r>
      <w:r w:rsidR="0060579B" w:rsidRPr="002B77B6">
        <w:tab/>
        <w:t xml:space="preserve">poziva Komisiju da u okviru moguće reforme oslobođenja od PDV-a procijeni izvedivost zamjene nacionalnih poreza na premiju osiguranja s potpunom integracijom </w:t>
      </w:r>
      <w:proofErr w:type="spellStart"/>
      <w:r w:rsidR="0060579B" w:rsidRPr="002B77B6">
        <w:t>osiguravateljskih</w:t>
      </w:r>
      <w:proofErr w:type="spellEnd"/>
      <w:r w:rsidR="0060579B" w:rsidRPr="002B77B6">
        <w:t xml:space="preserve"> usluga u sustav PDV-a;</w:t>
      </w:r>
    </w:p>
    <w:p w14:paraId="67A370FC" w14:textId="77777777" w:rsidR="0060579B" w:rsidRPr="002B77B6" w:rsidRDefault="0060579B" w:rsidP="0060579B">
      <w:pPr>
        <w:pStyle w:val="Normal12a"/>
      </w:pPr>
      <w:r w:rsidRPr="002B77B6">
        <w:rPr>
          <w:b/>
          <w:i/>
        </w:rPr>
        <w:t>Promicanje dosljednijeg poreznog okvira za financijski sektor</w:t>
      </w:r>
    </w:p>
    <w:p w14:paraId="043253FC" w14:textId="312F297D" w:rsidR="0060579B" w:rsidRPr="002B77B6" w:rsidRDefault="0098522E" w:rsidP="0060579B">
      <w:pPr>
        <w:pStyle w:val="NormalHanging12a"/>
      </w:pPr>
      <w:r>
        <w:t>30</w:t>
      </w:r>
      <w:r w:rsidR="0060579B" w:rsidRPr="002B77B6">
        <w:t>.</w:t>
      </w:r>
      <w:r w:rsidR="0060579B" w:rsidRPr="002B77B6">
        <w:tab/>
        <w:t>podsjeća da se EU suočava s velikim nedostatkom ulaganja u visini od 750 do 800 milijardi EUR godišnje u pogledu ostvarenja svojih klimatskih i digitalnih ciljeva i ciljeva strateške autonomije; podsjeća na obvezu u skladu s kojom države članice i EU moraju znatno povećati europska ulaganja u obranu; naglašava da bi, kako bi se odgovorilo na te izazove, pravedno i dosljednije oporezivanje financijskog sektora, moglo doprinijeti mobilizaciji privatnog kapitala, čime bi se potaknula mala ulaganja, i jačanju europskih tržišta kapitala, uz istodobno povećanje prihoda za javna ulaganja za strateške prioritete, te naše socijalne, klimatske i investicijske potrebe, čime bi se ojačala konkurentnost EU-a;</w:t>
      </w:r>
    </w:p>
    <w:p w14:paraId="19CC9542" w14:textId="79578124" w:rsidR="0060579B" w:rsidRPr="002B77B6" w:rsidRDefault="0098522E" w:rsidP="0060579B">
      <w:pPr>
        <w:pStyle w:val="NormalHanging12a"/>
      </w:pPr>
      <w:r>
        <w:t>31</w:t>
      </w:r>
      <w:r w:rsidR="0060579B" w:rsidRPr="002B77B6">
        <w:t>.</w:t>
      </w:r>
      <w:r w:rsidR="0060579B" w:rsidRPr="002B77B6">
        <w:tab/>
        <w:t>podsjeća u tom pogledu na sporazum iz 2020. između Parlamenta, Vijeća i Komisije o planu za uvođenje novih vlastitih sredstava, uključujući porez na financijske transakcije na temelju ishoda procjene učinaka;</w:t>
      </w:r>
    </w:p>
    <w:p w14:paraId="5886CCFB" w14:textId="2D022F06" w:rsidR="0060579B" w:rsidRPr="002B77B6" w:rsidRDefault="0098522E" w:rsidP="0060579B">
      <w:pPr>
        <w:pStyle w:val="NormalHanging12a"/>
      </w:pPr>
      <w:r>
        <w:t>32</w:t>
      </w:r>
      <w:r w:rsidR="0060579B" w:rsidRPr="002B77B6">
        <w:t>.</w:t>
      </w:r>
      <w:r w:rsidR="0060579B" w:rsidRPr="002B77B6">
        <w:tab/>
        <w:t>prima na znanje nedostatak napretka postignutog u Vijeću u pogledu prijedloga o porezu na financijske transakcije unatoč opsežnoj raspravi, i u okviru jednoglasnosti i u okviru pojačane suradnje, te prima na znanje najavu Komisije o povlačenju prijedloga o porezu na financijske transakcije u njezinu programu rada za 2026.;</w:t>
      </w:r>
    </w:p>
    <w:p w14:paraId="4672A861" w14:textId="47D2D737" w:rsidR="0060579B" w:rsidRPr="002B77B6" w:rsidRDefault="0098522E" w:rsidP="0060579B">
      <w:pPr>
        <w:pStyle w:val="NormalHanging12a"/>
      </w:pPr>
      <w:r>
        <w:t>33</w:t>
      </w:r>
      <w:r w:rsidR="0060579B" w:rsidRPr="002B77B6">
        <w:t>.</w:t>
      </w:r>
      <w:r w:rsidR="0060579B" w:rsidRPr="002B77B6">
        <w:tab/>
        <w:t>smatra da su redovite procjene gospodarskih učinaka i kontinuirana relevantnost porezne politike u financijskom sektoru ključne kako bi se izbjegli neželjeni ili trajni poremećaji na financijskim tržištima; pozdravlja činjenicu da Komisija provodi sveobuhvatnu analizu mogućeg učinka ukupnog oporezivanja financijskog sektora na funkcioniranje tržišta, prekogranična ulaganja i konkurentnost financijskih tržišta EU-a;</w:t>
      </w:r>
    </w:p>
    <w:p w14:paraId="37B259FF" w14:textId="7E97313E" w:rsidR="0060579B" w:rsidRPr="002B77B6" w:rsidRDefault="0098522E" w:rsidP="0060579B">
      <w:pPr>
        <w:pStyle w:val="NormalHanging12a"/>
      </w:pPr>
      <w:r>
        <w:t>34</w:t>
      </w:r>
      <w:r w:rsidR="0060579B" w:rsidRPr="002B77B6">
        <w:t>.</w:t>
      </w:r>
      <w:r w:rsidR="0060579B" w:rsidRPr="002B77B6">
        <w:tab/>
        <w:t>naglašava da bi porezna pravila za financijski sektor trebalo pojednostavniti i osigurati da taj sektor daje pravedan i stabilan financijski doprinos te da bi ona trebala biti jasna, transparentna i predvidljiva kako bi se smanjila fragmentacija, omogućila ulaganja i prekogranične aktivnosti uz istodobno jamčenje visoke razine zaštite potrošača; naglašava da bi se tim pravilima trebala poboljšati učinkovitost i raspodjela kapitala, očuvati stabilnost tržišta i konkurentnost te ublažiti troškovi usklađivanja, posebno za potrošače u maloprodaji  te mala i srednja poduzeća;</w:t>
      </w:r>
    </w:p>
    <w:p w14:paraId="037CA8BE" w14:textId="60623A58" w:rsidR="00BF6223" w:rsidRDefault="00BF6223" w:rsidP="00BF6223">
      <w:pPr>
        <w:pStyle w:val="NormalCenter12a"/>
      </w:pPr>
      <w:r>
        <w:lastRenderedPageBreak/>
        <w:t>°</w:t>
      </w:r>
    </w:p>
    <w:p w14:paraId="48A688D8" w14:textId="37DCB1EB" w:rsidR="00BF6223" w:rsidRDefault="00BF6223" w:rsidP="00BF6223">
      <w:pPr>
        <w:pStyle w:val="NormalCenter12a"/>
      </w:pPr>
      <w:r>
        <w:t>°     °</w:t>
      </w:r>
    </w:p>
    <w:p w14:paraId="11D584C3" w14:textId="094916AE" w:rsidR="002B77B6" w:rsidRPr="002B77B6" w:rsidRDefault="0098522E" w:rsidP="002B77B6">
      <w:pPr>
        <w:pStyle w:val="NormalHanging12a"/>
      </w:pPr>
      <w:r>
        <w:t>35</w:t>
      </w:r>
      <w:r w:rsidR="0060579B" w:rsidRPr="002B77B6">
        <w:t>.</w:t>
      </w:r>
      <w:r w:rsidR="0060579B" w:rsidRPr="002B77B6">
        <w:tab/>
        <w:t>nalaže svojoj predsjednici da ovu Rezoluciju proslijedi Vijeću i Komisiji.</w:t>
      </w:r>
    </w:p>
    <w:p w14:paraId="75856F15" w14:textId="7C11BF39" w:rsidR="00E365E1" w:rsidRPr="002B77B6" w:rsidRDefault="00E365E1" w:rsidP="0004274F"/>
    <w:sectPr w:rsidR="00E365E1" w:rsidRPr="002B77B6" w:rsidSect="002B77B6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34A6E" w14:textId="77777777" w:rsidR="0004274F" w:rsidRPr="002B77B6" w:rsidRDefault="0004274F">
      <w:r w:rsidRPr="002B77B6">
        <w:separator/>
      </w:r>
    </w:p>
  </w:endnote>
  <w:endnote w:type="continuationSeparator" w:id="0">
    <w:p w14:paraId="1867B1C0" w14:textId="77777777" w:rsidR="0004274F" w:rsidRPr="002B77B6" w:rsidRDefault="0004274F">
      <w:r w:rsidRPr="002B77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F056A" w14:textId="77777777" w:rsidR="0004274F" w:rsidRPr="002B77B6" w:rsidRDefault="0004274F">
      <w:r w:rsidRPr="002B77B6">
        <w:separator/>
      </w:r>
    </w:p>
  </w:footnote>
  <w:footnote w:type="continuationSeparator" w:id="0">
    <w:p w14:paraId="1BEE09FD" w14:textId="77777777" w:rsidR="0004274F" w:rsidRPr="002B77B6" w:rsidRDefault="0004274F">
      <w:r w:rsidRPr="002B77B6">
        <w:continuationSeparator/>
      </w:r>
    </w:p>
  </w:footnote>
  <w:footnote w:id="1">
    <w:p w14:paraId="6860B369" w14:textId="157ECDDC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 xml:space="preserve">SL L 150, 9.6.2023., str. 40., ELI: </w:t>
      </w:r>
      <w:hyperlink r:id="rId1" w:tgtFrame="http://data.europa.eu/eli/reg/2023/1114/oj" w:history="1">
        <w:r w:rsidRPr="002B77B6">
          <w:rPr>
            <w:rStyle w:val="Hyperlink"/>
            <w:sz w:val="24"/>
            <w:lang w:val="hr-HR"/>
          </w:rPr>
          <w:t>http://data.europa.eu/eli/reg/2023/1114/oj</w:t>
        </w:r>
      </w:hyperlink>
      <w:r w:rsidRPr="002B77B6">
        <w:rPr>
          <w:sz w:val="24"/>
          <w:lang w:val="hr-HR"/>
        </w:rPr>
        <w:t>.</w:t>
      </w:r>
    </w:p>
  </w:footnote>
  <w:footnote w:id="2">
    <w:p w14:paraId="0D6D8E21" w14:textId="7F6B6760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 xml:space="preserve">SL L 424, 15.12.2020., str. 1., ELI: </w:t>
      </w:r>
      <w:r>
        <w:fldChar w:fldCharType="begin"/>
      </w:r>
      <w:r w:rsidRPr="0098522E">
        <w:rPr>
          <w:lang w:val="fi-FI"/>
        </w:rPr>
        <w:instrText>HYPERLINK "http://data.europa.eu/eli/dec/2020/2053/oj" \t "http://data.europa.eu/eli/dec/2020/2053/oj"</w:instrText>
      </w:r>
      <w:r>
        <w:fldChar w:fldCharType="separate"/>
      </w:r>
      <w:r w:rsidRPr="002B77B6">
        <w:rPr>
          <w:rStyle w:val="Hyperlink"/>
          <w:sz w:val="24"/>
          <w:lang w:val="hr-HR"/>
        </w:rPr>
        <w:t>http://data.europa.eu/e</w:t>
      </w:r>
      <w:r w:rsidRPr="002B77B6">
        <w:rPr>
          <w:rStyle w:val="Hyperlink"/>
          <w:sz w:val="24"/>
          <w:lang w:val="hr-HR"/>
        </w:rPr>
        <w:t>l</w:t>
      </w:r>
      <w:r w:rsidRPr="002B77B6">
        <w:rPr>
          <w:rStyle w:val="Hyperlink"/>
          <w:sz w:val="24"/>
          <w:lang w:val="hr-HR"/>
        </w:rPr>
        <w:t>i/dec/2020/2053/oj</w:t>
      </w:r>
      <w:r>
        <w:fldChar w:fldCharType="end"/>
      </w:r>
      <w:r w:rsidRPr="002B77B6">
        <w:rPr>
          <w:sz w:val="24"/>
          <w:lang w:val="hr-HR"/>
        </w:rPr>
        <w:t>.</w:t>
      </w:r>
    </w:p>
  </w:footnote>
  <w:footnote w:id="3">
    <w:p w14:paraId="6AAC642D" w14:textId="174E2550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>Studija „</w:t>
      </w:r>
      <w:proofErr w:type="spellStart"/>
      <w:r w:rsidRPr="002B77B6">
        <w:rPr>
          <w:sz w:val="24"/>
          <w:lang w:val="hr-HR"/>
        </w:rPr>
        <w:t>The</w:t>
      </w:r>
      <w:proofErr w:type="spellEnd"/>
      <w:r w:rsidRPr="002B77B6">
        <w:rPr>
          <w:sz w:val="24"/>
          <w:lang w:val="hr-HR"/>
        </w:rPr>
        <w:t xml:space="preserve"> </w:t>
      </w:r>
      <w:proofErr w:type="spellStart"/>
      <w:r w:rsidRPr="002B77B6">
        <w:rPr>
          <w:sz w:val="24"/>
          <w:lang w:val="hr-HR"/>
        </w:rPr>
        <w:t>taxation</w:t>
      </w:r>
      <w:proofErr w:type="spellEnd"/>
      <w:r w:rsidRPr="002B77B6">
        <w:rPr>
          <w:sz w:val="24"/>
          <w:lang w:val="hr-HR"/>
        </w:rPr>
        <w:t xml:space="preserve"> </w:t>
      </w:r>
      <w:proofErr w:type="spellStart"/>
      <w:r w:rsidRPr="002B77B6">
        <w:rPr>
          <w:sz w:val="24"/>
          <w:lang w:val="hr-HR"/>
        </w:rPr>
        <w:t>of</w:t>
      </w:r>
      <w:proofErr w:type="spellEnd"/>
      <w:r w:rsidRPr="002B77B6">
        <w:rPr>
          <w:sz w:val="24"/>
          <w:lang w:val="hr-HR"/>
        </w:rPr>
        <w:t xml:space="preserve"> </w:t>
      </w:r>
      <w:proofErr w:type="spellStart"/>
      <w:r w:rsidRPr="002B77B6">
        <w:rPr>
          <w:sz w:val="24"/>
          <w:lang w:val="hr-HR"/>
        </w:rPr>
        <w:t>the</w:t>
      </w:r>
      <w:proofErr w:type="spellEnd"/>
      <w:r w:rsidRPr="002B77B6">
        <w:rPr>
          <w:sz w:val="24"/>
          <w:lang w:val="hr-HR"/>
        </w:rPr>
        <w:t xml:space="preserve"> </w:t>
      </w:r>
      <w:proofErr w:type="spellStart"/>
      <w:r w:rsidRPr="002B77B6">
        <w:rPr>
          <w:sz w:val="24"/>
          <w:lang w:val="hr-HR"/>
        </w:rPr>
        <w:t>EU’s</w:t>
      </w:r>
      <w:proofErr w:type="spellEnd"/>
      <w:r w:rsidRPr="002B77B6">
        <w:rPr>
          <w:sz w:val="24"/>
          <w:lang w:val="hr-HR"/>
        </w:rPr>
        <w:t xml:space="preserve"> </w:t>
      </w:r>
      <w:proofErr w:type="spellStart"/>
      <w:r w:rsidRPr="002B77B6">
        <w:rPr>
          <w:sz w:val="24"/>
          <w:lang w:val="hr-HR"/>
        </w:rPr>
        <w:t>financial</w:t>
      </w:r>
      <w:proofErr w:type="spellEnd"/>
      <w:r w:rsidRPr="002B77B6">
        <w:rPr>
          <w:sz w:val="24"/>
          <w:lang w:val="hr-HR"/>
        </w:rPr>
        <w:t xml:space="preserve"> </w:t>
      </w:r>
      <w:proofErr w:type="spellStart"/>
      <w:r w:rsidRPr="002B77B6">
        <w:rPr>
          <w:sz w:val="24"/>
          <w:lang w:val="hr-HR"/>
        </w:rPr>
        <w:t>sector</w:t>
      </w:r>
      <w:proofErr w:type="spellEnd"/>
      <w:r w:rsidRPr="002B77B6">
        <w:rPr>
          <w:sz w:val="24"/>
          <w:lang w:val="hr-HR"/>
        </w:rPr>
        <w:t>” (Oporezivanje financijskog sektora EU-a), Europski parlament, Glavna uprava za gospodarstvo, transformaciju i industriju, Resorni odjel za gospodarstvo i rast, lipanj 2025.</w:t>
      </w:r>
    </w:p>
  </w:footnote>
  <w:footnote w:id="4">
    <w:p w14:paraId="40AF8ADB" w14:textId="5368190B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 xml:space="preserve">SL L 433 I, 22.12.2020., str. 28. ELI: </w:t>
      </w:r>
      <w:r>
        <w:fldChar w:fldCharType="begin"/>
      </w:r>
      <w:r w:rsidRPr="0098522E">
        <w:rPr>
          <w:lang w:val="sv-SE"/>
        </w:rPr>
        <w:instrText>HYPERLINK "http://data.europa.eu/eli/agree_interinstit/2020/1222/oj" \t "http://data.europa.eu/eli/agree_interinstit/2020/1222/oj"</w:instrText>
      </w:r>
      <w:r>
        <w:fldChar w:fldCharType="separate"/>
      </w:r>
      <w:r w:rsidRPr="002B77B6">
        <w:rPr>
          <w:rStyle w:val="Hyperlink"/>
          <w:sz w:val="24"/>
          <w:lang w:val="hr-HR"/>
        </w:rPr>
        <w:t>http://data.europa.eu/eli/agree_interinstit/2</w:t>
      </w:r>
      <w:r w:rsidRPr="002B77B6">
        <w:rPr>
          <w:rStyle w:val="Hyperlink"/>
          <w:sz w:val="24"/>
          <w:lang w:val="hr-HR"/>
        </w:rPr>
        <w:t>0</w:t>
      </w:r>
      <w:r w:rsidRPr="002B77B6">
        <w:rPr>
          <w:rStyle w:val="Hyperlink"/>
          <w:sz w:val="24"/>
          <w:lang w:val="hr-HR"/>
        </w:rPr>
        <w:t>20/1222/oj</w:t>
      </w:r>
      <w:r>
        <w:fldChar w:fldCharType="end"/>
      </w:r>
      <w:r w:rsidRPr="002B77B6">
        <w:rPr>
          <w:sz w:val="24"/>
          <w:lang w:val="hr-HR"/>
        </w:rPr>
        <w:t>.</w:t>
      </w:r>
    </w:p>
  </w:footnote>
  <w:footnote w:id="5">
    <w:p w14:paraId="58F64E1F" w14:textId="47CF1A9C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 xml:space="preserve">SL C, C/2023/1067, 15.12.2023., ELI: </w:t>
      </w:r>
      <w:r>
        <w:fldChar w:fldCharType="begin"/>
      </w:r>
      <w:r w:rsidRPr="0098522E">
        <w:rPr>
          <w:lang w:val="sv-SE"/>
        </w:rPr>
        <w:instrText>HYPERLINK "http://data.europa.eu/eli/C/2023/1067/oj"</w:instrText>
      </w:r>
      <w:r>
        <w:fldChar w:fldCharType="separate"/>
      </w:r>
      <w:r w:rsidRPr="00BF6223">
        <w:rPr>
          <w:rStyle w:val="Hyperlink"/>
          <w:sz w:val="24"/>
          <w:lang w:val="hr-HR"/>
        </w:rPr>
        <w:t>http://data.eur</w:t>
      </w:r>
      <w:r w:rsidRPr="00BF6223">
        <w:rPr>
          <w:rStyle w:val="Hyperlink"/>
          <w:sz w:val="24"/>
          <w:lang w:val="hr-HR"/>
        </w:rPr>
        <w:t>o</w:t>
      </w:r>
      <w:r w:rsidRPr="00BF6223">
        <w:rPr>
          <w:rStyle w:val="Hyperlink"/>
          <w:sz w:val="24"/>
          <w:lang w:val="hr-HR"/>
        </w:rPr>
        <w:t>pa.eu/eli/C/2023/1067/oj</w:t>
      </w:r>
      <w:r>
        <w:fldChar w:fldCharType="end"/>
      </w:r>
      <w:r w:rsidRPr="002B77B6">
        <w:rPr>
          <w:sz w:val="24"/>
          <w:lang w:val="hr-HR"/>
        </w:rPr>
        <w:t>.</w:t>
      </w:r>
    </w:p>
  </w:footnote>
  <w:footnote w:id="6">
    <w:p w14:paraId="1B7C5B7F" w14:textId="18091B59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 xml:space="preserve">SL L, 2025/2029, 8.10.2025., ELI: </w:t>
      </w:r>
      <w:r>
        <w:fldChar w:fldCharType="begin"/>
      </w:r>
      <w:r w:rsidRPr="0098522E">
        <w:rPr>
          <w:lang w:val="fi-FI"/>
        </w:rPr>
        <w:instrText>HYPERLINK "http://data.europa.eu/eli/reco/2025/2029/oj" \t "http://data.europa.eu/eli/reco/2025/2029/oj"</w:instrText>
      </w:r>
      <w:r>
        <w:fldChar w:fldCharType="separate"/>
      </w:r>
      <w:r w:rsidRPr="002B77B6">
        <w:rPr>
          <w:rStyle w:val="Hyperlink"/>
          <w:sz w:val="24"/>
          <w:lang w:val="hr-HR"/>
        </w:rPr>
        <w:t>http://data.europa.eu</w:t>
      </w:r>
      <w:r w:rsidRPr="002B77B6">
        <w:rPr>
          <w:rStyle w:val="Hyperlink"/>
          <w:sz w:val="24"/>
          <w:lang w:val="hr-HR"/>
        </w:rPr>
        <w:t>/</w:t>
      </w:r>
      <w:r w:rsidRPr="002B77B6">
        <w:rPr>
          <w:rStyle w:val="Hyperlink"/>
          <w:sz w:val="24"/>
          <w:lang w:val="hr-HR"/>
        </w:rPr>
        <w:t>eli/reco/2025/2029/oj</w:t>
      </w:r>
      <w:r>
        <w:fldChar w:fldCharType="end"/>
      </w:r>
      <w:r w:rsidRPr="002B77B6">
        <w:rPr>
          <w:sz w:val="24"/>
          <w:lang w:val="hr-HR"/>
        </w:rPr>
        <w:t>.</w:t>
      </w:r>
    </w:p>
  </w:footnote>
  <w:footnote w:id="7">
    <w:p w14:paraId="5502EA00" w14:textId="4E7EF88A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 xml:space="preserve">SL L, 2025/50, 10.1.2025., ELI: </w:t>
      </w:r>
      <w:r>
        <w:fldChar w:fldCharType="begin"/>
      </w:r>
      <w:r w:rsidRPr="0098522E">
        <w:rPr>
          <w:lang w:val="fi-FI"/>
        </w:rPr>
        <w:instrText>HYPERLINK "http://data.europa.eu/eli/dir/2025/50/oj" \t "http://data.europa.eu/eli/dir/2025/50/oj"</w:instrText>
      </w:r>
      <w:r>
        <w:fldChar w:fldCharType="separate"/>
      </w:r>
      <w:r w:rsidRPr="002B77B6">
        <w:rPr>
          <w:rStyle w:val="Hyperlink"/>
          <w:sz w:val="24"/>
          <w:lang w:val="hr-HR"/>
        </w:rPr>
        <w:t>http://data.europa.eu/eli/dir/2</w:t>
      </w:r>
      <w:r w:rsidRPr="002B77B6">
        <w:rPr>
          <w:rStyle w:val="Hyperlink"/>
          <w:sz w:val="24"/>
          <w:lang w:val="hr-HR"/>
        </w:rPr>
        <w:t>0</w:t>
      </w:r>
      <w:r w:rsidRPr="002B77B6">
        <w:rPr>
          <w:rStyle w:val="Hyperlink"/>
          <w:sz w:val="24"/>
          <w:lang w:val="hr-HR"/>
        </w:rPr>
        <w:t>25/50/oj</w:t>
      </w:r>
      <w:r>
        <w:fldChar w:fldCharType="end"/>
      </w:r>
      <w:r w:rsidRPr="002B77B6">
        <w:rPr>
          <w:sz w:val="24"/>
          <w:lang w:val="hr-HR"/>
        </w:rPr>
        <w:t>.</w:t>
      </w:r>
    </w:p>
  </w:footnote>
  <w:footnote w:id="8">
    <w:p w14:paraId="4040C769" w14:textId="5F8A1E38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 xml:space="preserve">Zakonodavna rezolucija Europskog parlamenta od 10. travnja 2024. o Prijedlogu direktive Vijeća o uspostavi sustava oporezivanja sjedišta za </w:t>
      </w:r>
      <w:proofErr w:type="spellStart"/>
      <w:r w:rsidRPr="002B77B6">
        <w:rPr>
          <w:sz w:val="24"/>
          <w:lang w:val="hr-HR"/>
        </w:rPr>
        <w:t>mikropoduzeća</w:t>
      </w:r>
      <w:proofErr w:type="spellEnd"/>
      <w:r w:rsidRPr="002B77B6">
        <w:rPr>
          <w:sz w:val="24"/>
          <w:lang w:val="hr-HR"/>
        </w:rPr>
        <w:t xml:space="preserve"> te mala i srednja poduzeća te o izmjeni Direktive 2011/16/EU (SL C, C/2025/1326, 13.3.2025., ELI: </w:t>
      </w:r>
      <w:r>
        <w:fldChar w:fldCharType="begin"/>
      </w:r>
      <w:r w:rsidRPr="0098522E">
        <w:rPr>
          <w:lang w:val="hr-HR"/>
        </w:rPr>
        <w:instrText>HYPERLINK "http://data.europa.eu/eli/C/2025/1326/oj" \t "http://data.europa.eu/eli/C/2025/1326/oj"</w:instrText>
      </w:r>
      <w:r>
        <w:fldChar w:fldCharType="separate"/>
      </w:r>
      <w:r w:rsidRPr="002B77B6">
        <w:rPr>
          <w:rStyle w:val="Hyperlink"/>
          <w:sz w:val="24"/>
          <w:lang w:val="hr-HR"/>
        </w:rPr>
        <w:t>http://data.europa.eu/eli/C/20</w:t>
      </w:r>
      <w:r w:rsidRPr="002B77B6">
        <w:rPr>
          <w:rStyle w:val="Hyperlink"/>
          <w:sz w:val="24"/>
          <w:lang w:val="hr-HR"/>
        </w:rPr>
        <w:t>2</w:t>
      </w:r>
      <w:r w:rsidRPr="002B77B6">
        <w:rPr>
          <w:rStyle w:val="Hyperlink"/>
          <w:sz w:val="24"/>
          <w:lang w:val="hr-HR"/>
        </w:rPr>
        <w:t>5/1326/oj</w:t>
      </w:r>
      <w:r>
        <w:fldChar w:fldCharType="end"/>
      </w:r>
      <w:r w:rsidRPr="002B77B6">
        <w:rPr>
          <w:sz w:val="24"/>
          <w:lang w:val="hr-HR"/>
        </w:rPr>
        <w:t>).</w:t>
      </w:r>
    </w:p>
  </w:footnote>
  <w:footnote w:id="9">
    <w:p w14:paraId="1613E4A7" w14:textId="1586D72A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>Europska komisija, Europsko makroekonomsko izvješće za 2026., studeni 2025.</w:t>
      </w:r>
    </w:p>
  </w:footnote>
  <w:footnote w:id="10">
    <w:p w14:paraId="40BE0491" w14:textId="59BFED04" w:rsidR="00BF6223" w:rsidRPr="002B77B6" w:rsidRDefault="00BF6223" w:rsidP="002B77B6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2B77B6">
        <w:rPr>
          <w:sz w:val="24"/>
          <w:lang w:val="hr-HR"/>
        </w:rPr>
        <w:t xml:space="preserve"> </w:t>
      </w:r>
      <w:r w:rsidRPr="002B77B6">
        <w:rPr>
          <w:sz w:val="24"/>
          <w:lang w:val="hr-HR"/>
        </w:rPr>
        <w:tab/>
        <w:t xml:space="preserve">Direktiva Vijeća 2006/112/EZ od 28. studenoga 2006. o zajedničkom sustavu poreza na dodanu vrijednost (SL L 347, 11.12.2006., str. 1., ELI: </w:t>
      </w:r>
      <w:r>
        <w:fldChar w:fldCharType="begin"/>
      </w:r>
      <w:r w:rsidRPr="0098522E">
        <w:rPr>
          <w:lang w:val="hr-HR"/>
        </w:rPr>
        <w:instrText>HYPERLINK "http://data.europa.eu/eli/dir/2006/112/oj" \t "http://data.europa.eu/eli/dir/2006/112/oj"</w:instrText>
      </w:r>
      <w:r>
        <w:fldChar w:fldCharType="separate"/>
      </w:r>
      <w:r w:rsidRPr="002B77B6">
        <w:rPr>
          <w:rStyle w:val="Hyperlink"/>
          <w:sz w:val="24"/>
          <w:lang w:val="hr-HR"/>
        </w:rPr>
        <w:t>http://data.europa.eu/eli/dir/2006/11</w:t>
      </w:r>
      <w:r w:rsidRPr="002B77B6">
        <w:rPr>
          <w:rStyle w:val="Hyperlink"/>
          <w:sz w:val="24"/>
          <w:lang w:val="hr-HR"/>
        </w:rPr>
        <w:t>2</w:t>
      </w:r>
      <w:r w:rsidRPr="002B77B6">
        <w:rPr>
          <w:rStyle w:val="Hyperlink"/>
          <w:sz w:val="24"/>
          <w:lang w:val="hr-HR"/>
        </w:rPr>
        <w:t>/oj</w:t>
      </w:r>
      <w:r>
        <w:fldChar w:fldCharType="end"/>
      </w:r>
      <w:r w:rsidRPr="002B77B6">
        <w:rPr>
          <w:sz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993550">
    <w:abstractNumId w:val="9"/>
  </w:num>
  <w:num w:numId="2" w16cid:durableId="216401842">
    <w:abstractNumId w:val="9"/>
  </w:num>
  <w:num w:numId="3" w16cid:durableId="1953589432">
    <w:abstractNumId w:val="7"/>
  </w:num>
  <w:num w:numId="4" w16cid:durableId="1335297909">
    <w:abstractNumId w:val="7"/>
  </w:num>
  <w:num w:numId="5" w16cid:durableId="521095057">
    <w:abstractNumId w:val="6"/>
  </w:num>
  <w:num w:numId="6" w16cid:durableId="587690975">
    <w:abstractNumId w:val="6"/>
  </w:num>
  <w:num w:numId="7" w16cid:durableId="2041197158">
    <w:abstractNumId w:val="5"/>
  </w:num>
  <w:num w:numId="8" w16cid:durableId="5601793">
    <w:abstractNumId w:val="5"/>
  </w:num>
  <w:num w:numId="9" w16cid:durableId="1059553211">
    <w:abstractNumId w:val="4"/>
  </w:num>
  <w:num w:numId="10" w16cid:durableId="1034188739">
    <w:abstractNumId w:val="4"/>
  </w:num>
  <w:num w:numId="11" w16cid:durableId="1918518593">
    <w:abstractNumId w:val="8"/>
  </w:num>
  <w:num w:numId="12" w16cid:durableId="1569000533">
    <w:abstractNumId w:val="8"/>
  </w:num>
  <w:num w:numId="13" w16cid:durableId="1886989536">
    <w:abstractNumId w:val="3"/>
  </w:num>
  <w:num w:numId="14" w16cid:durableId="700789575">
    <w:abstractNumId w:val="3"/>
  </w:num>
  <w:num w:numId="15" w16cid:durableId="192888598">
    <w:abstractNumId w:val="2"/>
  </w:num>
  <w:num w:numId="16" w16cid:durableId="1204832100">
    <w:abstractNumId w:val="2"/>
  </w:num>
  <w:num w:numId="17" w16cid:durableId="1561751516">
    <w:abstractNumId w:val="1"/>
  </w:num>
  <w:num w:numId="18" w16cid:durableId="808324274">
    <w:abstractNumId w:val="1"/>
  </w:num>
  <w:num w:numId="19" w16cid:durableId="1666128795">
    <w:abstractNumId w:val="0"/>
  </w:num>
  <w:num w:numId="20" w16cid:durableId="1232622196">
    <w:abstractNumId w:val="0"/>
  </w:num>
  <w:num w:numId="21" w16cid:durableId="1737388614">
    <w:abstractNumId w:val="9"/>
  </w:num>
  <w:num w:numId="22" w16cid:durableId="706878767">
    <w:abstractNumId w:val="7"/>
  </w:num>
  <w:num w:numId="23" w16cid:durableId="1978412807">
    <w:abstractNumId w:val="6"/>
  </w:num>
  <w:num w:numId="24" w16cid:durableId="1154835664">
    <w:abstractNumId w:val="5"/>
  </w:num>
  <w:num w:numId="25" w16cid:durableId="2106726706">
    <w:abstractNumId w:val="4"/>
  </w:num>
  <w:num w:numId="26" w16cid:durableId="1208223147">
    <w:abstractNumId w:val="8"/>
  </w:num>
  <w:num w:numId="27" w16cid:durableId="1403213020">
    <w:abstractNumId w:val="3"/>
  </w:num>
  <w:num w:numId="28" w16cid:durableId="1059329979">
    <w:abstractNumId w:val="2"/>
  </w:num>
  <w:num w:numId="29" w16cid:durableId="1535002527">
    <w:abstractNumId w:val="1"/>
  </w:num>
  <w:num w:numId="30" w16cid:durableId="1211502913">
    <w:abstractNumId w:val="0"/>
  </w:num>
  <w:num w:numId="31" w16cid:durableId="1692099161">
    <w:abstractNumId w:val="9"/>
  </w:num>
  <w:num w:numId="32" w16cid:durableId="317416307">
    <w:abstractNumId w:val="7"/>
  </w:num>
  <w:num w:numId="33" w16cid:durableId="195700518">
    <w:abstractNumId w:val="6"/>
  </w:num>
  <w:num w:numId="34" w16cid:durableId="190193728">
    <w:abstractNumId w:val="5"/>
  </w:num>
  <w:num w:numId="35" w16cid:durableId="1277564880">
    <w:abstractNumId w:val="4"/>
  </w:num>
  <w:num w:numId="36" w16cid:durableId="804588151">
    <w:abstractNumId w:val="8"/>
  </w:num>
  <w:num w:numId="37" w16cid:durableId="1587575351">
    <w:abstractNumId w:val="3"/>
  </w:num>
  <w:num w:numId="38" w16cid:durableId="411926171">
    <w:abstractNumId w:val="2"/>
  </w:num>
  <w:num w:numId="39" w16cid:durableId="1053312318">
    <w:abstractNumId w:val="1"/>
  </w:num>
  <w:num w:numId="40" w16cid:durableId="1190332653">
    <w:abstractNumId w:val="0"/>
  </w:num>
  <w:num w:numId="41" w16cid:durableId="427585422">
    <w:abstractNumId w:val="10"/>
  </w:num>
  <w:num w:numId="42" w16cid:durableId="1685520796">
    <w:abstractNumId w:val="10"/>
  </w:num>
  <w:num w:numId="43" w16cid:durableId="1155418405">
    <w:abstractNumId w:val="10"/>
  </w:num>
  <w:num w:numId="44" w16cid:durableId="14244499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6"/>
    <w:docVar w:name="dvlangue" w:val="HR"/>
    <w:docVar w:name="dvnumam" w:val="0"/>
    <w:docVar w:name="dvpe" w:val="779.360"/>
    <w:docVar w:name="dvrapporteur" w:val="Izvjestitelj: "/>
    <w:docVar w:name="dvtitre" w:val="Rezolucija Europskog parlamenta od .... 2026. o dosljednom poreznom okviru za financijski sektor EU-a(2024/2117(INI))"/>
  </w:docVars>
  <w:rsids>
    <w:rsidRoot w:val="0004274F"/>
    <w:rsid w:val="00002272"/>
    <w:rsid w:val="0004274F"/>
    <w:rsid w:val="00064002"/>
    <w:rsid w:val="000677B9"/>
    <w:rsid w:val="000831BA"/>
    <w:rsid w:val="000A42CC"/>
    <w:rsid w:val="000E7DD9"/>
    <w:rsid w:val="000F7D07"/>
    <w:rsid w:val="0010095E"/>
    <w:rsid w:val="00125B37"/>
    <w:rsid w:val="00187494"/>
    <w:rsid w:val="001F32AE"/>
    <w:rsid w:val="002767FF"/>
    <w:rsid w:val="002B18FE"/>
    <w:rsid w:val="002B5493"/>
    <w:rsid w:val="002B77B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579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D13"/>
    <w:rsid w:val="00981893"/>
    <w:rsid w:val="0098522E"/>
    <w:rsid w:val="00A1687D"/>
    <w:rsid w:val="00A3262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22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663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18F3A"/>
  <w15:chartTrackingRefBased/>
  <w15:docId w15:val="{F76A1434-E736-483F-8FE4-E8944BB3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0579B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0579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0579B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0579B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0579B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0579B"/>
    <w:rPr>
      <w:color w:val="0000FF"/>
      <w:u w:val="single"/>
    </w:rPr>
  </w:style>
  <w:style w:type="character" w:styleId="FollowedHyperlink">
    <w:name w:val="FollowedHyperlink"/>
    <w:basedOn w:val="DefaultParagraphFont"/>
    <w:rsid w:val="00BF622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2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62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11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3550</Words>
  <Characters>22507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2026-07-07T12:42:00Z</dcterms:created>
  <dcterms:modified xsi:type="dcterms:W3CDTF">2026-07-07T12:42:00Z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A10-0169/2026</vt:lpwstr>
  </property>
  <property fmtid="{D5CDD505-2E9C-101B-9397-08002B2CF9AE}" pid="4" name="&lt;Type&gt;">
    <vt:lpwstr>RR</vt:lpwstr>
  </property>
</Properties>
</file>