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53AE7" w14:paraId="0CC5B1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5134A5" w14:textId="77777777" w:rsidR="00751A4A" w:rsidRPr="00753AE7" w:rsidRDefault="007C49E7" w:rsidP="0010095E">
            <w:pPr>
              <w:pStyle w:val="EPName"/>
            </w:pPr>
            <w:r w:rsidRPr="00753AE7">
              <w:t>Parlament Ewropew</w:t>
            </w:r>
          </w:p>
          <w:p w14:paraId="705D5A55" w14:textId="77777777" w:rsidR="00751A4A" w:rsidRPr="00753A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53AE7">
              <w:t>2024</w:t>
            </w:r>
            <w:r w:rsidR="00817416" w:rsidRPr="00753AE7">
              <w:t>-202</w:t>
            </w:r>
            <w:r w:rsidRPr="00753AE7">
              <w:t>9</w:t>
            </w:r>
          </w:p>
        </w:tc>
        <w:tc>
          <w:tcPr>
            <w:tcW w:w="2268" w:type="dxa"/>
            <w:shd w:val="clear" w:color="auto" w:fill="auto"/>
          </w:tcPr>
          <w:p w14:paraId="485F5827" w14:textId="77777777" w:rsidR="00751A4A" w:rsidRPr="00753AE7" w:rsidRDefault="00187494" w:rsidP="0010095E">
            <w:pPr>
              <w:pStyle w:val="EPLogo"/>
            </w:pPr>
            <w:r w:rsidRPr="00753AE7">
              <w:rPr>
                <w:noProof/>
                <w:lang w:eastAsia="ja-JP"/>
              </w:rPr>
              <w:drawing>
                <wp:inline distT="0" distB="0" distL="0" distR="0" wp14:anchorId="6AE44831" wp14:editId="52B26D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4892B1" w14:textId="77777777" w:rsidR="00D058B8" w:rsidRPr="00753AE7" w:rsidRDefault="00D058B8" w:rsidP="004C5D52">
      <w:pPr>
        <w:pStyle w:val="LineTop"/>
      </w:pPr>
    </w:p>
    <w:p w14:paraId="56305ADA" w14:textId="77777777" w:rsidR="00680577" w:rsidRPr="00753AE7" w:rsidRDefault="007C49E7" w:rsidP="00680577">
      <w:pPr>
        <w:pStyle w:val="EPBodyTA1"/>
      </w:pPr>
      <w:r w:rsidRPr="00753AE7">
        <w:t>TESTI ADOTTATI</w:t>
      </w:r>
    </w:p>
    <w:p w14:paraId="181A5323" w14:textId="77777777" w:rsidR="00D058B8" w:rsidRPr="00753AE7" w:rsidRDefault="00D058B8" w:rsidP="00D058B8">
      <w:pPr>
        <w:pStyle w:val="LineBottom"/>
      </w:pPr>
    </w:p>
    <w:p w14:paraId="44F41572" w14:textId="3F043DC4" w:rsidR="007C49E7" w:rsidRPr="00753AE7" w:rsidRDefault="007C49E7" w:rsidP="007C49E7">
      <w:pPr>
        <w:pStyle w:val="ATHeading1"/>
      </w:pPr>
      <w:bookmarkStart w:id="0" w:name="TANumber"/>
      <w:r w:rsidRPr="00753AE7">
        <w:t>P10_TA(2026)0</w:t>
      </w:r>
      <w:r w:rsidR="009F4712">
        <w:t>248</w:t>
      </w:r>
      <w:bookmarkEnd w:id="0"/>
    </w:p>
    <w:p w14:paraId="62E784F0" w14:textId="77777777" w:rsidR="007C49E7" w:rsidRPr="00753AE7" w:rsidRDefault="007C49E7" w:rsidP="007C49E7">
      <w:pPr>
        <w:pStyle w:val="ATHeading2"/>
      </w:pPr>
      <w:bookmarkStart w:id="1" w:name="title"/>
      <w:r w:rsidRPr="00753AE7">
        <w:t>Qafas tat-taxxa koerenti għas-settur finanzjarju tal-UE</w:t>
      </w:r>
      <w:bookmarkEnd w:id="1"/>
    </w:p>
    <w:p w14:paraId="66E3D2D0" w14:textId="77777777" w:rsidR="007C49E7" w:rsidRPr="00753AE7" w:rsidRDefault="007C49E7" w:rsidP="007C49E7">
      <w:pPr>
        <w:rPr>
          <w:i/>
          <w:vanish/>
        </w:rPr>
      </w:pPr>
      <w:r w:rsidRPr="00753AE7">
        <w:rPr>
          <w:i/>
        </w:rPr>
        <w:fldChar w:fldCharType="begin"/>
      </w:r>
      <w:r w:rsidRPr="00753AE7">
        <w:rPr>
          <w:i/>
        </w:rPr>
        <w:instrText xml:space="preserve"> TC"(</w:instrText>
      </w:r>
      <w:bookmarkStart w:id="2" w:name="DocNumber"/>
      <w:r w:rsidRPr="00753AE7">
        <w:rPr>
          <w:i/>
        </w:rPr>
        <w:instrText>A10-0169/2026</w:instrText>
      </w:r>
      <w:bookmarkEnd w:id="2"/>
      <w:r w:rsidRPr="00753AE7">
        <w:rPr>
          <w:i/>
        </w:rPr>
        <w:instrText xml:space="preserve"> - Rapporteur: </w:instrText>
      </w:r>
      <w:proofErr w:type="spellStart"/>
      <w:r w:rsidRPr="00753AE7">
        <w:rPr>
          <w:i/>
        </w:rPr>
        <w:instrText>Matthias</w:instrText>
      </w:r>
      <w:proofErr w:type="spellEnd"/>
      <w:r w:rsidRPr="00753AE7">
        <w:rPr>
          <w:i/>
        </w:rPr>
        <w:instrText xml:space="preserve"> </w:instrText>
      </w:r>
      <w:proofErr w:type="spellStart"/>
      <w:r w:rsidRPr="00753AE7">
        <w:rPr>
          <w:i/>
        </w:rPr>
        <w:instrText>Ecke</w:instrText>
      </w:r>
      <w:proofErr w:type="spellEnd"/>
      <w:r w:rsidRPr="00753AE7">
        <w:rPr>
          <w:i/>
        </w:rPr>
        <w:instrText xml:space="preserve">)"\l3 \n&gt; \* MERGEFORMAT </w:instrText>
      </w:r>
      <w:r w:rsidRPr="00753AE7">
        <w:rPr>
          <w:i/>
        </w:rPr>
        <w:fldChar w:fldCharType="end"/>
      </w:r>
    </w:p>
    <w:p w14:paraId="4D1B576B" w14:textId="77777777" w:rsidR="007C49E7" w:rsidRPr="00753AE7" w:rsidRDefault="007C49E7" w:rsidP="007C49E7">
      <w:pPr>
        <w:rPr>
          <w:vanish/>
        </w:rPr>
      </w:pPr>
      <w:bookmarkStart w:id="3" w:name="Commission"/>
      <w:r w:rsidRPr="00753AE7">
        <w:rPr>
          <w:vanish/>
        </w:rPr>
        <w:t>Kumitat għall-Affarijiet Ekonomiċi u Monetarji</w:t>
      </w:r>
      <w:bookmarkEnd w:id="3"/>
    </w:p>
    <w:p w14:paraId="2CF58641" w14:textId="77777777" w:rsidR="007C49E7" w:rsidRPr="00753AE7" w:rsidRDefault="007C49E7" w:rsidP="007C49E7">
      <w:pPr>
        <w:rPr>
          <w:vanish/>
        </w:rPr>
      </w:pPr>
      <w:bookmarkStart w:id="4" w:name="PE"/>
      <w:r w:rsidRPr="00753AE7">
        <w:rPr>
          <w:vanish/>
        </w:rPr>
        <w:t>PE779.360</w:t>
      </w:r>
      <w:bookmarkEnd w:id="4"/>
    </w:p>
    <w:p w14:paraId="622C320B" w14:textId="5932CA3E" w:rsidR="007C49E7" w:rsidRPr="00753AE7" w:rsidRDefault="007C49E7" w:rsidP="007C49E7">
      <w:pPr>
        <w:pStyle w:val="ATHeading3"/>
      </w:pPr>
      <w:bookmarkStart w:id="5" w:name="Sujet"/>
      <w:r w:rsidRPr="00753AE7">
        <w:t xml:space="preserve">Riżoluzzjoni tal-Parlament Ewropew </w:t>
      </w:r>
      <w:r w:rsidR="001D6B46">
        <w:t>tas-7 ta’ Lulju</w:t>
      </w:r>
      <w:r w:rsidRPr="00753AE7">
        <w:t xml:space="preserve"> 2026 dwar qafas tat-taxxa koerenti għas-settur finanzjarju tal-UE</w:t>
      </w:r>
      <w:bookmarkEnd w:id="5"/>
      <w:r w:rsidRPr="00753AE7">
        <w:t xml:space="preserve"> </w:t>
      </w:r>
      <w:bookmarkStart w:id="6" w:name="References"/>
      <w:r w:rsidRPr="00753AE7">
        <w:t>(2024/2117(INI))</w:t>
      </w:r>
      <w:bookmarkEnd w:id="6"/>
    </w:p>
    <w:p w14:paraId="18E23429" w14:textId="77777777" w:rsidR="00FE544F" w:rsidRPr="00753AE7" w:rsidRDefault="00FE544F" w:rsidP="00FE544F">
      <w:pPr>
        <w:pStyle w:val="Normal12"/>
      </w:pPr>
      <w:r w:rsidRPr="00753AE7">
        <w:rPr>
          <w:i/>
        </w:rPr>
        <w:t>Il-Parlament Ewropew</w:t>
      </w:r>
      <w:r w:rsidRPr="00753AE7">
        <w:t>,</w:t>
      </w:r>
    </w:p>
    <w:p w14:paraId="38F7D792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t-Trattat dwar il-Funzjonament tal-Unjoni Ewropea, u b’mod partikolari l-Artikoli 113, 114 u 115 tiegħu,</w:t>
      </w:r>
    </w:p>
    <w:p w14:paraId="1715CB3E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l-proposta tal-Kummissjoni tat-28 ta’ Settembru 2011 għal direttiva tal-Kunsill dwar sistema komuni ta’ taxxa fuq it-tranżazzjonijiet finanzjarji u li temenda d-Direttiva 2008/7/KE (COM(2011)0594),</w:t>
      </w:r>
    </w:p>
    <w:p w14:paraId="3A22BCC6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l-proposta tal-Kummissjoni tal-14 ta’ Frar 2013 għal direttiva tal-Kunsill li timplimenta kooperazzjoni msaħħa fil-qasam tat-taxxa fuq it-tranżazzjonijiet finanzjarji (COM(2013)0071) (proposta TTF),</w:t>
      </w:r>
    </w:p>
    <w:p w14:paraId="61B0DB0F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l-proposta tal-Kummissjoni tat-28 ta’ Novembru 2007 għal regolament tal-Kunsill li jistabbilixxi miżuri ta’ implimentazzjoni għad-Direttiva 2006/112/KE dwar is-sistema komuni ta’ taxxa fuq il-valur miżjud, fir-rigward tat-trattament tas-servizzi finanzjarji u tal-assigurazzjoni (COM(2007)0746),</w:t>
      </w:r>
    </w:p>
    <w:p w14:paraId="58D0B433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l-proposta tal-Kummissjoni tat-28 ta’ Novembru 2007 għal direttiva tal-Kunsill li temenda d-Direttiva 2006/112/KE dwar is-sistema komuni ta’ taxxa fuq il-valur miżjud, fir-rigward tat-trattament tas-servizzi finanzjarji u tal-assigurazzjoni (COM(2007)0747),</w:t>
      </w:r>
    </w:p>
    <w:p w14:paraId="599DFBFE" w14:textId="353BE2D6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r-Regolament (UE) 2023/1114 tal-Parlament Ewropew u tal-Kunsill tal-31 ta’ Mejju 2023 dwar is-swieq tal-kriptoassi, u li jemenda r-Regolamenti (UE) Nru 1093/2010 u (UE) Nru 1095/2010 u d-Direttivi 2013/36/UE u (UE) 2019/1937</w:t>
      </w:r>
      <w:r w:rsidR="001D6B46">
        <w:rPr>
          <w:rStyle w:val="FootnoteReference"/>
        </w:rPr>
        <w:footnoteReference w:id="1"/>
      </w:r>
      <w:r w:rsidRPr="00753AE7">
        <w:t>,</w:t>
      </w:r>
    </w:p>
    <w:p w14:paraId="1CD91598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l-valutazzjoni tal-impatt tal-bidu tal-Kummissjoni tat-22 ta’ Ottubru 2020 dwar rieżami tar-regoli tal-VAT għas-servizzi finanzjarji u tal-assigurazzjoni,</w:t>
      </w:r>
    </w:p>
    <w:p w14:paraId="4F1E2549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l-proposta tal-Kummissjoni tat-12 ta’ Settembru 2023 dwar l-</w:t>
      </w:r>
      <w:r w:rsidRPr="00753AE7">
        <w:lastRenderedPageBreak/>
        <w:t>istabbiliment ta’ sistema ta’ Taxxa tal-Uffiċċju Reġistrat għall-intrapriżi mikro, żgħar u ta’ daqs medju, u l-emendar tad-Direttiva 2011/16/UE,</w:t>
      </w:r>
    </w:p>
    <w:p w14:paraId="52893CC8" w14:textId="67D04E88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d-Deċiżjoni tal-Kunsill (UE, Euratom) 2020/2053 tal-14 ta’ Diċembru 2020 dwar is-sistema tar-riżorsi proprji tal-Unjoni Ewropea u li tħassar id-Deċiżjoni 2014/335/UE, Euratom</w:t>
      </w:r>
      <w:r w:rsidR="001D6B46">
        <w:rPr>
          <w:rStyle w:val="FootnoteReference"/>
        </w:rPr>
        <w:footnoteReference w:id="2"/>
      </w:r>
      <w:r w:rsidRPr="00753AE7">
        <w:t>,</w:t>
      </w:r>
    </w:p>
    <w:p w14:paraId="75EDA7A2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l-Komunikazzjoni tal-Kummissjoni tat-22 ta’ Diċembru 2021 bit-titolu “Il-ġenerazzjoni li jmiss tar-riżorsi proprji tal-Baġit tal-UE” (COM(2021)0566),</w:t>
      </w:r>
    </w:p>
    <w:p w14:paraId="3944F008" w14:textId="39019AAE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l-istudju mitlub mis-Sottokumitat għall-Kwistjonijiet Fiskali tal-Parlament bit-titolu “</w:t>
      </w:r>
      <w:proofErr w:type="spellStart"/>
      <w:r w:rsidRPr="00753AE7">
        <w:t>The</w:t>
      </w:r>
      <w:proofErr w:type="spellEnd"/>
      <w:r w:rsidRPr="00753AE7">
        <w:t xml:space="preserve"> </w:t>
      </w:r>
      <w:proofErr w:type="spellStart"/>
      <w:r w:rsidRPr="00753AE7">
        <w:t>taxation</w:t>
      </w:r>
      <w:proofErr w:type="spellEnd"/>
      <w:r w:rsidRPr="00753AE7">
        <w:t xml:space="preserve"> of </w:t>
      </w:r>
      <w:proofErr w:type="spellStart"/>
      <w:r w:rsidRPr="00753AE7">
        <w:t>the</w:t>
      </w:r>
      <w:proofErr w:type="spellEnd"/>
      <w:r w:rsidRPr="00753AE7">
        <w:t xml:space="preserve"> EU’ s </w:t>
      </w:r>
      <w:proofErr w:type="spellStart"/>
      <w:r w:rsidRPr="00753AE7">
        <w:t>financial</w:t>
      </w:r>
      <w:proofErr w:type="spellEnd"/>
      <w:r w:rsidRPr="00753AE7">
        <w:t xml:space="preserve"> </w:t>
      </w:r>
      <w:proofErr w:type="spellStart"/>
      <w:r w:rsidRPr="00753AE7">
        <w:t>sector</w:t>
      </w:r>
      <w:proofErr w:type="spellEnd"/>
      <w:r w:rsidRPr="00753AE7">
        <w:t>” (It-tassazzjoni tas-settur finanzjarju tal-UE), ippubblikat mid-Direttorat Ġenerali għall-Ekonomija, it-Trasformazzjoni u l-Industrija tiegħu f’Ġunju 2025</w:t>
      </w:r>
      <w:r w:rsidR="001D6B46">
        <w:rPr>
          <w:rStyle w:val="FootnoteReference"/>
        </w:rPr>
        <w:footnoteReference w:id="3"/>
      </w:r>
      <w:r w:rsidRPr="00753AE7">
        <w:t>,</w:t>
      </w:r>
    </w:p>
    <w:p w14:paraId="24B93840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l-ġurisprudenza tal-Qorti tal-Ġustizzja tal-Unjoni Ewropea dwar l-eżenzjoni mill-VAT għas-servizzi finanzjarji u tal-assigurazzjoni,</w:t>
      </w:r>
    </w:p>
    <w:p w14:paraId="70AFC4D1" w14:textId="3F13B76E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l-Ftehim Interistituzzjonali tas-16 ta’ Diċembru 2020 bejn il-Parlament Ewropew, il-Kunsill tal-Unjoni Ewropea u l-Kummissjoni Ewropea dwar dixxiplina baġitarja, dwar kooperazzjoni f’materji baġitarji u dwar ġestjoni finanzjarja tajba, kif ukoll dwar riżorsi proprji ġodda, inkluż pjan direzzjonali lejn l-introduzzjoni ta’ riżorsi proprji ġodda</w:t>
      </w:r>
      <w:r w:rsidR="001D6B46">
        <w:rPr>
          <w:rStyle w:val="FootnoteReference"/>
        </w:rPr>
        <w:footnoteReference w:id="4"/>
      </w:r>
      <w:r w:rsidRPr="00753AE7">
        <w:t>,</w:t>
      </w:r>
    </w:p>
    <w:p w14:paraId="221E7067" w14:textId="4C2BC9DE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r-riżoluzzjoni tiegħu tal-10 ta’ Mejju 2023 dwar ir-riżorsi proprji: bidu ġdid għall-finanzi tal-UE, bidu ġdid għall-Ewropa</w:t>
      </w:r>
      <w:r w:rsidR="001D6B46">
        <w:rPr>
          <w:rStyle w:val="FootnoteReference"/>
        </w:rPr>
        <w:footnoteReference w:id="5"/>
      </w:r>
      <w:r w:rsidRPr="00753AE7">
        <w:t>,</w:t>
      </w:r>
    </w:p>
    <w:p w14:paraId="04CAD73E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 xml:space="preserve">wara li kkunsidra r-rapport ta’ Enrico </w:t>
      </w:r>
      <w:proofErr w:type="spellStart"/>
      <w:r w:rsidRPr="00753AE7">
        <w:t>Letta</w:t>
      </w:r>
      <w:proofErr w:type="spellEnd"/>
      <w:r w:rsidRPr="00753AE7">
        <w:t xml:space="preserve"> ta’ April 2024 bit-titolu “</w:t>
      </w:r>
      <w:proofErr w:type="spellStart"/>
      <w:r w:rsidRPr="00753AE7">
        <w:t>Much</w:t>
      </w:r>
      <w:proofErr w:type="spellEnd"/>
      <w:r w:rsidRPr="00753AE7">
        <w:t xml:space="preserve"> </w:t>
      </w:r>
      <w:proofErr w:type="spellStart"/>
      <w:r w:rsidRPr="00753AE7">
        <w:t>more</w:t>
      </w:r>
      <w:proofErr w:type="spellEnd"/>
      <w:r w:rsidRPr="00753AE7">
        <w:t xml:space="preserve"> </w:t>
      </w:r>
      <w:proofErr w:type="spellStart"/>
      <w:r w:rsidRPr="00753AE7">
        <w:t>than</w:t>
      </w:r>
      <w:proofErr w:type="spellEnd"/>
      <w:r w:rsidRPr="00753AE7">
        <w:t xml:space="preserve"> a </w:t>
      </w:r>
      <w:proofErr w:type="spellStart"/>
      <w:r w:rsidRPr="00753AE7">
        <w:t>market</w:t>
      </w:r>
      <w:proofErr w:type="spellEnd"/>
      <w:r w:rsidRPr="00753AE7">
        <w:t xml:space="preserve"> – </w:t>
      </w:r>
      <w:proofErr w:type="spellStart"/>
      <w:r w:rsidRPr="00753AE7">
        <w:t>Speed</w:t>
      </w:r>
      <w:proofErr w:type="spellEnd"/>
      <w:r w:rsidRPr="00753AE7">
        <w:t xml:space="preserve">, </w:t>
      </w:r>
      <w:proofErr w:type="spellStart"/>
      <w:r w:rsidRPr="00753AE7">
        <w:t>Security</w:t>
      </w:r>
      <w:proofErr w:type="spellEnd"/>
      <w:r w:rsidRPr="00753AE7">
        <w:t xml:space="preserve">, </w:t>
      </w:r>
      <w:proofErr w:type="spellStart"/>
      <w:r w:rsidRPr="00753AE7">
        <w:t>Solidarity</w:t>
      </w:r>
      <w:proofErr w:type="spellEnd"/>
      <w:r w:rsidRPr="00753AE7">
        <w:t xml:space="preserve">: </w:t>
      </w:r>
      <w:proofErr w:type="spellStart"/>
      <w:r w:rsidRPr="00753AE7">
        <w:t>Empowering</w:t>
      </w:r>
      <w:proofErr w:type="spellEnd"/>
      <w:r w:rsidRPr="00753AE7">
        <w:t xml:space="preserve"> </w:t>
      </w:r>
      <w:proofErr w:type="spellStart"/>
      <w:r w:rsidRPr="00753AE7">
        <w:t>the</w:t>
      </w:r>
      <w:proofErr w:type="spellEnd"/>
      <w:r w:rsidRPr="00753AE7">
        <w:t xml:space="preserve"> </w:t>
      </w:r>
      <w:proofErr w:type="spellStart"/>
      <w:r w:rsidRPr="00753AE7">
        <w:t>single</w:t>
      </w:r>
      <w:proofErr w:type="spellEnd"/>
      <w:r w:rsidRPr="00753AE7">
        <w:t xml:space="preserve"> </w:t>
      </w:r>
      <w:proofErr w:type="spellStart"/>
      <w:r w:rsidRPr="00753AE7">
        <w:t>market</w:t>
      </w:r>
      <w:proofErr w:type="spellEnd"/>
      <w:r w:rsidRPr="00753AE7">
        <w:t xml:space="preserve"> </w:t>
      </w:r>
      <w:proofErr w:type="spellStart"/>
      <w:r w:rsidRPr="00753AE7">
        <w:t>to</w:t>
      </w:r>
      <w:proofErr w:type="spellEnd"/>
      <w:r w:rsidRPr="00753AE7">
        <w:t xml:space="preserve"> </w:t>
      </w:r>
      <w:proofErr w:type="spellStart"/>
      <w:r w:rsidRPr="00753AE7">
        <w:t>deliver</w:t>
      </w:r>
      <w:proofErr w:type="spellEnd"/>
      <w:r w:rsidRPr="00753AE7">
        <w:t xml:space="preserve"> a </w:t>
      </w:r>
      <w:proofErr w:type="spellStart"/>
      <w:r w:rsidRPr="00753AE7">
        <w:t>sustainable</w:t>
      </w:r>
      <w:proofErr w:type="spellEnd"/>
      <w:r w:rsidRPr="00753AE7">
        <w:t xml:space="preserve"> </w:t>
      </w:r>
      <w:proofErr w:type="spellStart"/>
      <w:r w:rsidRPr="00753AE7">
        <w:t>future</w:t>
      </w:r>
      <w:proofErr w:type="spellEnd"/>
      <w:r w:rsidRPr="00753AE7">
        <w:t xml:space="preserve"> </w:t>
      </w:r>
      <w:proofErr w:type="spellStart"/>
      <w:r w:rsidRPr="00753AE7">
        <w:t>and</w:t>
      </w:r>
      <w:proofErr w:type="spellEnd"/>
      <w:r w:rsidRPr="00753AE7">
        <w:t xml:space="preserve"> </w:t>
      </w:r>
      <w:proofErr w:type="spellStart"/>
      <w:r w:rsidRPr="00753AE7">
        <w:t>prosperity</w:t>
      </w:r>
      <w:proofErr w:type="spellEnd"/>
      <w:r w:rsidRPr="00753AE7">
        <w:t xml:space="preserve"> </w:t>
      </w:r>
      <w:proofErr w:type="spellStart"/>
      <w:r w:rsidRPr="00753AE7">
        <w:t>for</w:t>
      </w:r>
      <w:proofErr w:type="spellEnd"/>
      <w:r w:rsidRPr="00753AE7">
        <w:t xml:space="preserve"> </w:t>
      </w:r>
      <w:proofErr w:type="spellStart"/>
      <w:r w:rsidRPr="00753AE7">
        <w:t>all</w:t>
      </w:r>
      <w:proofErr w:type="spellEnd"/>
      <w:r w:rsidRPr="00753AE7">
        <w:t xml:space="preserve"> EU </w:t>
      </w:r>
      <w:proofErr w:type="spellStart"/>
      <w:r w:rsidRPr="00753AE7">
        <w:t>citizens</w:t>
      </w:r>
      <w:proofErr w:type="spellEnd"/>
      <w:r w:rsidRPr="00753AE7">
        <w:t xml:space="preserve">” (Ħafna aktar minn suq – Veloċità, Sigurtà, Solidarjetà: Nagħtu s-setgħa lis-suq uniku biex iwassal futur sostenibbli u prosperità għaċ-ċittadini kollha tal-UE” (ir-rapport </w:t>
      </w:r>
      <w:proofErr w:type="spellStart"/>
      <w:r w:rsidRPr="00753AE7">
        <w:t>Letta</w:t>
      </w:r>
      <w:proofErr w:type="spellEnd"/>
      <w:r w:rsidRPr="00753AE7">
        <w:t>),</w:t>
      </w:r>
    </w:p>
    <w:p w14:paraId="74B0255C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r-rapport ta’ Mario Draghi tad-9 ta’ Settembru 2024 bit-titolu “</w:t>
      </w:r>
      <w:proofErr w:type="spellStart"/>
      <w:r w:rsidRPr="00753AE7">
        <w:t>The</w:t>
      </w:r>
      <w:proofErr w:type="spellEnd"/>
      <w:r w:rsidRPr="00753AE7">
        <w:t xml:space="preserve"> </w:t>
      </w:r>
      <w:proofErr w:type="spellStart"/>
      <w:r w:rsidRPr="00753AE7">
        <w:t>future</w:t>
      </w:r>
      <w:proofErr w:type="spellEnd"/>
      <w:r w:rsidRPr="00753AE7">
        <w:t xml:space="preserve"> of </w:t>
      </w:r>
      <w:proofErr w:type="spellStart"/>
      <w:r w:rsidRPr="00753AE7">
        <w:t>European</w:t>
      </w:r>
      <w:proofErr w:type="spellEnd"/>
      <w:r w:rsidRPr="00753AE7">
        <w:t xml:space="preserve"> </w:t>
      </w:r>
      <w:proofErr w:type="spellStart"/>
      <w:r w:rsidRPr="00753AE7">
        <w:t>competitiveness</w:t>
      </w:r>
      <w:proofErr w:type="spellEnd"/>
      <w:r w:rsidRPr="00753AE7">
        <w:t>” (Il-futur tal-kompetittività Ewropea) (ir-rapport Draghi),</w:t>
      </w:r>
    </w:p>
    <w:p w14:paraId="24963156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l-komunikazzjoni tal-Kummissjoni bit-titolu “Unjoni tat-Tfaddil u tal-Investimenti: Strateġija biex Jissaħħu l-Ġid taċ-Ċittadini u l-Kompetittività Ekonomika fl-UE”</w:t>
      </w:r>
      <w:r w:rsidRPr="00753AE7">
        <w:rPr>
          <w:b/>
        </w:rPr>
        <w:t xml:space="preserve"> </w:t>
      </w:r>
      <w:r w:rsidRPr="00753AE7">
        <w:t>(COM(2025)0124),</w:t>
      </w:r>
    </w:p>
    <w:p w14:paraId="30EF6DE9" w14:textId="100635BF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 xml:space="preserve">wara li kkunsidra r-Rakkomandazzjoni tal-Kummissjoni (UE) 2025/2029 tat-30 ta’ Settembru 2025 dwar ż-Żieda </w:t>
      </w:r>
      <w:proofErr w:type="spellStart"/>
      <w:r w:rsidRPr="00753AE7">
        <w:t>fid</w:t>
      </w:r>
      <w:proofErr w:type="spellEnd"/>
      <w:r w:rsidRPr="00753AE7">
        <w:t xml:space="preserve">-Disponibbiltà tal-Kontijiet ta’ Tfaddil u ta’ </w:t>
      </w:r>
      <w:r w:rsidRPr="00753AE7">
        <w:lastRenderedPageBreak/>
        <w:t>Investiment bi Trattament tat-Taxxa Simplifikat u Vantaġġuż</w:t>
      </w:r>
      <w:r w:rsidR="001D6B46">
        <w:rPr>
          <w:rStyle w:val="FootnoteReference"/>
        </w:rPr>
        <w:footnoteReference w:id="6"/>
      </w:r>
      <w:r w:rsidRPr="00753AE7">
        <w:t>,</w:t>
      </w:r>
    </w:p>
    <w:p w14:paraId="6C5849ED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 xml:space="preserve">wara li kkunsidra d-dokument ta’ ħidma tal-Bank Dinji ta’ Mejju 2025 bit-titolu “VAT </w:t>
      </w:r>
      <w:proofErr w:type="spellStart"/>
      <w:r w:rsidRPr="00753AE7">
        <w:t>Exemptions</w:t>
      </w:r>
      <w:proofErr w:type="spellEnd"/>
      <w:r w:rsidRPr="00753AE7">
        <w:t xml:space="preserve">, </w:t>
      </w:r>
      <w:proofErr w:type="spellStart"/>
      <w:r w:rsidRPr="00753AE7">
        <w:t>Embedded</w:t>
      </w:r>
      <w:proofErr w:type="spellEnd"/>
      <w:r w:rsidRPr="00753AE7">
        <w:t xml:space="preserve"> Tax, </w:t>
      </w:r>
      <w:proofErr w:type="spellStart"/>
      <w:r w:rsidRPr="00753AE7">
        <w:t>and</w:t>
      </w:r>
      <w:proofErr w:type="spellEnd"/>
      <w:r w:rsidRPr="00753AE7">
        <w:t xml:space="preserve"> </w:t>
      </w:r>
      <w:proofErr w:type="spellStart"/>
      <w:r w:rsidRPr="00753AE7">
        <w:t>Unintended</w:t>
      </w:r>
      <w:proofErr w:type="spellEnd"/>
      <w:r w:rsidRPr="00753AE7">
        <w:t xml:space="preserve"> </w:t>
      </w:r>
      <w:proofErr w:type="spellStart"/>
      <w:r w:rsidRPr="00753AE7">
        <w:t>Consequences</w:t>
      </w:r>
      <w:proofErr w:type="spellEnd"/>
      <w:r w:rsidRPr="00753AE7">
        <w:t>” (Eżenzjonijiet mill-VAT, Taxxa Inkorporata, u Konsegwenzi Mhux Intenzjonati),</w:t>
      </w:r>
    </w:p>
    <w:p w14:paraId="1218F17A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l-Artikolu 55 tar-Regoli ta’ Proċedura tiegħu,</w:t>
      </w:r>
    </w:p>
    <w:p w14:paraId="61F489D8" w14:textId="77777777" w:rsidR="00FE544F" w:rsidRPr="00753AE7" w:rsidRDefault="00FE544F" w:rsidP="00FE544F">
      <w:pPr>
        <w:pStyle w:val="NormalHanging"/>
      </w:pPr>
      <w:r w:rsidRPr="00753AE7">
        <w:t>–</w:t>
      </w:r>
      <w:r w:rsidRPr="00753AE7">
        <w:tab/>
        <w:t>wara li kkunsidra r-rapport tal-Kumitat għall-Affarijiet Ekonomiċi u Monetarji (A10-0169/2026),</w:t>
      </w:r>
    </w:p>
    <w:p w14:paraId="7D5909F8" w14:textId="77777777" w:rsidR="00FE544F" w:rsidRPr="00753AE7" w:rsidRDefault="00FE544F" w:rsidP="00FE544F">
      <w:pPr>
        <w:pStyle w:val="NormalHanging"/>
      </w:pPr>
      <w:r w:rsidRPr="00753AE7">
        <w:t>A.</w:t>
      </w:r>
      <w:r w:rsidRPr="00753AE7">
        <w:tab/>
        <w:t>billi, fl-ittra ta’ missjoni tal-2024 tal-President tal-Kummissjoni lill-Kummissarju responsabbli mit-tassazzjoni, il-Kummissjoni hija inkarigata li tidentifika soluzzjonijiet innovattivi għall-</w:t>
      </w:r>
      <w:proofErr w:type="spellStart"/>
      <w:r w:rsidRPr="00753AE7">
        <w:t>intaxxar</w:t>
      </w:r>
      <w:proofErr w:type="spellEnd"/>
      <w:r w:rsidRPr="00753AE7">
        <w:t xml:space="preserve"> tas-settur finanzjarju tal-UE biex jiġu appoġġjati l-integrazzjoni ulterjuri tas-settur, l-attività transfruntiera, id-diġitalizzazzjoni u l-innovazzjoni; billi l-Kummissjoni </w:t>
      </w:r>
      <w:proofErr w:type="spellStart"/>
      <w:r w:rsidRPr="00753AE7">
        <w:t>nediet</w:t>
      </w:r>
      <w:proofErr w:type="spellEnd"/>
      <w:r w:rsidRPr="00753AE7">
        <w:t xml:space="preserve"> studju dwar it-tassazzjoni tas-settur finanzjarju fl-UE;</w:t>
      </w:r>
    </w:p>
    <w:p w14:paraId="5BE05B83" w14:textId="77777777" w:rsidR="00FE544F" w:rsidRPr="00753AE7" w:rsidRDefault="00FE544F" w:rsidP="00FE544F">
      <w:pPr>
        <w:pStyle w:val="NormalHanging"/>
      </w:pPr>
      <w:r w:rsidRPr="00753AE7">
        <w:t>B.</w:t>
      </w:r>
      <w:r w:rsidRPr="00753AE7">
        <w:tab/>
        <w:t xml:space="preserve">billi s-servizzi finanzjarji huma ġeneralment eżentati mit-taxxa fuq il-valur miżjud (VAT) fl-UE; billi l-istituzzjonijiet finanzjarji ma jistgħux inaqqsu l-VAT imħallsa fuq l-inputs tagħhom minħabba dik l-eżenzjoni, u dan jikkawża l-hekk imsejħa “problema </w:t>
      </w:r>
      <w:proofErr w:type="spellStart"/>
      <w:r w:rsidRPr="00753AE7">
        <w:t>irrekuperabbli</w:t>
      </w:r>
      <w:proofErr w:type="spellEnd"/>
      <w:r w:rsidRPr="00753AE7">
        <w:t xml:space="preserve"> tal-VAT”; billi din l-eżenzjoni tista’ toħloq nuqqas ta’ trasparenza, iżżid l-kostijiet għall-konsumaturi u tirriżulta f’kostijiet addizzjonali għall-istituzzjonijiet finanzjarji, tinfluwenza d-deċiżjonijiet ta’ organizzazzjoni u ta’ esternalizzazzjoni, u twassal għal </w:t>
      </w:r>
      <w:proofErr w:type="spellStart"/>
      <w:r w:rsidRPr="00753AE7">
        <w:t>żvantaġġi</w:t>
      </w:r>
      <w:proofErr w:type="spellEnd"/>
      <w:r w:rsidRPr="00753AE7">
        <w:t xml:space="preserve"> kompetittivi għall-fornituri ta’ servizzi iżgħar, diġitali u transfruntiera;</w:t>
      </w:r>
    </w:p>
    <w:p w14:paraId="4923AA7F" w14:textId="77777777" w:rsidR="00FE544F" w:rsidRPr="00753AE7" w:rsidRDefault="00FE544F" w:rsidP="00FE544F">
      <w:pPr>
        <w:pStyle w:val="NormalHanging"/>
      </w:pPr>
      <w:r w:rsidRPr="00753AE7">
        <w:t>C.</w:t>
      </w:r>
      <w:r w:rsidRPr="00753AE7">
        <w:tab/>
        <w:t>billi l-possibbiltà għall-istituzzjonijiet finanzjarji li jagħżlu li jipparteċipaw fil-VAT mhix prevista b’mod inkonsistenti madwar l-Istati Membri, u dan iwassal għal aktar kumplessità amministrattiva;</w:t>
      </w:r>
    </w:p>
    <w:p w14:paraId="7850B847" w14:textId="77777777" w:rsidR="00FE544F" w:rsidRPr="00753AE7" w:rsidRDefault="00FE544F" w:rsidP="00FE544F">
      <w:pPr>
        <w:pStyle w:val="NormalHanging"/>
      </w:pPr>
      <w:r w:rsidRPr="00753AE7">
        <w:t>D.</w:t>
      </w:r>
      <w:r w:rsidRPr="00753AE7">
        <w:tab/>
        <w:t>billi l-eżenzjoni mill-VAT tmur lura għall-1977 meta l-</w:t>
      </w:r>
      <w:proofErr w:type="spellStart"/>
      <w:r w:rsidRPr="00753AE7">
        <w:t>intaxxar</w:t>
      </w:r>
      <w:proofErr w:type="spellEnd"/>
      <w:r w:rsidRPr="00753AE7">
        <w:t xml:space="preserve"> ta’ tali servizzi ħoloq diffikultajiet tekniċi u amministrattivi sinifikanti; billi l-ġustifikazzjoni teknika oriġinali għall-eżenzjoni mill-VAT issa tista’ tiġi indirizzata permezz ta’ avvanzi teknoloġiċi, diġitali u superviżorji, inkluż l-ipproċessar tad-data f’ħin reali u rekwiżiti ta’ rapportar imtejba;</w:t>
      </w:r>
    </w:p>
    <w:p w14:paraId="4BBA7C72" w14:textId="77777777" w:rsidR="00FE544F" w:rsidRPr="00753AE7" w:rsidRDefault="00FE544F" w:rsidP="00FE544F">
      <w:pPr>
        <w:pStyle w:val="NormalHanging"/>
      </w:pPr>
      <w:r w:rsidRPr="00753AE7">
        <w:t>E.</w:t>
      </w:r>
      <w:r w:rsidRPr="00753AE7">
        <w:tab/>
        <w:t xml:space="preserve">billi diversi ġuriżdizzjonijiet madwar id-dinja </w:t>
      </w:r>
      <w:proofErr w:type="spellStart"/>
      <w:r w:rsidRPr="00753AE7">
        <w:t>rrivedew</w:t>
      </w:r>
      <w:proofErr w:type="spellEnd"/>
      <w:r w:rsidRPr="00753AE7">
        <w:t xml:space="preserve"> eżenzjonijiet simili jew </w:t>
      </w:r>
      <w:proofErr w:type="spellStart"/>
      <w:r w:rsidRPr="00753AE7">
        <w:t>introduċew</w:t>
      </w:r>
      <w:proofErr w:type="spellEnd"/>
      <w:r w:rsidRPr="00753AE7">
        <w:t xml:space="preserve"> forom alternattivi ta’ tassazzjoni tas-servizzi finanzjarji sabiex jindirizzaw l-effetti fiskali u kompetittivi mhux intenzjonati tal-VAT </w:t>
      </w:r>
      <w:proofErr w:type="spellStart"/>
      <w:r w:rsidRPr="00753AE7">
        <w:t>irrekuperabbli</w:t>
      </w:r>
      <w:proofErr w:type="spellEnd"/>
      <w:r w:rsidRPr="00753AE7">
        <w:t xml:space="preserve"> u biex ikomplu jiżguraw kontribut ġust u sod tas-settur finanzjarju għad-dħul pubbliku;</w:t>
      </w:r>
    </w:p>
    <w:p w14:paraId="4C44F69B" w14:textId="77777777" w:rsidR="00FE544F" w:rsidRPr="00753AE7" w:rsidRDefault="00FE544F" w:rsidP="00FE544F">
      <w:pPr>
        <w:pStyle w:val="NormalHanging"/>
      </w:pPr>
      <w:r w:rsidRPr="00753AE7">
        <w:t>F.</w:t>
      </w:r>
      <w:r w:rsidRPr="00753AE7">
        <w:tab/>
        <w:t xml:space="preserve">billi kemm ir-rapport </w:t>
      </w:r>
      <w:proofErr w:type="spellStart"/>
      <w:r w:rsidRPr="00753AE7">
        <w:t>Letta</w:t>
      </w:r>
      <w:proofErr w:type="spellEnd"/>
      <w:r w:rsidRPr="00753AE7">
        <w:t xml:space="preserve"> kif ukoll ir-rapport Draghi jissottolinjaw li l-frammentazzjoni tat-taxxa fis-suq uniku, inklużi l-ostakli amministrattivi u fiskali, tostakola t-tkabbir ekonomiku, il-kummerċ u l-attivitajiet transfruntiera; billi l-ostakli interni tal-UE effettivament jimponu tariffa ta’ kważi 100 % fuq is-servizzi finanzjarji; billi dawk l-ostakli u l-ostakli regolatorji huma, skont Draghi, ferm aktar ta’ ħsara għat-tkabbir ekonomiku minn kwalunkwe tariffa li l-Istati Uniti jistgħu jimponu;</w:t>
      </w:r>
    </w:p>
    <w:p w14:paraId="0CB5864F" w14:textId="77777777" w:rsidR="00FE544F" w:rsidRPr="00753AE7" w:rsidRDefault="00FE544F" w:rsidP="00FE544F">
      <w:pPr>
        <w:pStyle w:val="NormalHanging"/>
      </w:pPr>
      <w:r w:rsidRPr="00753AE7">
        <w:t>G.</w:t>
      </w:r>
      <w:r w:rsidRPr="00753AE7">
        <w:tab/>
        <w:t>billi, skont id-data tal-Eurostat, is-settur finanzjarju huwa komponent sinifikanti tal-</w:t>
      </w:r>
      <w:r w:rsidRPr="00753AE7">
        <w:lastRenderedPageBreak/>
        <w:t>ekonomija tal-Unjoni, li ġġenera madwar EUR 0,9 triljun f’valur miżjud fl-2022, filwaqt li ħaddem madwar 5 miljun ruħ u rreġistra fatturat nett ta’ madwar EUR 2,4 </w:t>
      </w:r>
      <w:proofErr w:type="spellStart"/>
      <w:r w:rsidRPr="00753AE7">
        <w:t>triljuni</w:t>
      </w:r>
      <w:proofErr w:type="spellEnd"/>
      <w:r w:rsidRPr="00753AE7">
        <w:t>; billi s-settur jikkontribwixxi għall-finanzi pubbliċi permezz tat-tassazzjoni korporattiva, it-taxxi fuq il-pagi u l-imposti speċifiċi għas-settur; billi s-settur finanzjarju tal-UE għandu rwol ċentrali fil-finanzjament tal-ekonomija reali, fl-appoġġ għall-innovazzjoni u fl-iffaċilitar tal-investiment;</w:t>
      </w:r>
    </w:p>
    <w:p w14:paraId="2AEE2AB1" w14:textId="6C15BFB6" w:rsidR="00FE544F" w:rsidRPr="00753AE7" w:rsidRDefault="00FE544F" w:rsidP="00FE544F">
      <w:pPr>
        <w:pStyle w:val="NormalHanging"/>
      </w:pPr>
      <w:r w:rsidRPr="00753AE7">
        <w:t>H.</w:t>
      </w:r>
      <w:r w:rsidRPr="00753AE7">
        <w:tab/>
        <w:t>billi inizjattivi reċenti bħad-Direttiva tal-Kunsill (UE) 2025/50 tal-10 ta’ Diċembru 2024 dwar ħelsien aktar rapidu u aktar sikur mit-taxxi f’ras il-għajn eċċessivi</w:t>
      </w:r>
      <w:r w:rsidR="001D6B46">
        <w:rPr>
          <w:rStyle w:val="FootnoteReference"/>
        </w:rPr>
        <w:footnoteReference w:id="7"/>
      </w:r>
      <w:r w:rsidRPr="00753AE7">
        <w:t xml:space="preserve"> (id-Direttiva FASTER) għamlu progress sinifikanti fit-tnaqqis tal-piżijiet amministrattivi u fl-iffaċilitar tal-attività ekonomika transfruntiera fl-UE, u sforzi simili għandhom jitkomplew sabiex jissaħħu aktar l-integrazzjoni u l-effiċjenza tas-suq uniku;</w:t>
      </w:r>
    </w:p>
    <w:p w14:paraId="0DE87F4D" w14:textId="5C2FEF86" w:rsidR="00FE544F" w:rsidRPr="00753AE7" w:rsidRDefault="00FE544F" w:rsidP="00FE544F">
      <w:pPr>
        <w:pStyle w:val="NormalHanging"/>
      </w:pPr>
      <w:r w:rsidRPr="00753AE7">
        <w:t>I.</w:t>
      </w:r>
      <w:r w:rsidRPr="00753AE7">
        <w:tab/>
        <w:t>billi l-Kunsill ilu jipposponi deċiżjoni rigward il-proposta tal-Kummissjoni għal direttiva li tistabbilixxi sistema ta’ Taxxa tal-Uffiċċju Reġistrat għall-intrapriżi mikro, żgħar u ta’ daqs medju, u li temenda d-Direttiva 2011/16/UE, filwaqt li l-Parlament Ewropew diġà approva riżoluzzjoni leġiżlattiva fl-10 ta’ April 2024</w:t>
      </w:r>
      <w:r w:rsidR="001D6B46">
        <w:rPr>
          <w:rStyle w:val="FootnoteReference"/>
        </w:rPr>
        <w:footnoteReference w:id="8"/>
      </w:r>
      <w:r w:rsidRPr="00753AE7">
        <w:t>;</w:t>
      </w:r>
    </w:p>
    <w:p w14:paraId="2B686CE3" w14:textId="77777777" w:rsidR="00FE544F" w:rsidRPr="00753AE7" w:rsidRDefault="00FE544F" w:rsidP="00FE544F">
      <w:pPr>
        <w:pStyle w:val="NormalHanging"/>
      </w:pPr>
      <w:r w:rsidRPr="00753AE7">
        <w:t>J.</w:t>
      </w:r>
      <w:r w:rsidRPr="00753AE7">
        <w:tab/>
        <w:t>billi kwalunkwe inizjattiva futura għandha tnaqqas il-frammentazzjoni fis-suq uniku u ssaħħaħ il-kompetittività billi tiżgura qafas tat-taxxa għas-servizzi finanzjarji li jkun koerenti, prevedibbli u newtrali, filwaqt li tqis mudelli diversi tan-negozju u l-</w:t>
      </w:r>
      <w:proofErr w:type="spellStart"/>
      <w:r w:rsidRPr="00753AE7">
        <w:t>interazzjonijiet</w:t>
      </w:r>
      <w:proofErr w:type="spellEnd"/>
      <w:r w:rsidRPr="00753AE7">
        <w:t xml:space="preserve"> tat-taxxa madwar is-settur finanzjarju kollu tal-UE;</w:t>
      </w:r>
    </w:p>
    <w:p w14:paraId="602617FB" w14:textId="77777777" w:rsidR="00FE544F" w:rsidRPr="00753AE7" w:rsidRDefault="00FE544F" w:rsidP="00FE544F">
      <w:pPr>
        <w:pStyle w:val="NormalHanging"/>
      </w:pPr>
      <w:r w:rsidRPr="00753AE7">
        <w:t>K.</w:t>
      </w:r>
      <w:r w:rsidRPr="00753AE7">
        <w:tab/>
        <w:t xml:space="preserve">billi t-tassazzjoni tas-servizzi finanzjarji fl-UE għadha </w:t>
      </w:r>
      <w:proofErr w:type="spellStart"/>
      <w:r w:rsidRPr="00753AE7">
        <w:t>frammentata</w:t>
      </w:r>
      <w:proofErr w:type="spellEnd"/>
      <w:r w:rsidRPr="00753AE7">
        <w:t xml:space="preserve"> ħafna, b’approċċi nazzjonali diverġenti għat-taxxi fuq il-</w:t>
      </w:r>
      <w:proofErr w:type="spellStart"/>
      <w:r w:rsidRPr="00753AE7">
        <w:t>primjums</w:t>
      </w:r>
      <w:proofErr w:type="spellEnd"/>
      <w:r w:rsidRPr="00753AE7">
        <w:t xml:space="preserve"> tal-assigurazzjoni, it-taxxi fuq it-tranżazzjonijiet finanzjarji (TTF), l-imposti bankarji, it-taxxi fuq l-attivitajiet finanzjarji u taxxi oħra bbażati fuq il-profitt; billi din il-frammentazzjoni toħloq inċertezza u kumplessità legali, tixpruna d-distorsjonijiet tas-suq, tħeġġeġ l-</w:t>
      </w:r>
      <w:proofErr w:type="spellStart"/>
      <w:r w:rsidRPr="00753AE7">
        <w:t>evitar</w:t>
      </w:r>
      <w:proofErr w:type="spellEnd"/>
      <w:r w:rsidRPr="00753AE7">
        <w:t xml:space="preserve"> tat-taxxa u tnaqqas il-kompetittività tal-UE;</w:t>
      </w:r>
    </w:p>
    <w:p w14:paraId="3072D805" w14:textId="77777777" w:rsidR="00FE544F" w:rsidRPr="00753AE7" w:rsidRDefault="00FE544F" w:rsidP="00FE544F">
      <w:pPr>
        <w:pStyle w:val="NormalHanging"/>
      </w:pPr>
      <w:r w:rsidRPr="00753AE7">
        <w:t>L.</w:t>
      </w:r>
      <w:r w:rsidRPr="00753AE7">
        <w:tab/>
        <w:t xml:space="preserve">billi l-Unjoni tat-Tfaddil u tal-Investimenti (SIU) tirrikjedi inċentivi aktar b’saħħithom għan-nies biex ifaddlu u jinvestu fis-swieq kapitali Ewropej; billi t-tlestija tal-SIU tirrikjedi approċċ komprensiv għall-istabbiltà finanzjarja, għall-integrazzjoni tas-suq u għall-protezzjoni tal-investituri; billi huwa kruċjali għas-suċċess u l-kredibbiltà tal-SIU li jiġi żgurat li s-settur finanzjarju jikkontribwixxi b’mod sinifikattiv għall-finanzi pubbliċi, </w:t>
      </w:r>
      <w:proofErr w:type="spellStart"/>
      <w:r w:rsidRPr="00753AE7">
        <w:t>jinternalizza</w:t>
      </w:r>
      <w:proofErr w:type="spellEnd"/>
      <w:r w:rsidRPr="00753AE7">
        <w:t xml:space="preserve"> r-riskji li jiġġenera u jappoġġja l-investiment sostenibbli fit-tul;</w:t>
      </w:r>
    </w:p>
    <w:p w14:paraId="40D5F781" w14:textId="77777777" w:rsidR="00FE544F" w:rsidRPr="00753AE7" w:rsidRDefault="00FE544F" w:rsidP="00FE544F">
      <w:pPr>
        <w:pStyle w:val="NormalHanging"/>
      </w:pPr>
      <w:r w:rsidRPr="00753AE7">
        <w:t>M.</w:t>
      </w:r>
      <w:r w:rsidRPr="00753AE7">
        <w:tab/>
        <w:t>billi t-TTF u l-imposti bankarji ġew diskussi wara l-kriżi finanzjarja fl-2008 u l-2009; billi dawn il-miżuri kellhom l-għan li jikkumpensaw għall-kostijiet tal-kriżi;</w:t>
      </w:r>
    </w:p>
    <w:p w14:paraId="6B84F8D6" w14:textId="77777777" w:rsidR="00FE544F" w:rsidRPr="00753AE7" w:rsidRDefault="00FE544F" w:rsidP="00FE544F">
      <w:pPr>
        <w:pStyle w:val="NormalHanging"/>
      </w:pPr>
      <w:r w:rsidRPr="00753AE7">
        <w:t>N.</w:t>
      </w:r>
      <w:r w:rsidRPr="00753AE7">
        <w:tab/>
        <w:t xml:space="preserve">billi mill-anqas seba’ Stati Membri bħalissa jimponu TTF; billi dawn l-Istati Membri ma </w:t>
      </w:r>
      <w:proofErr w:type="spellStart"/>
      <w:r w:rsidRPr="00753AE7">
        <w:t>kkoordinawx</w:t>
      </w:r>
      <w:proofErr w:type="spellEnd"/>
      <w:r w:rsidRPr="00753AE7">
        <w:t xml:space="preserve"> it-TTF tagħhom fir-rigward tal-kamp ta’ applikazzjoni, ir-rata jew l-applikazzjoni tagħhom; billi ma ntlaħaq l-ebda ftehim dwar TTF għall-UE kollha, minkejja diversi proposti leġiżlattivi mill-Kummissjoni mill-2011;</w:t>
      </w:r>
    </w:p>
    <w:p w14:paraId="674B15F0" w14:textId="77777777" w:rsidR="00FE544F" w:rsidRPr="00753AE7" w:rsidRDefault="00FE544F" w:rsidP="00FE544F">
      <w:pPr>
        <w:pStyle w:val="NormalHanging"/>
      </w:pPr>
      <w:r w:rsidRPr="00753AE7">
        <w:lastRenderedPageBreak/>
        <w:t>O.</w:t>
      </w:r>
      <w:r w:rsidRPr="00753AE7">
        <w:tab/>
        <w:t xml:space="preserve">billi l-Parlament </w:t>
      </w:r>
      <w:proofErr w:type="spellStart"/>
      <w:r w:rsidRPr="00753AE7">
        <w:t>appoġġja</w:t>
      </w:r>
      <w:proofErr w:type="spellEnd"/>
      <w:r w:rsidRPr="00753AE7">
        <w:t xml:space="preserve"> b’mod konsistenti l-introduzzjoni ta’ TTF fl-UE kollha, inkluż bħala riżorsa proprja possibbli, l-aktar reċenti fir-riżoluzzjoni tiegħu ta’ Mejju 2023; billi fil-programm ta’ ħidma tagħha għall-2026, il-Kummissjoni pproponiet li tirtira l-proposta preċedenti tagħha dwar it-TTF b’riżultat tan-nuqqas ta’ kunsens fost l-Istati Membri, u l-ebda ftehim ma ntlaħaq;</w:t>
      </w:r>
    </w:p>
    <w:p w14:paraId="46957D1E" w14:textId="77777777" w:rsidR="00FE544F" w:rsidRPr="00753AE7" w:rsidRDefault="00FE544F" w:rsidP="00FE544F">
      <w:pPr>
        <w:pStyle w:val="NormalHanging"/>
      </w:pPr>
      <w:r w:rsidRPr="00753AE7">
        <w:t>P.</w:t>
      </w:r>
      <w:r w:rsidRPr="00753AE7">
        <w:tab/>
        <w:t>billi l-Istati Membri jkomplu jintroduċu taxxi temporanji fuq profitti straordinarji mhux mistennija jew imposti ta’ solidarjetà fuq il-profitti tal-banek biex jindirizzaw żidiet straordinarji fil-profittabbiltà xprunati mill-politika monetarja;</w:t>
      </w:r>
    </w:p>
    <w:p w14:paraId="6FEDB512" w14:textId="77777777" w:rsidR="00FE544F" w:rsidRPr="00753AE7" w:rsidRDefault="00FE544F" w:rsidP="00FE544F">
      <w:pPr>
        <w:pStyle w:val="Normal12a"/>
      </w:pPr>
      <w:r w:rsidRPr="00753AE7">
        <w:rPr>
          <w:b/>
          <w:i/>
        </w:rPr>
        <w:t>L-indirizzar tal-frammentazzjoni tat-taxxa tas-settur finanzjarju u ż-żieda tal-kompetittività tiegħu</w:t>
      </w:r>
    </w:p>
    <w:p w14:paraId="0D487731" w14:textId="5329A335" w:rsidR="00FE544F" w:rsidRPr="00753AE7" w:rsidRDefault="00FE544F" w:rsidP="00FE544F">
      <w:pPr>
        <w:pStyle w:val="NormalHanging12a"/>
      </w:pPr>
      <w:r w:rsidRPr="00753AE7">
        <w:t>1.</w:t>
      </w:r>
      <w:r w:rsidRPr="00753AE7">
        <w:tab/>
        <w:t xml:space="preserve">Jinnota li </w:t>
      </w:r>
      <w:r w:rsidR="00FA4766" w:rsidRPr="00FA4766">
        <w:t>wara l-kriżi finanzjarja l-kbira</w:t>
      </w:r>
      <w:r w:rsidRPr="00753AE7">
        <w:t xml:space="preserve">, l-Istati Membri </w:t>
      </w:r>
      <w:proofErr w:type="spellStart"/>
      <w:r w:rsidRPr="00753AE7">
        <w:t>introduċew</w:t>
      </w:r>
      <w:proofErr w:type="spellEnd"/>
      <w:r w:rsidRPr="00753AE7">
        <w:t xml:space="preserve"> 91 taxxa speċifika għas-settur biex jintaxxaw is-settur finanzjarju, b’riżultat ta’ xenarju tat-taxxa frammentat ħafna; jinnota li dan ix-xenarju tat-taxxa frammentat jiġġenera kostijiet operazzjonali u amministrattivi addizzjonali u jżid l-ostakli strutturali għall-espansjoni transfruntiera tal-fornituri tas-servizzi finanzjarji, u b’hekk idgħajjef is-settur finanzjarju tal-UE u l-kapaċità ta’ investiment tiegħu u jimmina l-objettivi tal-SIU u tal-Unjoni Bankarja;</w:t>
      </w:r>
    </w:p>
    <w:p w14:paraId="229699E6" w14:textId="2E12E108" w:rsidR="00FE544F" w:rsidRPr="00753AE7" w:rsidRDefault="00FA4766" w:rsidP="00FE544F">
      <w:pPr>
        <w:pStyle w:val="NormalHanging12a"/>
      </w:pPr>
      <w:r>
        <w:t>2</w:t>
      </w:r>
      <w:r w:rsidR="00FE544F" w:rsidRPr="00753AE7">
        <w:t>.</w:t>
      </w:r>
      <w:r w:rsidR="00FE544F" w:rsidRPr="00753AE7">
        <w:tab/>
        <w:t>Jinnota li d-differenzi fir-reġimi tat-taxxa nazzjonali jirriflettu l-għażliet ta’ politika nazzjonali; jinnota l-ħidma li għaddejja fil-livell internazzjonali fir-rigward tat-trasferiment tal-profitti; jappella għal koordinazzjoni msaħħa fil-livell tal-UE, inkluż fl-implimentazzjoni tad-Direttiva dwar il-Pilastru 2, regoli robusti kontra l-</w:t>
      </w:r>
      <w:proofErr w:type="spellStart"/>
      <w:r w:rsidR="00FE544F" w:rsidRPr="00753AE7">
        <w:t>evitar</w:t>
      </w:r>
      <w:proofErr w:type="spellEnd"/>
      <w:r w:rsidR="00FE544F" w:rsidRPr="00753AE7">
        <w:t xml:space="preserve"> tat-taxxa kif ukoll rekwiżiti ta’ trasparenza, b’mod partikolari fil-qasam tar-rapportar pubbliku għal kull pajjiż;</w:t>
      </w:r>
    </w:p>
    <w:p w14:paraId="069AC188" w14:textId="254FAAE0" w:rsidR="00FE544F" w:rsidRPr="00753AE7" w:rsidRDefault="00FA4766" w:rsidP="00FE544F">
      <w:pPr>
        <w:pStyle w:val="NormalHanging12a"/>
      </w:pPr>
      <w:r>
        <w:t>3</w:t>
      </w:r>
      <w:r w:rsidR="00FE544F" w:rsidRPr="00753AE7">
        <w:t>.</w:t>
      </w:r>
      <w:r w:rsidR="00FE544F" w:rsidRPr="00753AE7">
        <w:tab/>
        <w:t>Jinnota li l-frammentazzjoni tar-reġimi tat-taxxa nazzjonali żżid ir-riskju ta’ tassazzjoni doppja transfruntiera u, xprunata minn kumplessità amministrattiva u legali, tista’ xxekkel it-tkabbir tas-settur finanzjarju tal-UE u toħloq ostaklu għall-integrazzjoni aktar profonda tas-swieq finanzjarji tal-UE; jenfasizza li l-</w:t>
      </w:r>
      <w:proofErr w:type="spellStart"/>
      <w:r w:rsidR="00FE544F" w:rsidRPr="00753AE7">
        <w:t>evitar</w:t>
      </w:r>
      <w:proofErr w:type="spellEnd"/>
      <w:r w:rsidR="00FE544F" w:rsidRPr="00753AE7">
        <w:t xml:space="preserve"> tat-tassazzjoni doppja u t-tnaqqis tal-piżijiet amministrattivi għandhom jibqgħu kruċjali; jisħaq, madankollu, li l-isforzi ta’ simplifikazzjoni ma jridux jirriżultaw </w:t>
      </w:r>
      <w:proofErr w:type="spellStart"/>
      <w:r w:rsidR="00FE544F" w:rsidRPr="00753AE7">
        <w:t>fid-deregolamentazzjoni</w:t>
      </w:r>
      <w:proofErr w:type="spellEnd"/>
      <w:r w:rsidR="00FE544F" w:rsidRPr="00753AE7">
        <w:t xml:space="preserve"> jew f’tellieqa għall-qiegħ fl-istandards tat-taxxa;</w:t>
      </w:r>
    </w:p>
    <w:p w14:paraId="79FF41FD" w14:textId="7C5B2B56" w:rsidR="00FE544F" w:rsidRPr="00753AE7" w:rsidRDefault="00FA4766" w:rsidP="00FE544F">
      <w:pPr>
        <w:pStyle w:val="NormalHanging12a"/>
      </w:pPr>
      <w:r>
        <w:t>4</w:t>
      </w:r>
      <w:r w:rsidR="00FE544F" w:rsidRPr="00753AE7">
        <w:t>.</w:t>
      </w:r>
      <w:r w:rsidR="00FE544F" w:rsidRPr="00753AE7">
        <w:tab/>
        <w:t>Jisħaq li d-differenzi fil-proċeduri nazzjonali għat-taxxa f’ras il-għajn joħolqu piżijiet u ostakli amministrattivi għall-investiment transfruntier, kif ġie rikonoxxut fl-Istrateġija SIU tal-Kummissjoni; jilqa’ l-adozzjoni tad-Direttiva FASTER; jappella għal aktar progress lejn qafas aktar koordinat u ambizzjuż;</w:t>
      </w:r>
    </w:p>
    <w:p w14:paraId="509380F8" w14:textId="509A8BE3" w:rsidR="00FE544F" w:rsidRPr="00753AE7" w:rsidRDefault="00FA4766" w:rsidP="00FE544F">
      <w:pPr>
        <w:pStyle w:val="NormalHanging12a"/>
      </w:pPr>
      <w:r>
        <w:t>5</w:t>
      </w:r>
      <w:r w:rsidR="00FE544F" w:rsidRPr="00753AE7">
        <w:t>.</w:t>
      </w:r>
      <w:r w:rsidR="00FE544F" w:rsidRPr="00753AE7">
        <w:tab/>
        <w:t>Jistieden lill-Kunsill jiddeċiedi dwar il-proposta tal-Kummissjoni għal direttiva tal-Kunsill li tistabbilixxi sistema ta’ Taxxa tal-Uffiċċju Reġistrat għall-intrapriżi mikro, żgħar u ta’ daqs medju, u li temenda d-Direttiva 2011/16/UE, filwaqt li jqis ir-riżoluzzjoni leġiżlattiva tal-Parlament tal-10 ta’ April 2024;</w:t>
      </w:r>
    </w:p>
    <w:p w14:paraId="45C77FE3" w14:textId="53F550DD" w:rsidR="00FE544F" w:rsidRPr="00753AE7" w:rsidRDefault="00FA4766" w:rsidP="00FE544F">
      <w:pPr>
        <w:pStyle w:val="NormalHanging12a"/>
      </w:pPr>
      <w:r>
        <w:t>6</w:t>
      </w:r>
      <w:r w:rsidR="00FE544F" w:rsidRPr="00753AE7">
        <w:t>.</w:t>
      </w:r>
      <w:r w:rsidR="00FE544F" w:rsidRPr="00753AE7">
        <w:tab/>
        <w:t xml:space="preserve">Josserva, barra minn hekk, li r-regoli tat-taxxa eżistenti ma żammewx il-pass għalkollox mal-emerġenza ta’ prodotti finanzjarji ġodda u </w:t>
      </w:r>
      <w:proofErr w:type="spellStart"/>
      <w:r w:rsidR="00FE544F" w:rsidRPr="00753AE7">
        <w:t>infrastrutturi</w:t>
      </w:r>
      <w:proofErr w:type="spellEnd"/>
      <w:r w:rsidR="00FE544F" w:rsidRPr="00753AE7">
        <w:t xml:space="preserve"> ġodda tas-swieq; jissottolinja li l-frammentazzjoni qed issir aktar inkwetanti b’rata mgħaġġla bis-suċċess ta’ </w:t>
      </w:r>
      <w:proofErr w:type="spellStart"/>
      <w:r w:rsidR="00FE544F" w:rsidRPr="00753AE7">
        <w:t>neobanek</w:t>
      </w:r>
      <w:proofErr w:type="spellEnd"/>
      <w:r w:rsidR="00FE544F" w:rsidRPr="00753AE7">
        <w:t xml:space="preserve">, pereżempju, banek esklużivament diġitali, banek </w:t>
      </w:r>
      <w:proofErr w:type="spellStart"/>
      <w:r w:rsidR="00FE544F" w:rsidRPr="00753AE7">
        <w:t>challenger</w:t>
      </w:r>
      <w:proofErr w:type="spellEnd"/>
      <w:r w:rsidR="00FE544F" w:rsidRPr="00753AE7">
        <w:t xml:space="preserve"> u banek </w:t>
      </w:r>
      <w:proofErr w:type="spellStart"/>
      <w:r w:rsidR="00FE544F" w:rsidRPr="00753AE7">
        <w:t>fintech</w:t>
      </w:r>
      <w:proofErr w:type="spellEnd"/>
      <w:r w:rsidR="00FE544F" w:rsidRPr="00753AE7">
        <w:t xml:space="preserve">; jirrimarka ż-żieda sinifikanti fis-sehem ta’ depożiti transfruntiera miżmuma </w:t>
      </w:r>
      <w:r w:rsidR="00FE544F" w:rsidRPr="00753AE7">
        <w:lastRenderedPageBreak/>
        <w:t>minn dawn il-banek f’dawn l-aħħar sitt snin; jissottolinja li d-differenzi fir-regoli tat-taxxa bejn il-banek u l-entitajiet mhux bankarji jistgħu joħolqu distorsjonijiet;</w:t>
      </w:r>
    </w:p>
    <w:p w14:paraId="1182007C" w14:textId="16AAFC78" w:rsidR="00FE544F" w:rsidRPr="00753AE7" w:rsidRDefault="00FA4766" w:rsidP="00FE544F">
      <w:pPr>
        <w:pStyle w:val="NormalHanging12a"/>
      </w:pPr>
      <w:r>
        <w:t>7</w:t>
      </w:r>
      <w:r w:rsidR="00FE544F" w:rsidRPr="00753AE7">
        <w:t>.</w:t>
      </w:r>
      <w:r w:rsidR="00FE544F" w:rsidRPr="00753AE7">
        <w:tab/>
        <w:t xml:space="preserve">Jenfasizza li d-data insuffiċjenti dwar il-piż tat-taxxa effettiv madwar is-settur finanzjarju tal-UE jostakola t-tfassil tal-politika bbażata fuq l-evidenza u l-valutazzjoni tal-impatti tal-politika fuq l-imġiba tas-swieq, il-kompetizzjoni u l-istabbiltà finanzjarja; jissottolinja l-ħtieġa </w:t>
      </w:r>
      <w:r>
        <w:t>ta’</w:t>
      </w:r>
      <w:r w:rsidRPr="00753AE7">
        <w:t xml:space="preserve"> </w:t>
      </w:r>
      <w:r w:rsidR="00FE544F" w:rsidRPr="00753AE7">
        <w:t>trasparenza</w:t>
      </w:r>
      <w:r>
        <w:t xml:space="preserve"> mtejba</w:t>
      </w:r>
      <w:r w:rsidR="00FE544F" w:rsidRPr="00753AE7">
        <w:t xml:space="preserve"> u </w:t>
      </w:r>
      <w:r>
        <w:t>ta’ użu aħjar tad-</w:t>
      </w:r>
      <w:r w:rsidR="00FE544F" w:rsidRPr="00753AE7">
        <w:t>data mtejba bħala prerekwiżit għal riforma koerenti tat-tassazzjoni tas-settur finanzjarju;</w:t>
      </w:r>
    </w:p>
    <w:p w14:paraId="4359406E" w14:textId="38A43620" w:rsidR="00FE544F" w:rsidRPr="00753AE7" w:rsidRDefault="00FA4766" w:rsidP="00FE544F">
      <w:pPr>
        <w:pStyle w:val="NormalHanging12a"/>
      </w:pPr>
      <w:r>
        <w:t>8</w:t>
      </w:r>
      <w:r w:rsidR="00FE544F" w:rsidRPr="00753AE7">
        <w:t>.</w:t>
      </w:r>
      <w:r w:rsidR="00FE544F" w:rsidRPr="00753AE7">
        <w:tab/>
        <w:t>Jisħaq li t-tneħħija tal-ostakli tat-taxxa għall-investiment transfruntier permezz ta’ regoli koerenti fil-livell tal-UE tnaqqas il-kostijiet tal-konformità, ittejjeb l-effiċjenza tas-suq, ittejjeb iċ-ċarezza legali għall-flussi kapitali transfruntiera u ssaħħaħ il-kompetittività tas-servizzi finanzjarji tal-UE, filwaqt li fl-istess ħin trażżan l-evażjoni tat-taxxa u l-</w:t>
      </w:r>
      <w:proofErr w:type="spellStart"/>
      <w:r w:rsidR="00FE544F" w:rsidRPr="00753AE7">
        <w:t>pjanifikazzjoni</w:t>
      </w:r>
      <w:proofErr w:type="spellEnd"/>
      <w:r w:rsidR="00FE544F" w:rsidRPr="00753AE7">
        <w:t xml:space="preserve"> fiskali aggressiva; jisħaq fuq il-ħtieġa ta’ sett koerenti ta’ regoli għas-settur finanzjarju tal-UE, filwaqt li jiġu rispettati s-sovranità fiskali tal-Istati Membri u l-prinċipju tas-sussidjarjetà; jisħaq li t-tassazzjoni tas-servizzi finanzjarji għandha tgħin biex issostni l-kompetittività tas-settur finanzjarju;</w:t>
      </w:r>
    </w:p>
    <w:p w14:paraId="52099C51" w14:textId="0EBD3BC0" w:rsidR="00FE544F" w:rsidRPr="00753AE7" w:rsidRDefault="00FA4766" w:rsidP="00FE544F">
      <w:pPr>
        <w:pStyle w:val="NormalHanging12a"/>
      </w:pPr>
      <w:r>
        <w:t>9</w:t>
      </w:r>
      <w:r w:rsidR="00FE544F" w:rsidRPr="00753AE7">
        <w:t>.</w:t>
      </w:r>
      <w:r w:rsidR="00FE544F" w:rsidRPr="00753AE7">
        <w:tab/>
        <w:t xml:space="preserve">Jinnota li, skont ir-Rapport </w:t>
      </w:r>
      <w:proofErr w:type="spellStart"/>
      <w:r w:rsidR="00FE544F" w:rsidRPr="00753AE7">
        <w:t>Makroekonomiku</w:t>
      </w:r>
      <w:proofErr w:type="spellEnd"/>
      <w:r w:rsidR="00FE544F" w:rsidRPr="00753AE7">
        <w:t xml:space="preserve"> Ewropew tal-2026 tal-Kummissjoni</w:t>
      </w:r>
      <w:r w:rsidR="001D6B46">
        <w:rPr>
          <w:rStyle w:val="FootnoteReference"/>
        </w:rPr>
        <w:footnoteReference w:id="9"/>
      </w:r>
      <w:r w:rsidR="00FE544F" w:rsidRPr="00753AE7">
        <w:t xml:space="preserve">, ir-rata tat-tfaddil tal-unitajiet domestiċi tal-UE għadha ferm ogħla mill-medja tal-pajjiżi tal-Organizzazzjoni għall-Kooperazzjoni u l-Iżvilupp Ekonomiċi; jesprimi dispjaċir għall-fatt li madwar terz ta’ dan it-tfaddil jiġi investit barra mill-UE, li juri n-nuqqasijiet tal-qafas finanzjarju tal-UE fiż-żamma tal-investiment; jistieden lill-Kummissjoni tivvaluta kif miżuri tat-taxxa jistgħu jinkoraġġixxu l-fluss tal-investiment lejn l-UE; jissottolinja l-importanza li jiġu </w:t>
      </w:r>
      <w:proofErr w:type="spellStart"/>
      <w:r w:rsidR="00FE544F" w:rsidRPr="00753AE7">
        <w:t>skoraġġuti</w:t>
      </w:r>
      <w:proofErr w:type="spellEnd"/>
      <w:r w:rsidR="00FE544F" w:rsidRPr="00753AE7">
        <w:t xml:space="preserve"> flussi finanzjarji ’l barra lejn il-pajjiżi li jinsabu fil-lista tal-UE ta’ ġuriżdizzjonijiet li ma </w:t>
      </w:r>
      <w:proofErr w:type="spellStart"/>
      <w:r w:rsidR="00FE544F" w:rsidRPr="00753AE7">
        <w:t>jikkooperawx</w:t>
      </w:r>
      <w:proofErr w:type="spellEnd"/>
      <w:r w:rsidR="00FE544F" w:rsidRPr="00753AE7">
        <w:t>;</w:t>
      </w:r>
    </w:p>
    <w:p w14:paraId="55BEBFE4" w14:textId="0CA9EB3A" w:rsidR="00FE544F" w:rsidRPr="00753AE7" w:rsidRDefault="00FE544F" w:rsidP="00FE544F">
      <w:pPr>
        <w:pStyle w:val="NormalHanging12a"/>
      </w:pPr>
      <w:r w:rsidRPr="00753AE7">
        <w:t>1</w:t>
      </w:r>
      <w:r w:rsidR="00FA4766">
        <w:t>0</w:t>
      </w:r>
      <w:r w:rsidRPr="00753AE7">
        <w:t>.</w:t>
      </w:r>
      <w:r w:rsidRPr="00753AE7">
        <w:tab/>
        <w:t xml:space="preserve">Jissottolinja l-importanza li l-SIU tavvanza biex </w:t>
      </w:r>
      <w:proofErr w:type="spellStart"/>
      <w:r w:rsidRPr="00753AE7">
        <w:t>timmobilizza</w:t>
      </w:r>
      <w:proofErr w:type="spellEnd"/>
      <w:r w:rsidRPr="00753AE7">
        <w:t xml:space="preserve"> t-tfaddil għal investimenti produttivi; iqis t-tnaqqis tal-frammentazzjoni tat-taxxa u t-titjib tal-mezzi ta’ investiment transfruntier bħala fundamentali biex it-tfaddil Ewropew jiġi </w:t>
      </w:r>
      <w:proofErr w:type="spellStart"/>
      <w:r w:rsidRPr="00753AE7">
        <w:t>mobilizzat</w:t>
      </w:r>
      <w:proofErr w:type="spellEnd"/>
      <w:r w:rsidRPr="00753AE7">
        <w:t xml:space="preserve"> għall-investiment fi ħdan l-UE;</w:t>
      </w:r>
    </w:p>
    <w:p w14:paraId="11D48052" w14:textId="6DB1C591" w:rsidR="00FE544F" w:rsidRPr="00753AE7" w:rsidRDefault="00FE544F" w:rsidP="00FE544F">
      <w:pPr>
        <w:pStyle w:val="NormalHanging12a"/>
      </w:pPr>
      <w:r w:rsidRPr="00753AE7">
        <w:t>1</w:t>
      </w:r>
      <w:r w:rsidR="00FA4766">
        <w:t>1</w:t>
      </w:r>
      <w:r w:rsidRPr="00753AE7">
        <w:t>.</w:t>
      </w:r>
      <w:r w:rsidRPr="00753AE7">
        <w:tab/>
        <w:t>Jisħaq li għandu jitfassal qafas tat-taxxa għas-servizzi finanzjarji flimkien mal-objettivi tal-SIU, li jiffoka fuq iż-żieda fl-effiċjenza, l-indirizzar tad-distorsjonijiet tas-suq, u t-trawwim tal-investiment u t-tkabbir fit-tul, filwaqt li jiġi żgurat approċċ ibbilanċjat li jirrifletti wkoll kunsiderazzjonijiet ekonomiċi u soċjali usa’;</w:t>
      </w:r>
    </w:p>
    <w:p w14:paraId="204B923F" w14:textId="57F5400A" w:rsidR="00FE544F" w:rsidRPr="00753AE7" w:rsidRDefault="00FE544F" w:rsidP="00FE544F">
      <w:pPr>
        <w:pStyle w:val="NormalHanging12a"/>
      </w:pPr>
      <w:r w:rsidRPr="00753AE7">
        <w:t>1</w:t>
      </w:r>
      <w:r w:rsidR="00FA4766">
        <w:t>2</w:t>
      </w:r>
      <w:r w:rsidRPr="00753AE7">
        <w:t>.</w:t>
      </w:r>
      <w:r w:rsidRPr="00753AE7">
        <w:tab/>
        <w:t xml:space="preserve">Jinnota li t-tassazzjoni tas-settur finanzjarju għandha tkun </w:t>
      </w:r>
      <w:proofErr w:type="spellStart"/>
      <w:r w:rsidRPr="00753AE7">
        <w:t>irregolata</w:t>
      </w:r>
      <w:proofErr w:type="spellEnd"/>
      <w:r w:rsidRPr="00753AE7">
        <w:t xml:space="preserve"> mill-prinċipji tas-</w:t>
      </w:r>
      <w:proofErr w:type="spellStart"/>
      <w:r w:rsidRPr="00753AE7">
        <w:t>sempliċità</w:t>
      </w:r>
      <w:proofErr w:type="spellEnd"/>
      <w:r w:rsidRPr="00753AE7">
        <w:t xml:space="preserve">, in-newtralità, il-ġustizzja, is-sostenibbiltà ekonomika, ambjentali u soċjali, u ċ-ċertezza legali; jinnota li għandha tirrifletti wkoll id-dinamika </w:t>
      </w:r>
      <w:proofErr w:type="spellStart"/>
      <w:r w:rsidRPr="00753AE7">
        <w:t>ċiklika</w:t>
      </w:r>
      <w:proofErr w:type="spellEnd"/>
      <w:r w:rsidRPr="00753AE7">
        <w:t xml:space="preserve"> tal-profittabbiltà tal-banek marbuta mal-politika monetarja u l-kundizzjonijiet ekonomiċi;</w:t>
      </w:r>
    </w:p>
    <w:p w14:paraId="0E36472B" w14:textId="76A69CEA" w:rsidR="00FE544F" w:rsidRPr="00753AE7" w:rsidRDefault="00FE544F" w:rsidP="00FE544F">
      <w:pPr>
        <w:pStyle w:val="NormalHanging12a"/>
      </w:pPr>
      <w:r w:rsidRPr="00753AE7">
        <w:t>1</w:t>
      </w:r>
      <w:r w:rsidR="00FA4766">
        <w:t>3</w:t>
      </w:r>
      <w:r w:rsidRPr="00753AE7">
        <w:t>.</w:t>
      </w:r>
      <w:r w:rsidRPr="00753AE7">
        <w:tab/>
        <w:t>Jistieden lill-Kummissjoni ssegwi l-impenn tagħha li tipproponi soluzzjonijiet innovattivi għat-tassazzjoni tas-settur li jnaqqsu l-frammentazzjoni, jappoġġjaw aktar integrazzjoni fil-livell tal-UE u jgħinu għat-tlestija tal-SIU;</w:t>
      </w:r>
    </w:p>
    <w:p w14:paraId="5354ECA6" w14:textId="77777777" w:rsidR="00FE544F" w:rsidRPr="00753AE7" w:rsidRDefault="00FE544F" w:rsidP="00FE544F">
      <w:pPr>
        <w:pStyle w:val="Normal12a"/>
      </w:pPr>
      <w:r w:rsidRPr="00753AE7">
        <w:rPr>
          <w:b/>
          <w:i/>
        </w:rPr>
        <w:t>L-indirizzar tar-reġim tal-VAT għas-servizzi finanzjarji</w:t>
      </w:r>
    </w:p>
    <w:p w14:paraId="7C0786B3" w14:textId="70DEC2AD" w:rsidR="00FE544F" w:rsidRPr="00753AE7" w:rsidRDefault="00FE544F" w:rsidP="00FE544F">
      <w:pPr>
        <w:pStyle w:val="NormalHanging12a"/>
      </w:pPr>
      <w:r w:rsidRPr="00753AE7">
        <w:lastRenderedPageBreak/>
        <w:t>1</w:t>
      </w:r>
      <w:r w:rsidR="00FA4766">
        <w:t>4</w:t>
      </w:r>
      <w:r w:rsidRPr="00753AE7">
        <w:t>.</w:t>
      </w:r>
      <w:r w:rsidRPr="00753AE7">
        <w:tab/>
        <w:t xml:space="preserve">Jinnota li l-eżenzjoni mill-VAT għas-servizzi finanzjarji tmur lura għall-1977, filwaqt li sservi biex jiġu evitati diffikultajiet tekniċi fl-applikazzjoni tal-VAT għas-servizzi finanzjarji kumplessi, u kienet meqjusa li ma tistax titħaddem </w:t>
      </w:r>
      <w:proofErr w:type="spellStart"/>
      <w:r w:rsidRPr="00753AE7">
        <w:t>amministrattivament</w:t>
      </w:r>
      <w:proofErr w:type="spellEnd"/>
      <w:r w:rsidRPr="00753AE7">
        <w:t>; jirrikonoxxi li l-ġustifikazzjoni teknika oriġinali għall-eżenzjoni mill-VAT issa tista’ tiġi indirizzata mir-realtajiet tal-progress teknoloġiku u d-diġitalizzazzjoni;</w:t>
      </w:r>
    </w:p>
    <w:p w14:paraId="47C77E88" w14:textId="2CDF68DA" w:rsidR="00FE544F" w:rsidRPr="00753AE7" w:rsidRDefault="00FE544F" w:rsidP="00FE544F">
      <w:pPr>
        <w:pStyle w:val="NormalHanging12a"/>
      </w:pPr>
      <w:r w:rsidRPr="00753AE7">
        <w:t>1</w:t>
      </w:r>
      <w:r w:rsidR="00FA4766">
        <w:t>5</w:t>
      </w:r>
      <w:r w:rsidRPr="00753AE7">
        <w:t>.</w:t>
      </w:r>
      <w:r w:rsidRPr="00753AE7">
        <w:tab/>
        <w:t xml:space="preserve">Josserva li l-eżenzjoni mhux neċessarjament tikkostitwixxi vantaġġ għall-istituzzjonijiet finanzjarji, peress li </w:t>
      </w:r>
      <w:proofErr w:type="spellStart"/>
      <w:r w:rsidRPr="00753AE7">
        <w:t>tipprevjenihom</w:t>
      </w:r>
      <w:proofErr w:type="spellEnd"/>
      <w:r w:rsidRPr="00753AE7">
        <w:t xml:space="preserve"> milli jirkupraw il-VAT; huwa tal-fehma li l-istatus </w:t>
      </w:r>
      <w:proofErr w:type="spellStart"/>
      <w:r w:rsidRPr="00753AE7">
        <w:t>quo</w:t>
      </w:r>
      <w:proofErr w:type="spellEnd"/>
      <w:r w:rsidRPr="00753AE7">
        <w:t xml:space="preserve"> </w:t>
      </w:r>
      <w:proofErr w:type="spellStart"/>
      <w:r w:rsidRPr="00753AE7">
        <w:t>jipperpetwa</w:t>
      </w:r>
      <w:proofErr w:type="spellEnd"/>
      <w:r w:rsidRPr="00753AE7">
        <w:t xml:space="preserve"> d-distorsjonijiet tas-suq, jista’ joħloq nuqqas ta’ trasparenza u jżid il-kostijiet għall-konsumaturi, isaħħaħ il-preġudizzju tal-valur meqjus ipprovdut fis-settur finanzjarju u joħloq </w:t>
      </w:r>
      <w:proofErr w:type="spellStart"/>
      <w:r w:rsidRPr="00753AE7">
        <w:t>żvantaġġi</w:t>
      </w:r>
      <w:proofErr w:type="spellEnd"/>
      <w:r w:rsidRPr="00753AE7">
        <w:t xml:space="preserve"> kompetittivi meta mqabbel ma’ istituzzjonijiet minn pajjiżi mhux tal-UE;</w:t>
      </w:r>
    </w:p>
    <w:p w14:paraId="4B4E0AD6" w14:textId="11C62C5E" w:rsidR="00FE544F" w:rsidRPr="00753AE7" w:rsidRDefault="00FE544F" w:rsidP="00FE544F">
      <w:pPr>
        <w:pStyle w:val="NormalHanging12a"/>
      </w:pPr>
      <w:r w:rsidRPr="00753AE7">
        <w:t>1</w:t>
      </w:r>
      <w:r w:rsidR="00FA4766">
        <w:t>6</w:t>
      </w:r>
      <w:r w:rsidRPr="00753AE7">
        <w:t>.</w:t>
      </w:r>
      <w:r w:rsidRPr="00753AE7">
        <w:tab/>
        <w:t>Jenfasizza li l-eżenzjonijiet mill-VAT spiss jingħataw lil attivitajiet ta’ interess ġenerali b’rikonoxximent tal-funzjoni soċjali essenzjali tagħhom; jissottolinja li ċerti servizzi finanzjarji ewlenin – b’mod partikolari s-servizzi ta’ pagament, it-teħid ta’ depożiti u l-forniment ta’ kreditu bażiku – jistgħu jwettqu funzjoni ta’ utilità kważi pubblika billi jissalvagwardjaw it-tfaddil, jiffaċilitaw l-iskambju ekonomiku u jiżguraw li l-persuni u n-negozji jkunu jistgħu jipparteċipaw fl-ekonomija b’mod sikur;</w:t>
      </w:r>
    </w:p>
    <w:p w14:paraId="0C028F02" w14:textId="7AA0DC53" w:rsidR="00FE544F" w:rsidRPr="00753AE7" w:rsidRDefault="00FE544F" w:rsidP="00FE544F">
      <w:pPr>
        <w:pStyle w:val="NormalHanging12a"/>
      </w:pPr>
      <w:r w:rsidRPr="00753AE7">
        <w:t>1</w:t>
      </w:r>
      <w:r w:rsidR="00FA4766">
        <w:t>7</w:t>
      </w:r>
      <w:r w:rsidRPr="00753AE7">
        <w:t>.</w:t>
      </w:r>
      <w:r w:rsidRPr="00753AE7">
        <w:tab/>
        <w:t xml:space="preserve">Jinnota li inizjattivi ripetuti tal-Kummissjoni, inklużi l-proposti tagħha tal-2007 u l-valutazzjoni tal-impatt tal-bidu tal-2020, ma </w:t>
      </w:r>
      <w:proofErr w:type="spellStart"/>
      <w:r w:rsidRPr="00753AE7">
        <w:t>rriżultawx</w:t>
      </w:r>
      <w:proofErr w:type="spellEnd"/>
      <w:r w:rsidRPr="00753AE7">
        <w:t xml:space="preserve"> f’riforma tal-eżenzjoni mill-VAT għas-settur finanzjarju minħabba li l-Istati Membri naqsu milli jilħqu ftehim unanimu; jinnota li dan l-aħħar il-Kummissjoni kellha l-ħsieb li tippubblika emendi għad-Direttiva tal-VAT</w:t>
      </w:r>
      <w:r w:rsidR="001D6B46">
        <w:rPr>
          <w:rStyle w:val="FootnoteReference"/>
        </w:rPr>
        <w:footnoteReference w:id="10"/>
      </w:r>
      <w:r w:rsidRPr="00753AE7">
        <w:t xml:space="preserve"> fil-bidu tal-2023; josserva li dawn il-pjanijiet waqfu, u b’hekk din ir-riforma essenzjali għadha pendenti;</w:t>
      </w:r>
    </w:p>
    <w:p w14:paraId="5934FC58" w14:textId="0831559D" w:rsidR="00FE544F" w:rsidRPr="00753AE7" w:rsidRDefault="00FE544F" w:rsidP="00FE544F">
      <w:pPr>
        <w:pStyle w:val="NormalHanging12a"/>
      </w:pPr>
      <w:r w:rsidRPr="00753AE7">
        <w:t>1</w:t>
      </w:r>
      <w:r w:rsidR="00FA4766">
        <w:t>8</w:t>
      </w:r>
      <w:r w:rsidRPr="00753AE7">
        <w:t>.</w:t>
      </w:r>
      <w:r w:rsidRPr="00753AE7">
        <w:tab/>
        <w:t>Jinnota li, skont l-Artikolu 11 tad-Direttiva tal-VAT, ir-</w:t>
      </w:r>
      <w:proofErr w:type="spellStart"/>
      <w:r w:rsidRPr="00753AE7">
        <w:t>raggruppament</w:t>
      </w:r>
      <w:proofErr w:type="spellEnd"/>
      <w:r w:rsidRPr="00753AE7">
        <w:t xml:space="preserve"> tal-VAT jibqa’ </w:t>
      </w:r>
      <w:proofErr w:type="spellStart"/>
      <w:r w:rsidRPr="00753AE7">
        <w:t>fakultattiv</w:t>
      </w:r>
      <w:proofErr w:type="spellEnd"/>
      <w:r w:rsidRPr="00753AE7">
        <w:t xml:space="preserve"> għall-Istati Membri u huwa limitat bil-limitazzjonijiet territorjali, u b’hekk joħloq ostakli legali u prattiċi għall-gruppi transfruntiera attivi fis-servizzi finanzjarji;</w:t>
      </w:r>
    </w:p>
    <w:p w14:paraId="60C193C8" w14:textId="67AE2C71" w:rsidR="00FE544F" w:rsidRPr="00753AE7" w:rsidRDefault="00FA4766" w:rsidP="00FE544F">
      <w:pPr>
        <w:pStyle w:val="NormalHanging12a"/>
      </w:pPr>
      <w:r>
        <w:t>19</w:t>
      </w:r>
      <w:r w:rsidR="00FE544F" w:rsidRPr="00753AE7">
        <w:t>.</w:t>
      </w:r>
      <w:r w:rsidR="00FE544F" w:rsidRPr="00753AE7">
        <w:tab/>
        <w:t xml:space="preserve">Jenfasizza li, minkejja l-użu ta’ arranġamenti ta’ </w:t>
      </w:r>
      <w:proofErr w:type="spellStart"/>
      <w:r w:rsidR="00FE544F" w:rsidRPr="00753AE7">
        <w:t>raggruppament</w:t>
      </w:r>
      <w:proofErr w:type="spellEnd"/>
      <w:r w:rsidR="00FE544F" w:rsidRPr="00753AE7">
        <w:t xml:space="preserve"> tal-VAT u ta’ kondiviżjoni tal-kostijiet f’xi Stati Membri, l-eżenzjoni mill-VAT, flimkien ma’ regoli tat-taxxa nazzjonali </w:t>
      </w:r>
      <w:proofErr w:type="spellStart"/>
      <w:r w:rsidR="00FE544F" w:rsidRPr="00753AE7">
        <w:t>kumpensatorji</w:t>
      </w:r>
      <w:proofErr w:type="spellEnd"/>
      <w:r w:rsidR="00FE544F" w:rsidRPr="00753AE7">
        <w:t xml:space="preserve"> differenti, bħal taxxi fuq il-</w:t>
      </w:r>
      <w:proofErr w:type="spellStart"/>
      <w:r w:rsidR="00FE544F" w:rsidRPr="00753AE7">
        <w:t>primjums</w:t>
      </w:r>
      <w:proofErr w:type="spellEnd"/>
      <w:r w:rsidR="00FE544F" w:rsidRPr="00753AE7">
        <w:t xml:space="preserve"> tal-assigurazzjoni, toħloq xenarju tat-taxxa kumpless u frammentat, li jagħmel il-konformità mar-regoli tat-taxxa transfruntiera għalja u jżid l-ispejjeż operatorji tad-ditti; jisħaq li huma meħtieġa definizzjonijiet aktar ċari tal-VAT u regoli simplifikati biex jitnaqqsu dawn il-piżijiet, tiġi żgurata applikazzjoni konsistenti tar-regoli madwar l-UE, tiġi ffaċilitata l-attività transfruntiera u tiġi appoġġjata l-innovazzjoni;</w:t>
      </w:r>
    </w:p>
    <w:p w14:paraId="7D4F5B5C" w14:textId="1FEBE509" w:rsidR="00FE544F" w:rsidRPr="00753AE7" w:rsidRDefault="00FE544F" w:rsidP="00FE544F">
      <w:pPr>
        <w:pStyle w:val="NormalHanging12a"/>
      </w:pPr>
      <w:r w:rsidRPr="00753AE7">
        <w:t>2</w:t>
      </w:r>
      <w:r w:rsidR="00FA4766">
        <w:t>0</w:t>
      </w:r>
      <w:r w:rsidRPr="00753AE7">
        <w:t>.</w:t>
      </w:r>
      <w:r w:rsidRPr="00753AE7">
        <w:tab/>
        <w:t>jinnota li r-</w:t>
      </w:r>
      <w:proofErr w:type="spellStart"/>
      <w:r w:rsidRPr="00753AE7">
        <w:t>raggruppament</w:t>
      </w:r>
      <w:proofErr w:type="spellEnd"/>
      <w:r w:rsidRPr="00753AE7">
        <w:t xml:space="preserve"> tal-VAT, li jista’ jnaqqas il-piżijiet amministrattivi għall-istituzzjonijiet finanzjarji u jtejjeb l-effiċjenza tagħhom, bħalissa qed jiġi applikat b’mod mhux uniformi madwar l-Istati Membri u huwa ġeneralment limitat għall-entitajiet stabbiliti fi ħdan Stat Membru wieħed; jenfasizza li konverġenza akbar fl-applikazzjoni tar-</w:t>
      </w:r>
      <w:proofErr w:type="spellStart"/>
      <w:r w:rsidRPr="00753AE7">
        <w:t>raggruppament</w:t>
      </w:r>
      <w:proofErr w:type="spellEnd"/>
      <w:r w:rsidRPr="00753AE7">
        <w:t xml:space="preserve"> tal-VAT tista’ tnaqqas il-frammentazzjoni u l-</w:t>
      </w:r>
      <w:r w:rsidRPr="00753AE7">
        <w:lastRenderedPageBreak/>
        <w:t>inċertezza legali fis-suq intern u tiffaċilita l-attività tas-servizzi finanzjarji transfruntiera;</w:t>
      </w:r>
    </w:p>
    <w:p w14:paraId="6870D45A" w14:textId="37BE5905" w:rsidR="00FE544F" w:rsidRPr="00753AE7" w:rsidRDefault="00FE544F" w:rsidP="00FE544F">
      <w:pPr>
        <w:pStyle w:val="NormalHanging12a"/>
      </w:pPr>
      <w:r w:rsidRPr="00753AE7">
        <w:t>2</w:t>
      </w:r>
      <w:r w:rsidR="00FA4766">
        <w:t>1</w:t>
      </w:r>
      <w:r w:rsidRPr="00753AE7">
        <w:t>.</w:t>
      </w:r>
      <w:r w:rsidRPr="00753AE7">
        <w:tab/>
        <w:t>Jistieden lill-Kummissjoni tħeġġeġ lill-Istati Membri jimplimentaw ir-</w:t>
      </w:r>
      <w:proofErr w:type="spellStart"/>
      <w:r w:rsidRPr="00753AE7">
        <w:t>raggruppament</w:t>
      </w:r>
      <w:proofErr w:type="spellEnd"/>
      <w:r w:rsidRPr="00753AE7">
        <w:t xml:space="preserve"> tal-VAT b’mod konsistenti u jesploraw għażliet għal qafas legali aktar ċar, inkluża l-possibbiltà ta’ </w:t>
      </w:r>
      <w:proofErr w:type="spellStart"/>
      <w:r w:rsidRPr="00753AE7">
        <w:t>raggruppament</w:t>
      </w:r>
      <w:proofErr w:type="spellEnd"/>
      <w:r w:rsidRPr="00753AE7">
        <w:t xml:space="preserve"> transfruntier tal-VAT; jisħaq li użu usa’ tar-</w:t>
      </w:r>
      <w:proofErr w:type="spellStart"/>
      <w:r w:rsidRPr="00753AE7">
        <w:t>raggruppament</w:t>
      </w:r>
      <w:proofErr w:type="spellEnd"/>
      <w:r w:rsidRPr="00753AE7">
        <w:t xml:space="preserve"> tal-VAT għas-servizzi finanzjarji u tal-assigurazzjoni jrid ikun konformi mar-regoli tat-taxxa korporattiva, b’mod partikolari dawk dwar l-ipprezzar ta’ trasferiment, u jrid ikun akkumpanjat minn salvagwardji vinkolanti kontra l-abbuż biex jiġu evitati l-frodi u l-</w:t>
      </w:r>
      <w:proofErr w:type="spellStart"/>
      <w:r w:rsidRPr="00753AE7">
        <w:t>evitar</w:t>
      </w:r>
      <w:proofErr w:type="spellEnd"/>
      <w:r w:rsidRPr="00753AE7">
        <w:t xml:space="preserve"> tat-taxxa, it-telf ta’ VAT </w:t>
      </w:r>
      <w:proofErr w:type="spellStart"/>
      <w:r w:rsidRPr="00753AE7">
        <w:t>intragrupp</w:t>
      </w:r>
      <w:proofErr w:type="spellEnd"/>
      <w:r w:rsidRPr="00753AE7">
        <w:t xml:space="preserve"> u l-abbuż mill-kondiviżjoni tal-kostijiet;</w:t>
      </w:r>
    </w:p>
    <w:p w14:paraId="4B8F6B51" w14:textId="1C69EAFD" w:rsidR="00FE544F" w:rsidRPr="00753AE7" w:rsidRDefault="00FE544F" w:rsidP="00FE544F">
      <w:pPr>
        <w:pStyle w:val="NormalHanging12a"/>
      </w:pPr>
      <w:r w:rsidRPr="00753AE7">
        <w:t>2</w:t>
      </w:r>
      <w:r w:rsidR="00FA4766">
        <w:t>2</w:t>
      </w:r>
      <w:r w:rsidRPr="00753AE7">
        <w:t>.</w:t>
      </w:r>
      <w:r w:rsidRPr="00753AE7">
        <w:tab/>
        <w:t xml:space="preserve">Jinnota li d-Direttiva tal-VAT ma għandhiex dispożizzjonijiet speċifiċi għal strumenti finanzjarji emerġenti, inklużi l-kriptoassi, il-finanzi deċentralizzati u t-teknoloġija finanzjarja; jenfasizza li, barra minn hekk, id-Direttiva ma </w:t>
      </w:r>
      <w:proofErr w:type="spellStart"/>
      <w:r w:rsidRPr="00753AE7">
        <w:t>tindirizzax</w:t>
      </w:r>
      <w:proofErr w:type="spellEnd"/>
      <w:r w:rsidRPr="00753AE7">
        <w:t xml:space="preserve"> it-trattament tal-VAT tad-derivattivi u li t-trattament tal-fondi ta’ investiment għadu diverġenti madwar l-Istati Membri; jinnota li dan wassal għal interpretazzjonijiet nazzjonali diverġenti tar-regoli tal-VAT, inċertezza legali għall-fornituri tas-servizzi u trattament mhux uniformi bejn is-servizzi finanzjarji tradizzjonali u dawk ġodda u jirriskja li jxekkel l-innovazzjoni u l-kompetittività;</w:t>
      </w:r>
    </w:p>
    <w:p w14:paraId="5814EE79" w14:textId="26689B0B" w:rsidR="00FE544F" w:rsidRPr="00753AE7" w:rsidRDefault="00FE544F" w:rsidP="00FE544F">
      <w:pPr>
        <w:pStyle w:val="NormalHanging12a"/>
      </w:pPr>
      <w:r w:rsidRPr="00753AE7">
        <w:t>2</w:t>
      </w:r>
      <w:r w:rsidR="00FA4766">
        <w:t>3</w:t>
      </w:r>
      <w:r w:rsidRPr="00753AE7">
        <w:t>.</w:t>
      </w:r>
      <w:r w:rsidRPr="00753AE7">
        <w:tab/>
        <w:t xml:space="preserve">jenfasizza li qafas tat-taxxa modern għandu jappoġġja l-innovazzjoni fit-teknoloġija finanzjarja u fil-finanzi diġitali u jevita li joħloq </w:t>
      </w:r>
      <w:proofErr w:type="spellStart"/>
      <w:r w:rsidRPr="00753AE7">
        <w:t>diżinċentivi</w:t>
      </w:r>
      <w:proofErr w:type="spellEnd"/>
      <w:r w:rsidRPr="00753AE7">
        <w:t xml:space="preserve"> regolatorji għall-parteċipanti ġodda fis-suq; jistieden lill-Kummissjoni tiċċara t-trattament tal-VAT tas-servizzi finanzjarji emerġenti sabiex tiġi żgurata n-newtralità teknoloġika u kundizzjonijiet ekwi madwar l-UE;</w:t>
      </w:r>
    </w:p>
    <w:p w14:paraId="360D6EF3" w14:textId="1610B224" w:rsidR="00FE544F" w:rsidRPr="00753AE7" w:rsidRDefault="00FE544F" w:rsidP="00FE544F">
      <w:pPr>
        <w:pStyle w:val="NormalHanging12a"/>
      </w:pPr>
      <w:r w:rsidRPr="00753AE7">
        <w:t>2</w:t>
      </w:r>
      <w:r w:rsidR="00FA4766">
        <w:t>4</w:t>
      </w:r>
      <w:r w:rsidRPr="00753AE7">
        <w:t>.</w:t>
      </w:r>
      <w:r w:rsidRPr="00753AE7">
        <w:tab/>
        <w:t xml:space="preserve">Iqis li eżenzjoni wiesgħa u mhux </w:t>
      </w:r>
      <w:proofErr w:type="spellStart"/>
      <w:r w:rsidRPr="00753AE7">
        <w:t>differenzjata</w:t>
      </w:r>
      <w:proofErr w:type="spellEnd"/>
      <w:r w:rsidRPr="00753AE7">
        <w:t xml:space="preserve"> mill-VAT għas-settur finanzjarju kollu tqajjem mistoqsijiet dwar il-konsistenza u l-bilanċ ġenerali tas-sistema tat-taxxa; jissottolinja li riforma tal-eżenzjoni mill-VAT tista’ tnaqqas id-distorsjonijiet u l-livell ta’ VAT </w:t>
      </w:r>
      <w:proofErr w:type="spellStart"/>
      <w:r w:rsidRPr="00753AE7">
        <w:t>irrekuperabbli</w:t>
      </w:r>
      <w:proofErr w:type="spellEnd"/>
      <w:r w:rsidRPr="00753AE7">
        <w:t xml:space="preserve"> mingħajr ma toħloq kumplessità amministrattiva sproporzjonata; jinnota li l-għażliet għat-tneħħija tal-eżenzjoni mill-VAT jistgħu effettivament jeliminaw il-VAT </w:t>
      </w:r>
      <w:proofErr w:type="spellStart"/>
      <w:r w:rsidRPr="00753AE7">
        <w:t>irrekuperabbli</w:t>
      </w:r>
      <w:proofErr w:type="spellEnd"/>
      <w:r w:rsidRPr="00753AE7">
        <w:t xml:space="preserve"> billi jippermettu lill-korporazzjonijiet finanzjarji jitolbu lura bis-sħiħ il-VAT li jħallsu fuq oġġetti u servizzi użati fl-operazzjonijiet tagħhom; jissottolinja li dan jelimina l-preġudizzju attwali lejn l-internalizzazzjoni tas-servizzi aktar milli l-esternalizzazzjoni tagħhom, li jista’ jillimita l-kapaċità ta’ kumpanija li </w:t>
      </w:r>
      <w:proofErr w:type="spellStart"/>
      <w:r w:rsidRPr="00753AE7">
        <w:t>tispeċjalizza</w:t>
      </w:r>
      <w:proofErr w:type="spellEnd"/>
      <w:r w:rsidRPr="00753AE7">
        <w:t>, taċċessa għarfien espert estern, u tkun innovattiva; jirrikonoxxi li din ir-riforma tista’ wkoll toħloq kundizzjonijiet ekwi fir-rigward ta’ ġuriżdizzjonijiet oħra u ssaħħaħ il-kompetittività internazzjonali tal-istituzzjonijiet finanzjarji tal-UE;</w:t>
      </w:r>
    </w:p>
    <w:p w14:paraId="3C6635B2" w14:textId="198ECAF3" w:rsidR="00FE544F" w:rsidRPr="00753AE7" w:rsidRDefault="00FE544F" w:rsidP="00FE544F">
      <w:pPr>
        <w:pStyle w:val="NormalHanging12a"/>
      </w:pPr>
      <w:r w:rsidRPr="00753AE7">
        <w:t>2</w:t>
      </w:r>
      <w:r w:rsidR="00FA4766">
        <w:t>5</w:t>
      </w:r>
      <w:r w:rsidRPr="00753AE7">
        <w:t>.</w:t>
      </w:r>
      <w:r w:rsidRPr="00753AE7">
        <w:tab/>
        <w:t>Ifakkar li l-VAT hija qafas tat-taxxa armonizzat fil-livell tal-UE, għalkemm l-Istati Membri għad għandhom ċertu marġini fl-implimentazzjoni tagħha; jirrikonoxxi, għalhekk, li riforma tas-sistema tal-VAT għas-servizzi finanzjarji għandha tiġi indirizzata fil-livell tal-UE;</w:t>
      </w:r>
    </w:p>
    <w:p w14:paraId="3826CA34" w14:textId="794E781E" w:rsidR="00FE544F" w:rsidRPr="00753AE7" w:rsidRDefault="00FE544F" w:rsidP="00FE544F">
      <w:pPr>
        <w:pStyle w:val="NormalHanging12a"/>
      </w:pPr>
      <w:r w:rsidRPr="00753AE7">
        <w:t>2</w:t>
      </w:r>
      <w:r w:rsidR="00FA4766">
        <w:t>6</w:t>
      </w:r>
      <w:r w:rsidRPr="00753AE7">
        <w:t>.</w:t>
      </w:r>
      <w:r w:rsidRPr="00753AE7">
        <w:tab/>
        <w:t xml:space="preserve">Jistieden lill-Kummissjoni tirrieżamina l-impatti tar-reġim attwali tal-VAT fuq is-settur finanzjarju u </w:t>
      </w:r>
      <w:proofErr w:type="spellStart"/>
      <w:r w:rsidRPr="00753AE7">
        <w:t>tikkondividi</w:t>
      </w:r>
      <w:proofErr w:type="spellEnd"/>
      <w:r w:rsidRPr="00753AE7">
        <w:t xml:space="preserve"> din l-analiżi pubblikament; jistieden lill-Kummissjoni tikkunsidra għażliet ta’ politika biex tindirizza l-impatti </w:t>
      </w:r>
      <w:proofErr w:type="spellStart"/>
      <w:r w:rsidRPr="00753AE7">
        <w:t>distorsivi</w:t>
      </w:r>
      <w:proofErr w:type="spellEnd"/>
      <w:r w:rsidRPr="00753AE7">
        <w:t xml:space="preserve"> identifikati; jenfasizza li kwalunkwe riforma bħal din għandha tnaqqas il-VAT </w:t>
      </w:r>
      <w:proofErr w:type="spellStart"/>
      <w:r w:rsidRPr="00753AE7">
        <w:t>irrekuperabbli</w:t>
      </w:r>
      <w:proofErr w:type="spellEnd"/>
      <w:r w:rsidRPr="00753AE7">
        <w:t xml:space="preserve"> u l-applikazzjoni </w:t>
      </w:r>
      <w:proofErr w:type="spellStart"/>
      <w:r w:rsidRPr="00753AE7">
        <w:t>frammentata</w:t>
      </w:r>
      <w:proofErr w:type="spellEnd"/>
      <w:r w:rsidRPr="00753AE7">
        <w:t xml:space="preserve"> tar-regoli, ittejjeb iċ-ċertezza legali u l-ġustizzja fiskali, u ssaħħaħ il-</w:t>
      </w:r>
      <w:r w:rsidRPr="00753AE7">
        <w:lastRenderedPageBreak/>
        <w:t>kompetittività tas-swieq finanzjarji tal-UE, filwaqt li tissalvagwardja l-istabbiltà finanzjarja u timminimizza l-arbitraġġ regolatorju bejn l-Istati Membri; jenfasizza li kwalunkwe riforma bħal din trid tissalvagwardja wkoll lill-konsumaturi u tkompli tiżgura li s-settur finanzjarju jagħti kontribut ġust għad-dħul pubbliku;</w:t>
      </w:r>
    </w:p>
    <w:p w14:paraId="4327ECE1" w14:textId="52630F15" w:rsidR="00FE544F" w:rsidRPr="00753AE7" w:rsidRDefault="00FE544F" w:rsidP="00FE544F">
      <w:pPr>
        <w:pStyle w:val="NormalHanging12a"/>
      </w:pPr>
      <w:r w:rsidRPr="00753AE7">
        <w:t>2</w:t>
      </w:r>
      <w:r w:rsidR="00FA4766">
        <w:t>7</w:t>
      </w:r>
      <w:r w:rsidRPr="00753AE7">
        <w:t>.</w:t>
      </w:r>
      <w:r w:rsidRPr="00753AE7">
        <w:tab/>
        <w:t xml:space="preserve">Jinnota li kwalunkwe proposta għar-reviżjoni tal-qafas tal-VAT għandha tkun ibbażata fuq analiżi fil-fond fil-livell </w:t>
      </w:r>
      <w:proofErr w:type="spellStart"/>
      <w:r w:rsidRPr="00753AE7">
        <w:t>makroekonomiku</w:t>
      </w:r>
      <w:proofErr w:type="spellEnd"/>
      <w:r w:rsidRPr="00753AE7">
        <w:t xml:space="preserve"> u mmappjar komprensiv tat-taxxa u l-imposti bankarji nazzjonali; jenfasizza li tali analiżi għandha tqis l-implikazzjonijiet amministrattivi għas-servizzi finanzjarji, l-interazzjoni bejn it-taxxi bankarji nazzjonali eżistenti, l-imposti tas-settur finanzjarju u s-sistema tal-VAT, u l-impatt fuq is-suq uniku;</w:t>
      </w:r>
    </w:p>
    <w:p w14:paraId="6DB75238" w14:textId="3D467FF5" w:rsidR="00FE544F" w:rsidRPr="00753AE7" w:rsidRDefault="00FE544F" w:rsidP="00FE544F">
      <w:pPr>
        <w:pStyle w:val="NormalHanging12a"/>
      </w:pPr>
      <w:r w:rsidRPr="00753AE7">
        <w:t>2</w:t>
      </w:r>
      <w:r w:rsidR="00FA4766">
        <w:t>8</w:t>
      </w:r>
      <w:r w:rsidRPr="00753AE7">
        <w:t>.</w:t>
      </w:r>
      <w:r w:rsidRPr="00753AE7">
        <w:tab/>
        <w:t>Jissottolinja li kwalunkwe bidla fit-trattament tal-VAT tas-servizzi finanzjarji trid tivvaluta bir-reqqa l-impatt fuq is-servizzi pprovduti lill-konsumaturi bl-imnut, b’mod partikolari l-unitajiet domestiċi b’introjtu baxx u medju, u tevita kwalunkwe kost ġenerali żejjed;</w:t>
      </w:r>
    </w:p>
    <w:p w14:paraId="2CDA306C" w14:textId="54A79FFC" w:rsidR="00FE544F" w:rsidRPr="00753AE7" w:rsidRDefault="00FA4766" w:rsidP="00FE544F">
      <w:pPr>
        <w:pStyle w:val="NormalHanging12a"/>
      </w:pPr>
      <w:r>
        <w:t>29</w:t>
      </w:r>
      <w:r w:rsidR="00FE544F" w:rsidRPr="00753AE7">
        <w:t>.</w:t>
      </w:r>
      <w:r w:rsidR="00FE544F" w:rsidRPr="00753AE7">
        <w:tab/>
        <w:t>Jistieden lill-Kummissjoni, bħala parti minn riforma possibbli tal-eżenzjoni tal-VAT, tivvaluta l-fattibbiltà li t-taxxi nazzjonali fuq il-</w:t>
      </w:r>
      <w:proofErr w:type="spellStart"/>
      <w:r w:rsidR="00FE544F" w:rsidRPr="00753AE7">
        <w:t>primjums</w:t>
      </w:r>
      <w:proofErr w:type="spellEnd"/>
      <w:r w:rsidR="00FE544F" w:rsidRPr="00753AE7">
        <w:t xml:space="preserve"> tal-assigurazzjoni jiġu sostitwiti bl-integrazzjoni sħiħa tas-servizzi tal-assigurazzjoni fis-sistema tal-VAT;</w:t>
      </w:r>
    </w:p>
    <w:p w14:paraId="49805F4C" w14:textId="77777777" w:rsidR="00FE544F" w:rsidRPr="00753AE7" w:rsidRDefault="00FE544F" w:rsidP="00FE544F">
      <w:pPr>
        <w:pStyle w:val="Normal12a"/>
      </w:pPr>
      <w:r w:rsidRPr="00753AE7">
        <w:rPr>
          <w:b/>
          <w:i/>
        </w:rPr>
        <w:t>Il-promozzjoni ta’ qafas tat-taxxa aktar koerenti għas-settur finanzjarju</w:t>
      </w:r>
    </w:p>
    <w:p w14:paraId="5CD4CC10" w14:textId="72FD7915" w:rsidR="00FE544F" w:rsidRPr="00753AE7" w:rsidRDefault="00FE544F" w:rsidP="00FE544F">
      <w:pPr>
        <w:pStyle w:val="NormalHanging12a"/>
      </w:pPr>
      <w:r w:rsidRPr="00753AE7">
        <w:t>3</w:t>
      </w:r>
      <w:r w:rsidR="00FA4766">
        <w:t>0</w:t>
      </w:r>
      <w:r w:rsidRPr="00753AE7">
        <w:t>.</w:t>
      </w:r>
      <w:r w:rsidRPr="00753AE7">
        <w:tab/>
        <w:t xml:space="preserve">Ifakkar li l-UE qed tiffaċċja diskrepanza sinifikanti fl-investiment ta’ EUR 750 sa 800 biljun fis-sena fir-rigward tal-ilħuq tal-objettivi klimatiċi, diġitali u ta’ awtonomija strateġika tagħha; ifakkar fl-impenn tal-Istati Membri u tal-UE li jżidu b’mod sostanzjali l-investiment Ewropew fid-difiża; jenfasizza li sabiex </w:t>
      </w:r>
      <w:proofErr w:type="spellStart"/>
      <w:r w:rsidRPr="00753AE7">
        <w:t>tirreaġixxi</w:t>
      </w:r>
      <w:proofErr w:type="spellEnd"/>
      <w:r w:rsidRPr="00753AE7">
        <w:t xml:space="preserve"> għal dawn l-isfidi, tassazzjoni ġusta u aktar koerenti tas-settur </w:t>
      </w:r>
      <w:proofErr w:type="spellStart"/>
      <w:r w:rsidRPr="00753AE7">
        <w:t>finanzjarjutista</w:t>
      </w:r>
      <w:proofErr w:type="spellEnd"/>
      <w:r w:rsidRPr="00753AE7">
        <w:t>’ tikkontribwixxi għall-mobilizzazzjoni tal-kapital privat, u b’hekk tistimula l-investiment bl-imnut, u ssaħħaħ is-swieq kapitali Ewropej, filwaqt li żżid id-dħul għall-investiment pubbliku għal prijoritajiet strateġiċi, u għall-ħtiġijiet soċjali, klimatiċi u ta’ investiment tagħna, u b’hekk issaħħaħ il-kompetittività tal-UE;</w:t>
      </w:r>
    </w:p>
    <w:p w14:paraId="6AA55967" w14:textId="011B1943" w:rsidR="00FE544F" w:rsidRPr="00753AE7" w:rsidRDefault="00FE544F" w:rsidP="00FE544F">
      <w:pPr>
        <w:pStyle w:val="NormalHanging12a"/>
      </w:pPr>
      <w:r w:rsidRPr="00753AE7">
        <w:t>3</w:t>
      </w:r>
      <w:r w:rsidR="00FA4766">
        <w:t>1</w:t>
      </w:r>
      <w:r w:rsidRPr="00753AE7">
        <w:t>.</w:t>
      </w:r>
      <w:r w:rsidRPr="00753AE7">
        <w:tab/>
        <w:t>Ifakkar, f’dan ir-rigward, fil-ftehim tal-2020 bejn il-Parlament, il-Kunsill u l-Kummissjoni dwar pjan direzzjonali għall-introduzzjoni ta’ riżorsi proprji ġodda, inkluża TTF ibbażata fuq ir-riżultati ta’ valutazzjoni tal-impatt;</w:t>
      </w:r>
    </w:p>
    <w:p w14:paraId="6463AB38" w14:textId="07A4D1EC" w:rsidR="00FE544F" w:rsidRPr="00753AE7" w:rsidRDefault="00FE544F" w:rsidP="00FE544F">
      <w:pPr>
        <w:pStyle w:val="NormalHanging12a"/>
      </w:pPr>
      <w:r w:rsidRPr="00753AE7">
        <w:t>3</w:t>
      </w:r>
      <w:r w:rsidR="00FA4766">
        <w:t>2</w:t>
      </w:r>
      <w:r w:rsidRPr="00753AE7">
        <w:t>.</w:t>
      </w:r>
      <w:r w:rsidRPr="00753AE7">
        <w:tab/>
        <w:t>Jirrikonoxxi n-nuqqas ta’ progress li sar dwar il-proposta TTF fil-Kunsill, minkejja dibattitu estensiv, kemm b’unanimità kif ukoll b’kooperazzjoni msaħħa, u jieħu nota tat-tħabbira tal-Kummissjoni dwar l-irtirar tal-proposta TTF fil-programm ta’ ħidma tagħha għall-2026;</w:t>
      </w:r>
    </w:p>
    <w:p w14:paraId="5EAC6546" w14:textId="5915EF26" w:rsidR="00FE544F" w:rsidRPr="00753AE7" w:rsidRDefault="00FE544F" w:rsidP="00FE544F">
      <w:pPr>
        <w:pStyle w:val="NormalHanging12a"/>
      </w:pPr>
      <w:r w:rsidRPr="00753AE7">
        <w:t>3</w:t>
      </w:r>
      <w:r w:rsidR="00FA4766">
        <w:t>3</w:t>
      </w:r>
      <w:r w:rsidRPr="00753AE7">
        <w:t>.</w:t>
      </w:r>
      <w:r w:rsidRPr="00753AE7">
        <w:tab/>
        <w:t>Huwa tal-fehma li valutazzjonijiet regolari tal-impatti ekonomiċi u r-rilevanza kontinwa tal-politika tat-tassazzjoni fis-settur finanzjarju huma kruċjali, sabiex jiġu evitati distorsjonijiet mhux intenzjonati jew dejjiema għas-swieq finanzjarji; jilqa’ l-fatt li l-Kummissjoni qed twettaq analiżi komprensiva tal-impatt potenzjali tat-tassazzjoni ġenerali tas-settur finanzjarju fuq il-funzjonament tas-suq, l-investiment transfruntier, u l-kompetittività tas-swieq finanzjarji tal-UE;</w:t>
      </w:r>
    </w:p>
    <w:p w14:paraId="16B617C8" w14:textId="398474C9" w:rsidR="00FE544F" w:rsidRPr="00753AE7" w:rsidRDefault="00FE544F" w:rsidP="00FE544F">
      <w:pPr>
        <w:pStyle w:val="NormalHanging12a"/>
      </w:pPr>
      <w:r w:rsidRPr="00753AE7">
        <w:t>3</w:t>
      </w:r>
      <w:r w:rsidR="00FA4766">
        <w:t>4</w:t>
      </w:r>
      <w:r w:rsidRPr="00753AE7">
        <w:t>.</w:t>
      </w:r>
      <w:r w:rsidRPr="00753AE7">
        <w:tab/>
        <w:t xml:space="preserve">Jenfasizza li r-regoli tat-taxxa għas-settur finanzjarju għandhom jiġu ssimplifikati u jiżguraw li s-settur jagħti kontribut finanzjarju ġust u sod, u għandhom ikunu ċari, </w:t>
      </w:r>
      <w:r w:rsidRPr="00753AE7">
        <w:lastRenderedPageBreak/>
        <w:t>trasparenti u prevedibbli sabiex titnaqqas il-frammentazzjoni, jiffaċilitaw l-investiment u l-attività transfruntiera filwaqt li jiggarantixxu livell għoli ta’ protezzjoni tal-konsumatur; jisħaq li dawn ir-regoli għandhom itejbu l-effiċjenza u l-allokazzjoni tal-kapital, jissalvagwardjaw l-istabbiltà u l-kompetittività tas-suq, u jimmitigaw il-kostijiet tal-konformità, b’mod partikolari għall-konsumaturi bl-imnut u l-intrapriżi żgħar u ta’ daqs medju;</w:t>
      </w:r>
    </w:p>
    <w:p w14:paraId="62BB15F7" w14:textId="77777777" w:rsidR="00FE544F" w:rsidRPr="00753AE7" w:rsidRDefault="00FE544F" w:rsidP="00FE544F">
      <w:pPr>
        <w:pStyle w:val="NormalCenter12a"/>
      </w:pPr>
      <w:r w:rsidRPr="00753AE7">
        <w:t>°</w:t>
      </w:r>
    </w:p>
    <w:p w14:paraId="3E469B6B" w14:textId="77777777" w:rsidR="00FE544F" w:rsidRPr="00753AE7" w:rsidRDefault="00FE544F" w:rsidP="00FE544F">
      <w:pPr>
        <w:pStyle w:val="NormalCenter12a"/>
      </w:pPr>
      <w:r w:rsidRPr="00753AE7">
        <w:t>°</w:t>
      </w:r>
      <w:r w:rsidRPr="00753AE7">
        <w:tab/>
        <w:t>°</w:t>
      </w:r>
    </w:p>
    <w:p w14:paraId="35C526EC" w14:textId="29811B70" w:rsidR="00753AE7" w:rsidRPr="00753AE7" w:rsidRDefault="00FE544F" w:rsidP="00753AE7">
      <w:pPr>
        <w:pStyle w:val="NormalHanging12a"/>
      </w:pPr>
      <w:r w:rsidRPr="00753AE7">
        <w:t>3</w:t>
      </w:r>
      <w:r w:rsidR="00FA4766">
        <w:t>5</w:t>
      </w:r>
      <w:r w:rsidRPr="00753AE7">
        <w:t>.</w:t>
      </w:r>
      <w:r w:rsidRPr="00753AE7">
        <w:tab/>
        <w:t>Jagħti istruzzjonijiet lill-President tiegħu biex tgħaddi din ir-riżoluzzjoni lill-Kunsill u lill-Kummissjoni.</w:t>
      </w:r>
    </w:p>
    <w:p w14:paraId="2FB4125A" w14:textId="693EC3EC" w:rsidR="00E365E1" w:rsidRPr="00753AE7" w:rsidRDefault="00E365E1" w:rsidP="007C49E7"/>
    <w:sectPr w:rsidR="00E365E1" w:rsidRPr="00753AE7" w:rsidSect="00753AE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374F2" w14:textId="77777777" w:rsidR="007C49E7" w:rsidRPr="00753AE7" w:rsidRDefault="007C49E7">
      <w:r w:rsidRPr="00753AE7">
        <w:separator/>
      </w:r>
    </w:p>
  </w:endnote>
  <w:endnote w:type="continuationSeparator" w:id="0">
    <w:p w14:paraId="5CB82C1D" w14:textId="77777777" w:rsidR="007C49E7" w:rsidRPr="00753AE7" w:rsidRDefault="007C49E7">
      <w:r w:rsidRPr="00753A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D9D8B" w14:textId="77777777" w:rsidR="00064002" w:rsidRPr="00753AE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90035" w14:textId="77777777" w:rsidR="00064002" w:rsidRPr="00753AE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4E969" w14:textId="77777777" w:rsidR="00064002" w:rsidRPr="00753AE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715A5" w14:textId="77777777" w:rsidR="007C49E7" w:rsidRPr="00753AE7" w:rsidRDefault="007C49E7">
      <w:r w:rsidRPr="00753AE7">
        <w:separator/>
      </w:r>
    </w:p>
  </w:footnote>
  <w:footnote w:type="continuationSeparator" w:id="0">
    <w:p w14:paraId="25AAE335" w14:textId="77777777" w:rsidR="007C49E7" w:rsidRPr="00753AE7" w:rsidRDefault="007C49E7">
      <w:r w:rsidRPr="00753AE7">
        <w:continuationSeparator/>
      </w:r>
    </w:p>
  </w:footnote>
  <w:footnote w:id="1">
    <w:p w14:paraId="776693AA" w14:textId="4158234A" w:rsidR="001D6B46" w:rsidRPr="00753AE7" w:rsidRDefault="001D6B46" w:rsidP="00753AE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753AE7">
        <w:rPr>
          <w:sz w:val="24"/>
          <w:lang w:val="mt-MT"/>
        </w:rPr>
        <w:t xml:space="preserve"> </w:t>
      </w:r>
      <w:r w:rsidRPr="00753AE7">
        <w:rPr>
          <w:sz w:val="24"/>
          <w:lang w:val="mt-MT"/>
        </w:rPr>
        <w:tab/>
        <w:t xml:space="preserve">ĠU L 150, 9.6.2023, p. 40, ELI: </w:t>
      </w:r>
      <w:hyperlink r:id="rId1" w:tgtFrame="http://data.europa.eu/eli/reg/2023/1114/oj" w:history="1">
        <w:r w:rsidRPr="00753AE7">
          <w:rPr>
            <w:rStyle w:val="Hyperlink"/>
            <w:sz w:val="24"/>
            <w:lang w:val="mt-MT"/>
          </w:rPr>
          <w:t>http://data.europa.eu/eli/reg/2023/1114/oj</w:t>
        </w:r>
      </w:hyperlink>
      <w:r w:rsidRPr="00753AE7">
        <w:rPr>
          <w:sz w:val="24"/>
          <w:lang w:val="mt-MT"/>
        </w:rPr>
        <w:t>.</w:t>
      </w:r>
    </w:p>
  </w:footnote>
  <w:footnote w:id="2">
    <w:p w14:paraId="7248A434" w14:textId="66C8449F" w:rsidR="001D6B46" w:rsidRPr="00753AE7" w:rsidRDefault="001D6B46" w:rsidP="00753AE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753AE7">
        <w:rPr>
          <w:sz w:val="24"/>
          <w:lang w:val="mt-MT"/>
        </w:rPr>
        <w:t xml:space="preserve"> </w:t>
      </w:r>
      <w:r w:rsidRPr="00753AE7">
        <w:rPr>
          <w:sz w:val="24"/>
          <w:lang w:val="mt-MT"/>
        </w:rPr>
        <w:tab/>
        <w:t xml:space="preserve">ĠU L 424, 15.12.2020, p. </w:t>
      </w:r>
      <w:r w:rsidRPr="00753AE7">
        <w:rPr>
          <w:sz w:val="24"/>
          <w:lang w:val="mt-MT"/>
        </w:rPr>
        <w:t xml:space="preserve">1, ELI: </w:t>
      </w:r>
      <w:hyperlink r:id="rId2" w:tgtFrame="http://data.europa.eu/eli/dec/2020/2053/oj" w:history="1">
        <w:r w:rsidRPr="00753AE7">
          <w:rPr>
            <w:rStyle w:val="Hyperlink"/>
            <w:sz w:val="24"/>
            <w:lang w:val="mt-MT"/>
          </w:rPr>
          <w:t>http://data.europa.eu/eli/dec/2020/2053/oj</w:t>
        </w:r>
      </w:hyperlink>
      <w:r w:rsidRPr="00753AE7">
        <w:rPr>
          <w:sz w:val="24"/>
          <w:lang w:val="mt-MT"/>
        </w:rPr>
        <w:t>.</w:t>
      </w:r>
    </w:p>
  </w:footnote>
  <w:footnote w:id="3">
    <w:p w14:paraId="73CA7544" w14:textId="135829CC" w:rsidR="001D6B46" w:rsidRPr="00753AE7" w:rsidRDefault="001D6B46" w:rsidP="00753AE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753AE7">
        <w:rPr>
          <w:sz w:val="24"/>
          <w:lang w:val="mt-MT"/>
        </w:rPr>
        <w:t xml:space="preserve"> </w:t>
      </w:r>
      <w:r w:rsidRPr="00753AE7">
        <w:rPr>
          <w:sz w:val="24"/>
          <w:lang w:val="mt-MT"/>
        </w:rPr>
        <w:tab/>
        <w:t>Studju – “</w:t>
      </w:r>
      <w:proofErr w:type="spellStart"/>
      <w:r w:rsidRPr="00753AE7">
        <w:rPr>
          <w:sz w:val="24"/>
          <w:lang w:val="mt-MT"/>
        </w:rPr>
        <w:t>The</w:t>
      </w:r>
      <w:proofErr w:type="spellEnd"/>
      <w:r w:rsidRPr="00753AE7">
        <w:rPr>
          <w:sz w:val="24"/>
          <w:lang w:val="mt-MT"/>
        </w:rPr>
        <w:t xml:space="preserve"> </w:t>
      </w:r>
      <w:proofErr w:type="spellStart"/>
      <w:r w:rsidRPr="00753AE7">
        <w:rPr>
          <w:sz w:val="24"/>
          <w:lang w:val="mt-MT"/>
        </w:rPr>
        <w:t>taxation</w:t>
      </w:r>
      <w:proofErr w:type="spellEnd"/>
      <w:r w:rsidRPr="00753AE7">
        <w:rPr>
          <w:sz w:val="24"/>
          <w:lang w:val="mt-MT"/>
        </w:rPr>
        <w:t xml:space="preserve"> of </w:t>
      </w:r>
      <w:proofErr w:type="spellStart"/>
      <w:r w:rsidRPr="00753AE7">
        <w:rPr>
          <w:sz w:val="24"/>
          <w:lang w:val="mt-MT"/>
        </w:rPr>
        <w:t>the</w:t>
      </w:r>
      <w:proofErr w:type="spellEnd"/>
      <w:r w:rsidRPr="00753AE7">
        <w:rPr>
          <w:sz w:val="24"/>
          <w:lang w:val="mt-MT"/>
        </w:rPr>
        <w:t xml:space="preserve"> EU’ s </w:t>
      </w:r>
      <w:proofErr w:type="spellStart"/>
      <w:r w:rsidRPr="00753AE7">
        <w:rPr>
          <w:sz w:val="24"/>
          <w:lang w:val="mt-MT"/>
        </w:rPr>
        <w:t>financial</w:t>
      </w:r>
      <w:proofErr w:type="spellEnd"/>
      <w:r w:rsidRPr="00753AE7">
        <w:rPr>
          <w:sz w:val="24"/>
          <w:lang w:val="mt-MT"/>
        </w:rPr>
        <w:t xml:space="preserve"> </w:t>
      </w:r>
      <w:proofErr w:type="spellStart"/>
      <w:r w:rsidRPr="00753AE7">
        <w:rPr>
          <w:sz w:val="24"/>
          <w:lang w:val="mt-MT"/>
        </w:rPr>
        <w:t>sector</w:t>
      </w:r>
      <w:proofErr w:type="spellEnd"/>
      <w:r w:rsidRPr="00753AE7">
        <w:rPr>
          <w:sz w:val="24"/>
          <w:lang w:val="mt-MT"/>
        </w:rPr>
        <w:t>” (It-tassazzjoni tas-settur finanzjarju tal-UE), il-Parlament Ewropew, id-Direttorat Ġenerali għall-Ekonomija, it-Trasformazzjoni u l-Industrija, id-Dipartiment Tematiku għall-Ekonomija u t-Tkabbir, Ġunju 2025.</w:t>
      </w:r>
    </w:p>
  </w:footnote>
  <w:footnote w:id="4">
    <w:p w14:paraId="28577AEE" w14:textId="6CBF3D60" w:rsidR="001D6B46" w:rsidRPr="00753AE7" w:rsidRDefault="001D6B46" w:rsidP="00753AE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753AE7">
        <w:rPr>
          <w:sz w:val="24"/>
          <w:lang w:val="mt-MT"/>
        </w:rPr>
        <w:t xml:space="preserve"> </w:t>
      </w:r>
      <w:r w:rsidRPr="00753AE7">
        <w:rPr>
          <w:sz w:val="24"/>
          <w:lang w:val="mt-MT"/>
        </w:rPr>
        <w:tab/>
        <w:t xml:space="preserve">ĠU L 433 I, 22.12.2020, p. 28. </w:t>
      </w:r>
      <w:r w:rsidRPr="00753AE7">
        <w:rPr>
          <w:sz w:val="24"/>
          <w:lang w:val="mt-MT"/>
        </w:rPr>
        <w:t xml:space="preserve">ELI: </w:t>
      </w:r>
      <w:hyperlink r:id="rId3" w:tgtFrame="http://data.europa.eu/eli/agree_interinstit/2020/1222/oj" w:history="1">
        <w:r w:rsidRPr="00753AE7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753AE7">
        <w:rPr>
          <w:sz w:val="24"/>
          <w:lang w:val="mt-MT"/>
        </w:rPr>
        <w:t>.</w:t>
      </w:r>
    </w:p>
  </w:footnote>
  <w:footnote w:id="5">
    <w:p w14:paraId="0112E019" w14:textId="219F4FCC" w:rsidR="001D6B46" w:rsidRPr="00753AE7" w:rsidRDefault="001D6B46" w:rsidP="00753AE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753AE7">
        <w:rPr>
          <w:sz w:val="24"/>
          <w:lang w:val="mt-MT"/>
        </w:rPr>
        <w:t xml:space="preserve"> </w:t>
      </w:r>
      <w:r w:rsidRPr="00753AE7">
        <w:rPr>
          <w:sz w:val="24"/>
          <w:lang w:val="mt-MT"/>
        </w:rPr>
        <w:tab/>
      </w:r>
      <w:r w:rsidRPr="00753AE7">
        <w:rPr>
          <w:sz w:val="24"/>
          <w:lang w:val="mt-MT"/>
        </w:rPr>
        <w:t xml:space="preserve">ĠU C, C/2023/1067, 15.12.2023, ELI: </w:t>
      </w:r>
      <w:hyperlink r:id="rId4" w:history="1">
        <w:r w:rsidRPr="00A23145">
          <w:rPr>
            <w:rStyle w:val="Hyperlink"/>
            <w:sz w:val="24"/>
            <w:lang w:val="mt-MT"/>
          </w:rPr>
          <w:t>http://data.europa.eu/eli/C/2023/1067/oj</w:t>
        </w:r>
      </w:hyperlink>
      <w:r w:rsidRPr="00753AE7">
        <w:rPr>
          <w:sz w:val="24"/>
          <w:lang w:val="mt-MT"/>
        </w:rPr>
        <w:t>.</w:t>
      </w:r>
    </w:p>
  </w:footnote>
  <w:footnote w:id="6">
    <w:p w14:paraId="40336DC0" w14:textId="4FB3BE96" w:rsidR="001D6B46" w:rsidRPr="00753AE7" w:rsidRDefault="001D6B46" w:rsidP="00753AE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753AE7">
        <w:rPr>
          <w:sz w:val="24"/>
          <w:lang w:val="mt-MT"/>
        </w:rPr>
        <w:t xml:space="preserve"> </w:t>
      </w:r>
      <w:r w:rsidRPr="00753AE7">
        <w:rPr>
          <w:sz w:val="24"/>
          <w:lang w:val="mt-MT"/>
        </w:rPr>
        <w:tab/>
      </w:r>
      <w:r w:rsidRPr="00753AE7">
        <w:rPr>
          <w:sz w:val="24"/>
          <w:lang w:val="mt-MT"/>
        </w:rPr>
        <w:t xml:space="preserve">ĠU L, 2025/2029, 8.10.2025, ELI: </w:t>
      </w:r>
      <w:hyperlink r:id="rId5" w:tgtFrame="http://data.europa.eu/eli/reco/2025/2029/oj" w:history="1">
        <w:r w:rsidRPr="00753AE7">
          <w:rPr>
            <w:rStyle w:val="Hyperlink"/>
            <w:sz w:val="24"/>
            <w:lang w:val="mt-MT"/>
          </w:rPr>
          <w:t>http://data.europa.eu/eli/reco/2025/2029/oj</w:t>
        </w:r>
      </w:hyperlink>
      <w:r w:rsidRPr="00753AE7">
        <w:rPr>
          <w:sz w:val="24"/>
          <w:lang w:val="mt-MT"/>
        </w:rPr>
        <w:t>.</w:t>
      </w:r>
    </w:p>
  </w:footnote>
  <w:footnote w:id="7">
    <w:p w14:paraId="3FC7B91F" w14:textId="5EDE446A" w:rsidR="001D6B46" w:rsidRPr="00753AE7" w:rsidRDefault="001D6B46" w:rsidP="00753AE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753AE7">
        <w:rPr>
          <w:sz w:val="24"/>
          <w:lang w:val="mt-MT"/>
        </w:rPr>
        <w:t xml:space="preserve"> </w:t>
      </w:r>
      <w:r w:rsidRPr="00753AE7">
        <w:rPr>
          <w:sz w:val="24"/>
          <w:lang w:val="mt-MT"/>
        </w:rPr>
        <w:tab/>
      </w:r>
      <w:r w:rsidRPr="00753AE7">
        <w:rPr>
          <w:sz w:val="24"/>
          <w:lang w:val="mt-MT"/>
        </w:rPr>
        <w:t xml:space="preserve">ĠU L, 2025/50, 10.1.2025, ELI: </w:t>
      </w:r>
      <w:hyperlink r:id="rId6" w:tgtFrame="http://data.europa.eu/eli/dir/2025/50/oj" w:history="1">
        <w:r w:rsidRPr="00753AE7">
          <w:rPr>
            <w:rStyle w:val="Hyperlink"/>
            <w:sz w:val="24"/>
            <w:lang w:val="mt-MT"/>
          </w:rPr>
          <w:t>http://data.europa.eu/eli/dir/2025/50/oj</w:t>
        </w:r>
      </w:hyperlink>
      <w:r w:rsidRPr="00753AE7">
        <w:rPr>
          <w:sz w:val="24"/>
          <w:lang w:val="mt-MT"/>
        </w:rPr>
        <w:t>.</w:t>
      </w:r>
    </w:p>
  </w:footnote>
  <w:footnote w:id="8">
    <w:p w14:paraId="31F9EE18" w14:textId="73692FFB" w:rsidR="001D6B46" w:rsidRPr="00753AE7" w:rsidRDefault="001D6B46" w:rsidP="00753AE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753AE7">
        <w:rPr>
          <w:sz w:val="24"/>
          <w:lang w:val="mt-MT"/>
        </w:rPr>
        <w:t xml:space="preserve"> </w:t>
      </w:r>
      <w:r w:rsidRPr="00753AE7">
        <w:rPr>
          <w:sz w:val="24"/>
          <w:lang w:val="mt-MT"/>
        </w:rPr>
        <w:tab/>
      </w:r>
      <w:r w:rsidRPr="00753AE7">
        <w:rPr>
          <w:sz w:val="24"/>
          <w:lang w:val="mt-MT"/>
        </w:rPr>
        <w:t xml:space="preserve">Ir-riżoluzzjoni leġiżlattiva tal-Parlament Ewropew tal-10 ta’ April 2024 dwar il-proposta għal direttiva tal-Kunsill li tistabbilixxi sistema ta’ Taxxa tal-Uffiċċju Reġistrat għall-intrapriżi mikro, żgħar u ta’ daqs medju, u li temenda d-Direttiva 2011/16/UE (ĠU C, C/2025/1326, 13.3.2025, ELI: </w:t>
      </w:r>
      <w:hyperlink r:id="rId7" w:tgtFrame="http://data.europa.eu/eli/C/2025/1326/oj" w:history="1">
        <w:r w:rsidRPr="00753AE7">
          <w:rPr>
            <w:rStyle w:val="Hyperlink"/>
            <w:sz w:val="24"/>
            <w:lang w:val="mt-MT"/>
          </w:rPr>
          <w:t>http://data.europa.eu/eli/C/2025/1326/oj</w:t>
        </w:r>
      </w:hyperlink>
      <w:r w:rsidRPr="00753AE7">
        <w:rPr>
          <w:sz w:val="24"/>
          <w:lang w:val="mt-MT"/>
        </w:rPr>
        <w:t>).</w:t>
      </w:r>
    </w:p>
  </w:footnote>
  <w:footnote w:id="9">
    <w:p w14:paraId="04902678" w14:textId="333C559F" w:rsidR="001D6B46" w:rsidRPr="00753AE7" w:rsidRDefault="001D6B46" w:rsidP="00753AE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753AE7">
        <w:rPr>
          <w:sz w:val="24"/>
          <w:lang w:val="mt-MT"/>
        </w:rPr>
        <w:t xml:space="preserve"> </w:t>
      </w:r>
      <w:r w:rsidRPr="00753AE7">
        <w:rPr>
          <w:sz w:val="24"/>
          <w:lang w:val="mt-MT"/>
        </w:rPr>
        <w:tab/>
        <w:t xml:space="preserve">Il-Kummissjoni Ewropea, “2026 </w:t>
      </w:r>
      <w:proofErr w:type="spellStart"/>
      <w:r w:rsidRPr="00753AE7">
        <w:rPr>
          <w:sz w:val="24"/>
          <w:lang w:val="mt-MT"/>
        </w:rPr>
        <w:t>European</w:t>
      </w:r>
      <w:proofErr w:type="spellEnd"/>
      <w:r w:rsidRPr="00753AE7">
        <w:rPr>
          <w:sz w:val="24"/>
          <w:lang w:val="mt-MT"/>
        </w:rPr>
        <w:t xml:space="preserve"> </w:t>
      </w:r>
      <w:proofErr w:type="spellStart"/>
      <w:r w:rsidRPr="00753AE7">
        <w:rPr>
          <w:sz w:val="24"/>
          <w:lang w:val="mt-MT"/>
        </w:rPr>
        <w:t>Macroeconomic</w:t>
      </w:r>
      <w:proofErr w:type="spellEnd"/>
      <w:r w:rsidRPr="00753AE7">
        <w:rPr>
          <w:sz w:val="24"/>
          <w:lang w:val="mt-MT"/>
        </w:rPr>
        <w:t xml:space="preserve"> </w:t>
      </w:r>
      <w:proofErr w:type="spellStart"/>
      <w:r w:rsidRPr="00753AE7">
        <w:rPr>
          <w:sz w:val="24"/>
          <w:lang w:val="mt-MT"/>
        </w:rPr>
        <w:t>Report</w:t>
      </w:r>
      <w:proofErr w:type="spellEnd"/>
      <w:r w:rsidRPr="00753AE7">
        <w:rPr>
          <w:sz w:val="24"/>
          <w:lang w:val="mt-MT"/>
        </w:rPr>
        <w:t xml:space="preserve">” (Ir-rapport </w:t>
      </w:r>
      <w:proofErr w:type="spellStart"/>
      <w:r w:rsidRPr="00753AE7">
        <w:rPr>
          <w:sz w:val="24"/>
          <w:lang w:val="mt-MT"/>
        </w:rPr>
        <w:t>makroekonomiku</w:t>
      </w:r>
      <w:proofErr w:type="spellEnd"/>
      <w:r w:rsidRPr="00753AE7">
        <w:rPr>
          <w:sz w:val="24"/>
          <w:lang w:val="mt-MT"/>
        </w:rPr>
        <w:t xml:space="preserve"> Ewropew tal-2026), Novembru 2025.</w:t>
      </w:r>
    </w:p>
  </w:footnote>
  <w:footnote w:id="10">
    <w:p w14:paraId="14AB2DAE" w14:textId="0B14F7A2" w:rsidR="001D6B46" w:rsidRPr="00753AE7" w:rsidRDefault="001D6B46" w:rsidP="00753AE7">
      <w:pPr>
        <w:pStyle w:val="FootnoteText"/>
        <w:ind w:left="567" w:hanging="567"/>
        <w:rPr>
          <w:sz w:val="24"/>
          <w:lang w:val="mt-MT"/>
        </w:rPr>
      </w:pPr>
      <w:r>
        <w:rPr>
          <w:rStyle w:val="FootnoteReference"/>
        </w:rPr>
        <w:footnoteRef/>
      </w:r>
      <w:r w:rsidRPr="00753AE7">
        <w:rPr>
          <w:sz w:val="24"/>
          <w:lang w:val="mt-MT"/>
        </w:rPr>
        <w:t xml:space="preserve"> </w:t>
      </w:r>
      <w:r w:rsidRPr="00753AE7">
        <w:rPr>
          <w:sz w:val="24"/>
          <w:lang w:val="mt-MT"/>
        </w:rPr>
        <w:tab/>
        <w:t xml:space="preserve">Id-Direttiva tal-Kunsill 2006/112/KE tat-28 ta’ Novembru 2006 dwar is-sistema komuni ta’ taxxa fuq il-valur miżjud (ĠU L 347, 11.12.2006, p. </w:t>
      </w:r>
      <w:r w:rsidRPr="00753AE7">
        <w:rPr>
          <w:sz w:val="24"/>
          <w:lang w:val="mt-MT"/>
        </w:rPr>
        <w:t xml:space="preserve">1, ELI: </w:t>
      </w:r>
      <w:hyperlink r:id="rId8" w:tgtFrame="http://data.europa.eu/eli/dir/2006/112/oj." w:history="1">
        <w:r w:rsidRPr="00753AE7">
          <w:rPr>
            <w:rStyle w:val="Hyperlink"/>
            <w:sz w:val="24"/>
            <w:lang w:val="mt-MT"/>
          </w:rPr>
          <w:t>http://data.europa.eu/eli/dir/2006/112/oj</w:t>
        </w:r>
      </w:hyperlink>
      <w:r w:rsidRPr="00753AE7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05134" w14:textId="77777777" w:rsidR="00064002" w:rsidRPr="00753AE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B8B38" w14:textId="77777777" w:rsidR="00064002" w:rsidRPr="00753AE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386BB" w14:textId="77777777" w:rsidR="00064002" w:rsidRPr="00753AE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11939484">
    <w:abstractNumId w:val="9"/>
  </w:num>
  <w:num w:numId="2" w16cid:durableId="1101678628">
    <w:abstractNumId w:val="9"/>
  </w:num>
  <w:num w:numId="3" w16cid:durableId="996344562">
    <w:abstractNumId w:val="7"/>
  </w:num>
  <w:num w:numId="4" w16cid:durableId="1099565133">
    <w:abstractNumId w:val="7"/>
  </w:num>
  <w:num w:numId="5" w16cid:durableId="1568415291">
    <w:abstractNumId w:val="6"/>
  </w:num>
  <w:num w:numId="6" w16cid:durableId="1108692736">
    <w:abstractNumId w:val="6"/>
  </w:num>
  <w:num w:numId="7" w16cid:durableId="1187020058">
    <w:abstractNumId w:val="5"/>
  </w:num>
  <w:num w:numId="8" w16cid:durableId="1561592493">
    <w:abstractNumId w:val="5"/>
  </w:num>
  <w:num w:numId="9" w16cid:durableId="1592005681">
    <w:abstractNumId w:val="4"/>
  </w:num>
  <w:num w:numId="10" w16cid:durableId="1823540850">
    <w:abstractNumId w:val="4"/>
  </w:num>
  <w:num w:numId="11" w16cid:durableId="546769283">
    <w:abstractNumId w:val="8"/>
  </w:num>
  <w:num w:numId="12" w16cid:durableId="1565868381">
    <w:abstractNumId w:val="8"/>
  </w:num>
  <w:num w:numId="13" w16cid:durableId="2518283">
    <w:abstractNumId w:val="3"/>
  </w:num>
  <w:num w:numId="14" w16cid:durableId="9186455">
    <w:abstractNumId w:val="3"/>
  </w:num>
  <w:num w:numId="15" w16cid:durableId="295530145">
    <w:abstractNumId w:val="2"/>
  </w:num>
  <w:num w:numId="16" w16cid:durableId="507642579">
    <w:abstractNumId w:val="2"/>
  </w:num>
  <w:num w:numId="17" w16cid:durableId="61754512">
    <w:abstractNumId w:val="1"/>
  </w:num>
  <w:num w:numId="18" w16cid:durableId="1589538779">
    <w:abstractNumId w:val="1"/>
  </w:num>
  <w:num w:numId="19" w16cid:durableId="259922285">
    <w:abstractNumId w:val="0"/>
  </w:num>
  <w:num w:numId="20" w16cid:durableId="857699002">
    <w:abstractNumId w:val="0"/>
  </w:num>
  <w:num w:numId="21" w16cid:durableId="885799106">
    <w:abstractNumId w:val="9"/>
  </w:num>
  <w:num w:numId="22" w16cid:durableId="41294523">
    <w:abstractNumId w:val="7"/>
  </w:num>
  <w:num w:numId="23" w16cid:durableId="1432629286">
    <w:abstractNumId w:val="6"/>
  </w:num>
  <w:num w:numId="24" w16cid:durableId="1522937144">
    <w:abstractNumId w:val="5"/>
  </w:num>
  <w:num w:numId="25" w16cid:durableId="291907783">
    <w:abstractNumId w:val="4"/>
  </w:num>
  <w:num w:numId="26" w16cid:durableId="731386998">
    <w:abstractNumId w:val="8"/>
  </w:num>
  <w:num w:numId="27" w16cid:durableId="2119596414">
    <w:abstractNumId w:val="3"/>
  </w:num>
  <w:num w:numId="28" w16cid:durableId="931084384">
    <w:abstractNumId w:val="2"/>
  </w:num>
  <w:num w:numId="29" w16cid:durableId="2083332990">
    <w:abstractNumId w:val="1"/>
  </w:num>
  <w:num w:numId="30" w16cid:durableId="229729629">
    <w:abstractNumId w:val="0"/>
  </w:num>
  <w:num w:numId="31" w16cid:durableId="1274703723">
    <w:abstractNumId w:val="9"/>
  </w:num>
  <w:num w:numId="32" w16cid:durableId="196549483">
    <w:abstractNumId w:val="7"/>
  </w:num>
  <w:num w:numId="33" w16cid:durableId="1940525028">
    <w:abstractNumId w:val="6"/>
  </w:num>
  <w:num w:numId="34" w16cid:durableId="108744606">
    <w:abstractNumId w:val="5"/>
  </w:num>
  <w:num w:numId="35" w16cid:durableId="1220169201">
    <w:abstractNumId w:val="4"/>
  </w:num>
  <w:num w:numId="36" w16cid:durableId="1578517476">
    <w:abstractNumId w:val="8"/>
  </w:num>
  <w:num w:numId="37" w16cid:durableId="1286962971">
    <w:abstractNumId w:val="3"/>
  </w:num>
  <w:num w:numId="38" w16cid:durableId="384527446">
    <w:abstractNumId w:val="2"/>
  </w:num>
  <w:num w:numId="39" w16cid:durableId="1756050462">
    <w:abstractNumId w:val="1"/>
  </w:num>
  <w:num w:numId="40" w16cid:durableId="1093669923">
    <w:abstractNumId w:val="0"/>
  </w:num>
  <w:num w:numId="41" w16cid:durableId="1465149723">
    <w:abstractNumId w:val="10"/>
  </w:num>
  <w:num w:numId="42" w16cid:durableId="1969776681">
    <w:abstractNumId w:val="10"/>
  </w:num>
  <w:num w:numId="43" w16cid:durableId="2072078607">
    <w:abstractNumId w:val="10"/>
  </w:num>
  <w:num w:numId="44" w16cid:durableId="3856397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6"/>
    <w:docVar w:name="dvlangue" w:val="MT"/>
    <w:docVar w:name="dvnumam" w:val="0"/>
    <w:docVar w:name="dvpe" w:val="779.360"/>
    <w:docVar w:name="dvrapporteur" w:val="Rapporteur: "/>
    <w:docVar w:name="dvtitre" w:val="Riżoluzzjoni tal-Parlament Ewropew xx xx xxxx 2026 dwar qafas tat-taxxa koerenti għas-settur finanzjarju tal-UE(2024/2117(INI))"/>
  </w:docVars>
  <w:rsids>
    <w:rsidRoot w:val="007C49E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B46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4B11"/>
    <w:rsid w:val="006631B6"/>
    <w:rsid w:val="00680577"/>
    <w:rsid w:val="006F74FA"/>
    <w:rsid w:val="00731ADD"/>
    <w:rsid w:val="00734777"/>
    <w:rsid w:val="00747932"/>
    <w:rsid w:val="00751A4A"/>
    <w:rsid w:val="00753AE7"/>
    <w:rsid w:val="00756632"/>
    <w:rsid w:val="00762C74"/>
    <w:rsid w:val="00786EC0"/>
    <w:rsid w:val="007C49E7"/>
    <w:rsid w:val="007D1690"/>
    <w:rsid w:val="007E22AD"/>
    <w:rsid w:val="00817416"/>
    <w:rsid w:val="00842779"/>
    <w:rsid w:val="00862D8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4712"/>
    <w:rsid w:val="00A13197"/>
    <w:rsid w:val="00A1687D"/>
    <w:rsid w:val="00A23145"/>
    <w:rsid w:val="00A24E61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9E3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089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766"/>
    <w:rsid w:val="00FB4360"/>
    <w:rsid w:val="00FD0C70"/>
    <w:rsid w:val="00FE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085057"/>
  <w15:chartTrackingRefBased/>
  <w15:docId w15:val="{141B9AD2-FE08-467C-A26D-BDFEB9C0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FE544F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FE544F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FE544F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FE544F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FE544F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FE544F"/>
    <w:rPr>
      <w:color w:val="0000FF"/>
      <w:u w:val="single"/>
    </w:rPr>
  </w:style>
  <w:style w:type="paragraph" w:styleId="Revision">
    <w:name w:val="Revision"/>
    <w:hidden/>
    <w:uiPriority w:val="99"/>
    <w:semiHidden/>
    <w:rsid w:val="001D6B46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A231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6/112/oj.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://data.europa.eu/eli/C/2025/1326/oj" TargetMode="External"/><Relationship Id="rId2" Type="http://schemas.openxmlformats.org/officeDocument/2006/relationships/hyperlink" Target="http://data.europa.eu/eli/dec/2020/2053/oj" TargetMode="External"/><Relationship Id="rId1" Type="http://schemas.openxmlformats.org/officeDocument/2006/relationships/hyperlink" Target="http://data.europa.eu/eli/reg/2023/1114/oj" TargetMode="External"/><Relationship Id="rId6" Type="http://schemas.openxmlformats.org/officeDocument/2006/relationships/hyperlink" Target="http://data.europa.eu/eli/dir/2025/50/oj" TargetMode="External"/><Relationship Id="rId5" Type="http://schemas.openxmlformats.org/officeDocument/2006/relationships/hyperlink" Target="http://data.europa.eu/eli/reco/2025/2029/oj" TargetMode="External"/><Relationship Id="rId4" Type="http://schemas.openxmlformats.org/officeDocument/2006/relationships/hyperlink" Target="http://data.europa.eu/eli/C/2023/10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3192</Words>
  <Characters>24808</Characters>
  <Application>Microsoft Office Word</Application>
  <DocSecurity>0</DocSecurity>
  <Lines>206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2026-07-07T13:59:00Z</dcterms:created>
  <dcterms:modified xsi:type="dcterms:W3CDTF">2026-07-07T13:59:00Z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A10-0169/2026</vt:lpwstr>
  </property>
  <property fmtid="{D5CDD505-2E9C-101B-9397-08002B2CF9AE}" pid="4" name="&lt;Type&gt;">
    <vt:lpwstr>RR</vt:lpwstr>
  </property>
</Properties>
</file>