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F7264" w14:paraId="05A0FBB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6A02B5" w14:textId="77777777" w:rsidR="00751A4A" w:rsidRPr="009F7264" w:rsidRDefault="00AA2C07" w:rsidP="0010095E">
            <w:pPr>
              <w:pStyle w:val="EPName"/>
            </w:pPr>
            <w:r w:rsidRPr="009F7264">
              <w:t>Parlament Europejski</w:t>
            </w:r>
          </w:p>
          <w:p w14:paraId="28F693C0" w14:textId="77777777" w:rsidR="00751A4A" w:rsidRPr="009F726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F7264">
              <w:t>2024</w:t>
            </w:r>
            <w:r w:rsidR="00817416" w:rsidRPr="009F7264">
              <w:t>-202</w:t>
            </w:r>
            <w:r w:rsidRPr="009F7264">
              <w:t>9</w:t>
            </w:r>
          </w:p>
        </w:tc>
        <w:tc>
          <w:tcPr>
            <w:tcW w:w="2268" w:type="dxa"/>
            <w:shd w:val="clear" w:color="auto" w:fill="auto"/>
          </w:tcPr>
          <w:p w14:paraId="168EF6DB" w14:textId="77777777" w:rsidR="00751A4A" w:rsidRPr="009F7264" w:rsidRDefault="00187494" w:rsidP="0010095E">
            <w:pPr>
              <w:pStyle w:val="EPLogo"/>
            </w:pPr>
            <w:r w:rsidRPr="009F7264">
              <w:rPr>
                <w:noProof/>
                <w:lang w:eastAsia="ja-JP"/>
              </w:rPr>
              <w:drawing>
                <wp:inline distT="0" distB="0" distL="0" distR="0" wp14:anchorId="65D907F6" wp14:editId="521367F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E45766" w14:textId="77777777" w:rsidR="00D058B8" w:rsidRPr="009F7264" w:rsidRDefault="00D058B8" w:rsidP="004C5D52">
      <w:pPr>
        <w:pStyle w:val="LineTop"/>
      </w:pPr>
    </w:p>
    <w:p w14:paraId="51F989F8" w14:textId="77777777" w:rsidR="00680577" w:rsidRPr="009F7264" w:rsidRDefault="00AA2C07" w:rsidP="00680577">
      <w:pPr>
        <w:pStyle w:val="EPBodyTA1"/>
      </w:pPr>
      <w:r w:rsidRPr="009F7264">
        <w:t>TEKSTY PRZYJĘTE</w:t>
      </w:r>
    </w:p>
    <w:p w14:paraId="6D2EC57C" w14:textId="77777777" w:rsidR="00D058B8" w:rsidRPr="009F7264" w:rsidRDefault="00D058B8" w:rsidP="00D058B8">
      <w:pPr>
        <w:pStyle w:val="LineBottom"/>
      </w:pPr>
    </w:p>
    <w:p w14:paraId="365B1072" w14:textId="4E71E546" w:rsidR="00AA2C07" w:rsidRPr="009F7264" w:rsidRDefault="00AA2C07" w:rsidP="00AA2C07">
      <w:pPr>
        <w:pStyle w:val="ATHeading1"/>
      </w:pPr>
      <w:bookmarkStart w:id="0" w:name="TANumber"/>
      <w:r w:rsidRPr="009F7264">
        <w:t>P10_TA(2026)0</w:t>
      </w:r>
      <w:r w:rsidR="004B423D">
        <w:t>248</w:t>
      </w:r>
      <w:bookmarkEnd w:id="0"/>
    </w:p>
    <w:p w14:paraId="5E92BC8E" w14:textId="7AC075C3" w:rsidR="00AA2C07" w:rsidRPr="00221796" w:rsidRDefault="00221796" w:rsidP="00AA2C07">
      <w:pPr>
        <w:pStyle w:val="ATHeading2"/>
      </w:pPr>
      <w:r w:rsidRPr="00221796">
        <w:t>Spójne ramy podatkowe dla sektora finansowego UE</w:t>
      </w:r>
    </w:p>
    <w:p w14:paraId="3E5876F1" w14:textId="77777777" w:rsidR="00AA2C07" w:rsidRPr="009F7264" w:rsidRDefault="00AA2C07" w:rsidP="00AA2C07">
      <w:pPr>
        <w:rPr>
          <w:i/>
          <w:vanish/>
        </w:rPr>
      </w:pPr>
      <w:r w:rsidRPr="009F7264">
        <w:rPr>
          <w:i/>
        </w:rPr>
        <w:fldChar w:fldCharType="begin"/>
      </w:r>
      <w:r w:rsidRPr="009F7264">
        <w:rPr>
          <w:i/>
        </w:rPr>
        <w:instrText xml:space="preserve"> TC"(</w:instrText>
      </w:r>
      <w:bookmarkStart w:id="1" w:name="DocNumber"/>
      <w:r w:rsidRPr="009F7264">
        <w:rPr>
          <w:i/>
        </w:rPr>
        <w:instrText>A10-0169/2026</w:instrText>
      </w:r>
      <w:bookmarkEnd w:id="1"/>
      <w:r w:rsidRPr="009F7264">
        <w:rPr>
          <w:i/>
        </w:rPr>
        <w:instrText xml:space="preserve"> - Sprawozdawca: </w:instrText>
      </w:r>
      <w:proofErr w:type="spellStart"/>
      <w:r w:rsidRPr="009F7264">
        <w:rPr>
          <w:i/>
        </w:rPr>
        <w:instrText>Matthias</w:instrText>
      </w:r>
      <w:proofErr w:type="spellEnd"/>
      <w:r w:rsidRPr="009F7264">
        <w:rPr>
          <w:i/>
        </w:rPr>
        <w:instrText xml:space="preserve"> </w:instrText>
      </w:r>
      <w:proofErr w:type="spellStart"/>
      <w:r w:rsidRPr="009F7264">
        <w:rPr>
          <w:i/>
        </w:rPr>
        <w:instrText>Ecke</w:instrText>
      </w:r>
      <w:proofErr w:type="spellEnd"/>
      <w:r w:rsidRPr="009F7264">
        <w:rPr>
          <w:i/>
        </w:rPr>
        <w:instrText xml:space="preserve">)"\l3 \n&gt; \* MERGEFORMAT </w:instrText>
      </w:r>
      <w:r w:rsidRPr="009F7264">
        <w:rPr>
          <w:i/>
        </w:rPr>
        <w:fldChar w:fldCharType="end"/>
      </w:r>
    </w:p>
    <w:p w14:paraId="62D7CFD8" w14:textId="77777777" w:rsidR="00AA2C07" w:rsidRPr="009F7264" w:rsidRDefault="00AA2C07" w:rsidP="00AA2C07">
      <w:pPr>
        <w:rPr>
          <w:vanish/>
        </w:rPr>
      </w:pPr>
      <w:bookmarkStart w:id="2" w:name="Commission"/>
      <w:r w:rsidRPr="009F7264">
        <w:rPr>
          <w:vanish/>
        </w:rPr>
        <w:t>Komisja Gospodarcza i Monetarna</w:t>
      </w:r>
      <w:bookmarkEnd w:id="2"/>
    </w:p>
    <w:p w14:paraId="0C4D7893" w14:textId="77777777" w:rsidR="00AA2C07" w:rsidRPr="009F7264" w:rsidRDefault="00AA2C07" w:rsidP="00AA2C07">
      <w:pPr>
        <w:rPr>
          <w:vanish/>
        </w:rPr>
      </w:pPr>
      <w:bookmarkStart w:id="3" w:name="PE"/>
      <w:r w:rsidRPr="009F7264">
        <w:rPr>
          <w:vanish/>
        </w:rPr>
        <w:t>PE779.360</w:t>
      </w:r>
      <w:bookmarkEnd w:id="3"/>
    </w:p>
    <w:p w14:paraId="1317507C" w14:textId="2E586EF9" w:rsidR="00AA2C07" w:rsidRPr="009F7264" w:rsidRDefault="00AA2C07" w:rsidP="00AA2C07">
      <w:pPr>
        <w:pStyle w:val="ATHeading3"/>
      </w:pPr>
      <w:bookmarkStart w:id="4" w:name="Sujet"/>
      <w:r w:rsidRPr="009F7264">
        <w:t xml:space="preserve">Rezolucja Parlamentu Europejskiego z dnia </w:t>
      </w:r>
      <w:r w:rsidR="00221796">
        <w:t>7 lipca</w:t>
      </w:r>
      <w:r w:rsidRPr="009F7264">
        <w:t xml:space="preserve"> 2026 r. w sprawie spójnych ram podatkowych dla sektora finansowego UE</w:t>
      </w:r>
      <w:bookmarkEnd w:id="4"/>
      <w:r w:rsidRPr="009F7264">
        <w:t xml:space="preserve"> </w:t>
      </w:r>
      <w:bookmarkStart w:id="5" w:name="References"/>
      <w:r w:rsidRPr="009F7264">
        <w:t>(2024/2117(INI))</w:t>
      </w:r>
      <w:bookmarkEnd w:id="5"/>
    </w:p>
    <w:p w14:paraId="6210CFBF" w14:textId="77777777" w:rsidR="00B5635A" w:rsidRPr="009F7264" w:rsidRDefault="00B5635A" w:rsidP="00B5635A">
      <w:pPr>
        <w:pStyle w:val="Normal12"/>
      </w:pPr>
      <w:r w:rsidRPr="009F7264">
        <w:t>Parlament Europejski,</w:t>
      </w:r>
    </w:p>
    <w:p w14:paraId="39FEC28E" w14:textId="77777777" w:rsidR="00B5635A" w:rsidRPr="009F7264" w:rsidRDefault="00B5635A" w:rsidP="00B5635A">
      <w:pPr>
        <w:pStyle w:val="NormalHanging"/>
      </w:pPr>
      <w:r w:rsidRPr="009F7264">
        <w:t>–</w:t>
      </w:r>
      <w:r w:rsidRPr="009F7264">
        <w:tab/>
        <w:t>uwzględniając Traktat o funkcjonowaniu Unii Europejskiej, w szczególności jego art. 113, 114 i 115,</w:t>
      </w:r>
    </w:p>
    <w:p w14:paraId="7D7A9833" w14:textId="77777777" w:rsidR="00B5635A" w:rsidRPr="009F7264" w:rsidRDefault="00B5635A" w:rsidP="00B5635A">
      <w:pPr>
        <w:pStyle w:val="NormalHanging"/>
      </w:pPr>
      <w:r w:rsidRPr="009F7264">
        <w:t>–</w:t>
      </w:r>
      <w:r w:rsidRPr="009F7264">
        <w:tab/>
        <w:t>uwzględniając wniosek Komisji z dnia 28 września 2011 r. dotyczący dyrektywy Rady w sprawie wspólnego systemu podatku od transakcji finansowych i zmieniającej dyrektywę 2008/7/WE (COM(2011)0594),</w:t>
      </w:r>
    </w:p>
    <w:p w14:paraId="632DDBD4" w14:textId="77777777" w:rsidR="00B5635A" w:rsidRPr="009F7264" w:rsidRDefault="00B5635A" w:rsidP="00B5635A">
      <w:pPr>
        <w:pStyle w:val="NormalHanging"/>
      </w:pPr>
      <w:r w:rsidRPr="009F7264">
        <w:t>–</w:t>
      </w:r>
      <w:r w:rsidRPr="009F7264">
        <w:tab/>
        <w:t>uwzględniając wniosek Komisji z dnia 14 lutego 2013 r. dotyczący dyrektywy Rady w sprawie wdrożenia wzmocnionej współpracy w dziedzinie podatku od transakcji finansowych (COM(2013)0071) (wniosek w sprawie PTF),</w:t>
      </w:r>
    </w:p>
    <w:p w14:paraId="7157453B" w14:textId="77777777" w:rsidR="00B5635A" w:rsidRPr="009F7264" w:rsidRDefault="00B5635A" w:rsidP="00B5635A">
      <w:pPr>
        <w:pStyle w:val="NormalHanging"/>
      </w:pPr>
      <w:r w:rsidRPr="009F7264">
        <w:t>–</w:t>
      </w:r>
      <w:r w:rsidRPr="009F7264">
        <w:tab/>
        <w:t>uwzględniając wniosek Komisji z dnia 28 listopada 2007 r. dotyczący rozporządzenia Rady ustanawiającego przepisy wykonawcze do dyrektywy 2006/112/WE w sprawie wspólnego systemu podatku od wartości dodanej w odniesieniu do opodatkowania usług ubezpieczeniowych i finansowych (COM(2007)0746),</w:t>
      </w:r>
    </w:p>
    <w:p w14:paraId="3C07D3E2" w14:textId="77777777" w:rsidR="00B5635A" w:rsidRPr="009F7264" w:rsidRDefault="00B5635A" w:rsidP="00B5635A">
      <w:pPr>
        <w:pStyle w:val="NormalHanging"/>
      </w:pPr>
      <w:r w:rsidRPr="009F7264">
        <w:t>–</w:t>
      </w:r>
      <w:r w:rsidRPr="009F7264">
        <w:tab/>
        <w:t>uwzględniając wniosek Komisji z dnia 28 listopada 2007 r. dotyczący dyrektywy Rady zmieniającej dyrektywę 2006/112/WE w sprawie wspólnego systemu podatku od wartości dodanej w odniesieniu do opodatkowania usług ubezpieczeniowych i finansowych (COM(2007)0747),</w:t>
      </w:r>
    </w:p>
    <w:p w14:paraId="13584ADD" w14:textId="6D873D92" w:rsidR="00B5635A" w:rsidRPr="009F7264" w:rsidRDefault="00B5635A" w:rsidP="00B5635A">
      <w:pPr>
        <w:pStyle w:val="NormalHanging"/>
      </w:pPr>
      <w:r w:rsidRPr="009F7264">
        <w:t>–</w:t>
      </w:r>
      <w:r w:rsidRPr="009F7264">
        <w:tab/>
        <w:t xml:space="preserve">uwzględniając rozporządzenie Parlamentu Europejskiego i Rady (UE) 2023/1114 z dnia 31 maja 2023 r. w sprawie rynków </w:t>
      </w:r>
      <w:proofErr w:type="spellStart"/>
      <w:r w:rsidRPr="009F7264">
        <w:t>kryptoaktywów</w:t>
      </w:r>
      <w:proofErr w:type="spellEnd"/>
      <w:r w:rsidRPr="009F7264">
        <w:t xml:space="preserve"> oraz zmiany rozporządzeń (UE) nr 1093/2010 i (UE) nr 1095/2010 oraz dyrektyw 2013/36/UE i (UE) 2019/1937</w:t>
      </w:r>
      <w:r w:rsidR="00221796">
        <w:rPr>
          <w:rStyle w:val="FootnoteReference"/>
        </w:rPr>
        <w:footnoteReference w:id="1"/>
      </w:r>
      <w:r w:rsidRPr="009F7264">
        <w:t>,</w:t>
      </w:r>
    </w:p>
    <w:p w14:paraId="3D3CB7E2" w14:textId="77777777" w:rsidR="00B5635A" w:rsidRPr="009F7264" w:rsidRDefault="00B5635A" w:rsidP="00B5635A">
      <w:pPr>
        <w:pStyle w:val="NormalHanging"/>
      </w:pPr>
      <w:r w:rsidRPr="009F7264">
        <w:t>–</w:t>
      </w:r>
      <w:r w:rsidRPr="009F7264">
        <w:tab/>
        <w:t>uwzględniając wstępną ocenę skutków Komisji z dnia 22 października 2020 r. w sprawie przeglądu przepisów VAT w odniesieniu do usług finansowych i ubezpieczeniowych,</w:t>
      </w:r>
    </w:p>
    <w:p w14:paraId="5D672A66" w14:textId="77777777" w:rsidR="00B5635A" w:rsidRPr="009F7264" w:rsidRDefault="00B5635A" w:rsidP="00B5635A">
      <w:pPr>
        <w:pStyle w:val="NormalHanging"/>
      </w:pPr>
      <w:r w:rsidRPr="009F7264">
        <w:lastRenderedPageBreak/>
        <w:t>–</w:t>
      </w:r>
      <w:r w:rsidRPr="009F7264">
        <w:tab/>
        <w:t>uwzględniając wniosek Komisji z dnia 12 września 2023 r. w sprawie ustanowienia systemu opodatkowania według siedziby głównej dla mikroprzedsiębiorstw oraz małych i średnich przedsiębiorstw i zmiany dyrektywy 2011/16/UE,</w:t>
      </w:r>
    </w:p>
    <w:p w14:paraId="59D267F7" w14:textId="3FB350A5" w:rsidR="00B5635A" w:rsidRPr="009F7264" w:rsidRDefault="00B5635A" w:rsidP="00B5635A">
      <w:pPr>
        <w:pStyle w:val="NormalHanging"/>
      </w:pPr>
      <w:r w:rsidRPr="009F7264">
        <w:t>–</w:t>
      </w:r>
      <w:r w:rsidRPr="009F7264">
        <w:tab/>
        <w:t xml:space="preserve">uwzględniając decyzję Rady (UE, </w:t>
      </w:r>
      <w:proofErr w:type="spellStart"/>
      <w:r w:rsidRPr="009F7264">
        <w:t>Euratom</w:t>
      </w:r>
      <w:proofErr w:type="spellEnd"/>
      <w:r w:rsidRPr="009F7264">
        <w:t xml:space="preserve">) 2020/2053 z dnia 14 grudnia 2020 r. w sprawie systemu zasobów własnych Unii Europejskiej oraz uchylającą decyzję 2014/335/UE, </w:t>
      </w:r>
      <w:proofErr w:type="spellStart"/>
      <w:r w:rsidRPr="009F7264">
        <w:t>Euratom</w:t>
      </w:r>
      <w:proofErr w:type="spellEnd"/>
      <w:r w:rsidR="00221796">
        <w:rPr>
          <w:rStyle w:val="FootnoteReference"/>
        </w:rPr>
        <w:footnoteReference w:id="2"/>
      </w:r>
      <w:r w:rsidRPr="009F7264">
        <w:t>,</w:t>
      </w:r>
    </w:p>
    <w:p w14:paraId="77EB518F" w14:textId="77777777" w:rsidR="00B5635A" w:rsidRPr="009F7264" w:rsidRDefault="00B5635A" w:rsidP="00B5635A">
      <w:pPr>
        <w:pStyle w:val="NormalHanging"/>
      </w:pPr>
      <w:r w:rsidRPr="009F7264">
        <w:t>–</w:t>
      </w:r>
      <w:r w:rsidRPr="009F7264">
        <w:tab/>
        <w:t>uwzględniając komunikat Komisji z dnia 22 grudnia 2021 r. pt. „Kolejna generacja zasobów własnych dla budżetu UE” (COM(2021)0566),</w:t>
      </w:r>
    </w:p>
    <w:p w14:paraId="19A4CB32" w14:textId="2E4681D6" w:rsidR="00B5635A" w:rsidRPr="009F7264" w:rsidRDefault="00B5635A" w:rsidP="00B5635A">
      <w:pPr>
        <w:pStyle w:val="NormalHanging"/>
      </w:pPr>
      <w:r w:rsidRPr="009F7264">
        <w:t>–</w:t>
      </w:r>
      <w:r w:rsidRPr="009F7264">
        <w:tab/>
        <w:t xml:space="preserve">uwzględniając badanie zlecone przez Podkomisję do Spraw Podatkowych Parlamentu Europejskiego pt. „The </w:t>
      </w:r>
      <w:proofErr w:type="spellStart"/>
      <w:r w:rsidRPr="009F7264">
        <w:t>taxation</w:t>
      </w:r>
      <w:proofErr w:type="spellEnd"/>
      <w:r w:rsidRPr="009F7264">
        <w:t xml:space="preserve"> of the </w:t>
      </w:r>
      <w:proofErr w:type="spellStart"/>
      <w:r w:rsidRPr="009F7264">
        <w:t>EU’s</w:t>
      </w:r>
      <w:proofErr w:type="spellEnd"/>
      <w:r w:rsidRPr="009F7264">
        <w:t xml:space="preserve"> </w:t>
      </w:r>
      <w:proofErr w:type="spellStart"/>
      <w:r w:rsidRPr="009F7264">
        <w:t>financial</w:t>
      </w:r>
      <w:proofErr w:type="spellEnd"/>
      <w:r w:rsidRPr="009F7264">
        <w:t xml:space="preserve"> </w:t>
      </w:r>
      <w:proofErr w:type="spellStart"/>
      <w:r w:rsidRPr="009F7264">
        <w:t>sector</w:t>
      </w:r>
      <w:proofErr w:type="spellEnd"/>
      <w:r w:rsidRPr="009F7264">
        <w:t>” [Opodatkowanie sektora finansowego UE], opublikowane przez Dyrekcję Generalną ds. Gospodarki, Transformacji i Przemysłu w czerwcu 2025 r.</w:t>
      </w:r>
      <w:r w:rsidR="00221796">
        <w:rPr>
          <w:rStyle w:val="FootnoteReference"/>
        </w:rPr>
        <w:footnoteReference w:id="3"/>
      </w:r>
      <w:r w:rsidRPr="009F7264">
        <w:t>,</w:t>
      </w:r>
    </w:p>
    <w:p w14:paraId="6213F489" w14:textId="77777777" w:rsidR="00B5635A" w:rsidRPr="009F7264" w:rsidRDefault="00B5635A" w:rsidP="00B5635A">
      <w:pPr>
        <w:pStyle w:val="NormalHanging"/>
      </w:pPr>
      <w:r w:rsidRPr="009F7264">
        <w:t>–</w:t>
      </w:r>
      <w:r w:rsidRPr="009F7264">
        <w:tab/>
        <w:t>uwzględniając orzecznictwo Trybunału Sprawiedliwości Unii Europejskiej dotyczące zwolnienia usług finansowych i ubezpieczeniowych z VAT,</w:t>
      </w:r>
    </w:p>
    <w:p w14:paraId="32990E87" w14:textId="70E64B1D" w:rsidR="00B5635A" w:rsidRPr="009F7264" w:rsidRDefault="00B5635A" w:rsidP="00B5635A">
      <w:pPr>
        <w:pStyle w:val="NormalHanging"/>
      </w:pPr>
      <w:r w:rsidRPr="009F7264">
        <w:t>–</w:t>
      </w:r>
      <w:r w:rsidRPr="009F7264">
        <w:tab/>
        <w:t>uwzględniając porozumienie międzyinstytucjonalne z dnia 16 grudnia 2020 r. między Parlamentem Europejskim, Radą Unii Europejskiej i Komisją Europejską w sprawie dyscypliny budżetowej, współpracy w kwestiach budżetowych i należytego zarządzania finansami oraz w sprawie nowych zasobów własnych, w tym również harmonogramu wprowadzania nowych zasobów własnych</w:t>
      </w:r>
      <w:r w:rsidR="00221796">
        <w:rPr>
          <w:rStyle w:val="FootnoteReference"/>
        </w:rPr>
        <w:footnoteReference w:id="4"/>
      </w:r>
      <w:r w:rsidRPr="009F7264">
        <w:t>,</w:t>
      </w:r>
    </w:p>
    <w:p w14:paraId="34CF13F4" w14:textId="4EB4A3F5" w:rsidR="00B5635A" w:rsidRPr="009F7264" w:rsidRDefault="00B5635A" w:rsidP="00B5635A">
      <w:pPr>
        <w:pStyle w:val="NormalHanging"/>
      </w:pPr>
      <w:r w:rsidRPr="009F7264">
        <w:t>–</w:t>
      </w:r>
      <w:r w:rsidRPr="009F7264">
        <w:tab/>
        <w:t>uwzględniając swoją rezolucję z dnia 10 maja 2023 r. w sprawie zasobów własnych: nowy początek dla finansów unijnych – nowy początek dla Europy</w:t>
      </w:r>
      <w:r w:rsidR="00221796">
        <w:rPr>
          <w:rStyle w:val="FootnoteReference"/>
        </w:rPr>
        <w:footnoteReference w:id="5"/>
      </w:r>
      <w:r w:rsidRPr="009F7264">
        <w:t>,</w:t>
      </w:r>
    </w:p>
    <w:p w14:paraId="073D595A" w14:textId="77777777" w:rsidR="00B5635A" w:rsidRPr="009F7264" w:rsidRDefault="00B5635A" w:rsidP="00B5635A">
      <w:pPr>
        <w:pStyle w:val="NormalHanging"/>
      </w:pPr>
      <w:r w:rsidRPr="009F7264">
        <w:t>–</w:t>
      </w:r>
      <w:r w:rsidRPr="009F7264">
        <w:tab/>
        <w:t xml:space="preserve">uwzględniając sprawozdanie Enrica </w:t>
      </w:r>
      <w:proofErr w:type="spellStart"/>
      <w:r w:rsidRPr="009F7264">
        <w:t>Letty</w:t>
      </w:r>
      <w:proofErr w:type="spellEnd"/>
      <w:r w:rsidRPr="009F7264">
        <w:t xml:space="preserve"> z kwietnia 2024 r. pt. </w:t>
      </w:r>
      <w:r w:rsidRPr="00221796">
        <w:rPr>
          <w:lang w:val="en-GB"/>
        </w:rPr>
        <w:t>„Much more than a market, Speed, Security, Solidarity, Empowering the Single Market to deliver a sustainable future and prosperity for all EU Citizens” [</w:t>
      </w:r>
      <w:proofErr w:type="spellStart"/>
      <w:r w:rsidRPr="00221796">
        <w:rPr>
          <w:lang w:val="en-GB"/>
        </w:rPr>
        <w:t>Znacznie</w:t>
      </w:r>
      <w:proofErr w:type="spellEnd"/>
      <w:r w:rsidRPr="00221796">
        <w:rPr>
          <w:lang w:val="en-GB"/>
        </w:rPr>
        <w:t xml:space="preserve"> </w:t>
      </w:r>
      <w:proofErr w:type="spellStart"/>
      <w:r w:rsidRPr="00221796">
        <w:rPr>
          <w:lang w:val="en-GB"/>
        </w:rPr>
        <w:t>więcej</w:t>
      </w:r>
      <w:proofErr w:type="spellEnd"/>
      <w:r w:rsidRPr="00221796">
        <w:rPr>
          <w:lang w:val="en-GB"/>
        </w:rPr>
        <w:t xml:space="preserve"> </w:t>
      </w:r>
      <w:proofErr w:type="spellStart"/>
      <w:r w:rsidRPr="00221796">
        <w:rPr>
          <w:lang w:val="en-GB"/>
        </w:rPr>
        <w:t>niż</w:t>
      </w:r>
      <w:proofErr w:type="spellEnd"/>
      <w:r w:rsidRPr="00221796">
        <w:rPr>
          <w:lang w:val="en-GB"/>
        </w:rPr>
        <w:t xml:space="preserve"> </w:t>
      </w:r>
      <w:proofErr w:type="spellStart"/>
      <w:r w:rsidRPr="00221796">
        <w:rPr>
          <w:lang w:val="en-GB"/>
        </w:rPr>
        <w:t>rynek</w:t>
      </w:r>
      <w:proofErr w:type="spellEnd"/>
      <w:r w:rsidRPr="00221796">
        <w:rPr>
          <w:lang w:val="en-GB"/>
        </w:rPr>
        <w:t xml:space="preserve">. </w:t>
      </w:r>
      <w:r w:rsidRPr="009F7264">
        <w:t xml:space="preserve">Szybkość, bezpieczeństwo, solidarność – wzmocnienie jednolitego rynku w celu zapewnienia zrównoważonej przyszłości i dobrobytu wszystkim obywatelom UE] (sprawozdanie </w:t>
      </w:r>
      <w:proofErr w:type="spellStart"/>
      <w:r w:rsidRPr="009F7264">
        <w:t>Letty</w:t>
      </w:r>
      <w:proofErr w:type="spellEnd"/>
      <w:r w:rsidRPr="009F7264">
        <w:t>),</w:t>
      </w:r>
    </w:p>
    <w:p w14:paraId="57997FC6" w14:textId="77777777" w:rsidR="00B5635A" w:rsidRPr="009F7264" w:rsidRDefault="00B5635A" w:rsidP="00B5635A">
      <w:pPr>
        <w:pStyle w:val="NormalHanging"/>
      </w:pPr>
      <w:r w:rsidRPr="009F7264">
        <w:t>–</w:t>
      </w:r>
      <w:r w:rsidRPr="009F7264">
        <w:tab/>
        <w:t xml:space="preserve">uwzględniając sprawozdanie Maria </w:t>
      </w:r>
      <w:proofErr w:type="spellStart"/>
      <w:r w:rsidRPr="009F7264">
        <w:t>Draghiego</w:t>
      </w:r>
      <w:proofErr w:type="spellEnd"/>
      <w:r w:rsidRPr="009F7264">
        <w:t xml:space="preserve"> z dnia 9 września 2024 r. na temat przyszłości europejskiej konkurencyjności (sprawozdanie </w:t>
      </w:r>
      <w:proofErr w:type="spellStart"/>
      <w:r w:rsidRPr="009F7264">
        <w:t>Draghiego</w:t>
      </w:r>
      <w:proofErr w:type="spellEnd"/>
      <w:r w:rsidRPr="009F7264">
        <w:t>),</w:t>
      </w:r>
    </w:p>
    <w:p w14:paraId="36C7C3F8" w14:textId="77777777" w:rsidR="00B5635A" w:rsidRPr="009F7264" w:rsidRDefault="00B5635A" w:rsidP="00B5635A">
      <w:pPr>
        <w:pStyle w:val="NormalHanging"/>
      </w:pPr>
      <w:r w:rsidRPr="009F7264">
        <w:t>–</w:t>
      </w:r>
      <w:r w:rsidRPr="009F7264">
        <w:tab/>
        <w:t>uwzględniając komunikat Komisji pt. „Unia oszczędności i inwestycji – Strategia na rzecz zwiększenia zamożności obywateli i konkurencyjności gospodarczej w UE” (COM(2025)0124),</w:t>
      </w:r>
    </w:p>
    <w:p w14:paraId="28B5D04B" w14:textId="18A7EB2A" w:rsidR="00B5635A" w:rsidRPr="009F7264" w:rsidRDefault="00B5635A" w:rsidP="00B5635A">
      <w:pPr>
        <w:pStyle w:val="NormalHanging"/>
      </w:pPr>
      <w:r w:rsidRPr="009F7264">
        <w:t>–</w:t>
      </w:r>
      <w:r w:rsidRPr="009F7264">
        <w:tab/>
        <w:t xml:space="preserve">uwzględniając zalecenie Komisji (UE) 2025/2029 z dnia 30 września 2025 r. w sprawie </w:t>
      </w:r>
      <w:r w:rsidRPr="009F7264">
        <w:lastRenderedPageBreak/>
        <w:t>zwiększenia dostępności rachunków oszczędnościowo-inwestycyjnych dzięki uproszczonemu i korzystnemu traktowaniu podatkowemu</w:t>
      </w:r>
      <w:r w:rsidR="00221796">
        <w:rPr>
          <w:rStyle w:val="FootnoteReference"/>
        </w:rPr>
        <w:footnoteReference w:id="6"/>
      </w:r>
      <w:r w:rsidRPr="009F7264">
        <w:t>,</w:t>
      </w:r>
    </w:p>
    <w:p w14:paraId="6204A6DC" w14:textId="77777777" w:rsidR="00B5635A" w:rsidRPr="009F7264" w:rsidRDefault="00B5635A" w:rsidP="00B5635A">
      <w:pPr>
        <w:pStyle w:val="NormalHanging"/>
      </w:pPr>
      <w:r w:rsidRPr="009F7264">
        <w:t>–</w:t>
      </w:r>
      <w:r w:rsidRPr="009F7264">
        <w:tab/>
        <w:t xml:space="preserve">uwzględniając dokument roboczy Banku Światowego z </w:t>
      </w:r>
      <w:proofErr w:type="gramStart"/>
      <w:r w:rsidRPr="009F7264">
        <w:t>maja</w:t>
      </w:r>
      <w:proofErr w:type="gramEnd"/>
      <w:r w:rsidRPr="009F7264">
        <w:t xml:space="preserve"> 2025 r. pt. „VAT </w:t>
      </w:r>
      <w:proofErr w:type="spellStart"/>
      <w:r w:rsidRPr="009F7264">
        <w:t>Exemptions</w:t>
      </w:r>
      <w:proofErr w:type="spellEnd"/>
      <w:r w:rsidRPr="009F7264">
        <w:t xml:space="preserve">, Embedded </w:t>
      </w:r>
      <w:proofErr w:type="spellStart"/>
      <w:r w:rsidRPr="009F7264">
        <w:t>Tax</w:t>
      </w:r>
      <w:proofErr w:type="spellEnd"/>
      <w:r w:rsidRPr="009F7264">
        <w:t xml:space="preserve">, and </w:t>
      </w:r>
      <w:proofErr w:type="spellStart"/>
      <w:r w:rsidRPr="009F7264">
        <w:t>Unntended</w:t>
      </w:r>
      <w:proofErr w:type="spellEnd"/>
      <w:r w:rsidRPr="009F7264">
        <w:t xml:space="preserve"> </w:t>
      </w:r>
      <w:proofErr w:type="spellStart"/>
      <w:r w:rsidRPr="009F7264">
        <w:t>Consequences</w:t>
      </w:r>
      <w:proofErr w:type="spellEnd"/>
      <w:r w:rsidRPr="009F7264">
        <w:t>” [Zwolnienia z VAT, podatek wbudowany i niezamierzone skutki],</w:t>
      </w:r>
    </w:p>
    <w:p w14:paraId="6782290D" w14:textId="77777777" w:rsidR="00B5635A" w:rsidRPr="009F7264" w:rsidRDefault="00B5635A" w:rsidP="00B5635A">
      <w:pPr>
        <w:pStyle w:val="NormalHanging"/>
      </w:pPr>
      <w:r w:rsidRPr="009F7264">
        <w:t>–</w:t>
      </w:r>
      <w:r w:rsidRPr="009F7264">
        <w:tab/>
        <w:t>uwzględniając art. 55 Regulaminu,</w:t>
      </w:r>
    </w:p>
    <w:p w14:paraId="076DBD7B" w14:textId="77777777" w:rsidR="00B5635A" w:rsidRPr="009F7264" w:rsidRDefault="00B5635A" w:rsidP="00B5635A">
      <w:pPr>
        <w:pStyle w:val="NormalHanging"/>
      </w:pPr>
      <w:r w:rsidRPr="009F7264">
        <w:t>–</w:t>
      </w:r>
      <w:r w:rsidRPr="009F7264">
        <w:tab/>
        <w:t>uwzględniając sprawozdanie Komisji Gospodarczej i Monetarnej (A10-0169/2026),</w:t>
      </w:r>
    </w:p>
    <w:p w14:paraId="180ABE6D" w14:textId="77777777" w:rsidR="00B5635A" w:rsidRPr="009F7264" w:rsidRDefault="00B5635A" w:rsidP="00B5635A">
      <w:pPr>
        <w:pStyle w:val="NormalHanging"/>
      </w:pPr>
      <w:r w:rsidRPr="009F7264">
        <w:t>A.</w:t>
      </w:r>
      <w:r w:rsidRPr="009F7264">
        <w:tab/>
        <w:t>mając na uwadze, że w piśmie przewodniczącej Komisji określającym zadania z 2024 r. skierowanym do komisarza odpowiedzialnego za opodatkowanie Komisji zlecono określenie innowacyjnych rozwiązań w zakresie opodatkowania sektora finansowego UE, aby wspierać jego dalszą integrację, działalność transgraniczną, cyfryzację i innowacje; mając na uwadze, że Komisja rozpoczęła badanie dotyczące opodatkowania sektora finansowego w UE;</w:t>
      </w:r>
    </w:p>
    <w:p w14:paraId="6F380B8D" w14:textId="77777777" w:rsidR="00B5635A" w:rsidRPr="009F7264" w:rsidRDefault="00B5635A" w:rsidP="00B5635A">
      <w:pPr>
        <w:pStyle w:val="NormalHanging"/>
      </w:pPr>
      <w:r w:rsidRPr="009F7264">
        <w:t>B.</w:t>
      </w:r>
      <w:r w:rsidRPr="009F7264">
        <w:tab/>
        <w:t>mając na uwadze, że usługi finansowe są zasadniczo zwolnione z podatku od wartości dodanej (VAT) w UE; mając na uwadze, że ze względu na to zwolnienie instytucje finansowe nie mogą odliczać VAT zapłaconego od nakładów, co powoduje problem tzw. VAT niepodlegającego zwrotowi; mając na uwadze, że zwolnienie to może powodować brak przejrzystości, zwiększać koszty ponoszone przez konsumentów i generować dodatkowe koszty dla instytucji finansowych, wpływać na decyzje dotyczące organizacji i outsourcingu oraz prowadzić do niekorzystnych warunków konkurencji dla mniejszych, cyfrowych i transgranicznych usługodawców;</w:t>
      </w:r>
    </w:p>
    <w:p w14:paraId="542003A7" w14:textId="77777777" w:rsidR="00B5635A" w:rsidRPr="009F7264" w:rsidRDefault="00B5635A" w:rsidP="00B5635A">
      <w:pPr>
        <w:pStyle w:val="NormalHanging"/>
      </w:pPr>
      <w:r w:rsidRPr="009F7264">
        <w:t>C.</w:t>
      </w:r>
      <w:r w:rsidRPr="009F7264">
        <w:tab/>
        <w:t>mając na uwadze, że w poszczególnych państwach członkowskich nie zapewnia się spójnie możliwości wyboru VAT przez instytucje finansowe, co zwiększa złożoność administracyjną;</w:t>
      </w:r>
    </w:p>
    <w:p w14:paraId="6B38F901" w14:textId="77777777" w:rsidR="00B5635A" w:rsidRPr="009F7264" w:rsidRDefault="00B5635A" w:rsidP="00B5635A">
      <w:pPr>
        <w:pStyle w:val="NormalHanging"/>
      </w:pPr>
      <w:r w:rsidRPr="009F7264">
        <w:t>D.</w:t>
      </w:r>
      <w:r w:rsidRPr="009F7264">
        <w:tab/>
        <w:t>mając na uwadze, że zwolnienie z VAT sięga 1977 r., kiedy nakładanie podatków na takie usługi wiązało się z poważnymi trudnościami technicznymi i administracyjnymi; mając na uwadze, że pierwotne techniczne uzasadnienie zwolnienia z VAT obecnie przestało być zasadne z uwagi na postęp technologiczny, cyfrowy i nadzorczy, w tym przetwarzanie danych w czasie rzeczywistym i ulepszone wymogi sprawozdawcze;</w:t>
      </w:r>
    </w:p>
    <w:p w14:paraId="03B58551" w14:textId="77777777" w:rsidR="00B5635A" w:rsidRPr="009F7264" w:rsidRDefault="00B5635A" w:rsidP="00B5635A">
      <w:pPr>
        <w:pStyle w:val="NormalHanging"/>
      </w:pPr>
      <w:r w:rsidRPr="009F7264">
        <w:t>E.</w:t>
      </w:r>
      <w:r w:rsidRPr="009F7264">
        <w:tab/>
        <w:t>mając na uwadze, że kilka jurysdykcji na całym świecie zmieniło podobne zwolnienia lub wprowadziło alternatywne formy opodatkowania usług finansowych, aby zaradzić niezamierzonym skutkom fiskalnym i konkurencyjnym związanym z VAT niepodlegającym zwrotowi oraz aby nadal zapewniać sprawiedliwy i należyty wkład sektora finansowego w dochody publiczne;</w:t>
      </w:r>
    </w:p>
    <w:p w14:paraId="65C821E8" w14:textId="77777777" w:rsidR="00B5635A" w:rsidRPr="009F7264" w:rsidRDefault="00B5635A" w:rsidP="00B5635A">
      <w:pPr>
        <w:pStyle w:val="NormalHanging"/>
      </w:pPr>
      <w:r w:rsidRPr="009F7264">
        <w:t>F.</w:t>
      </w:r>
      <w:r w:rsidRPr="009F7264">
        <w:tab/>
        <w:t xml:space="preserve">mając na uwadze, że w sprawozdaniach </w:t>
      </w:r>
      <w:proofErr w:type="spellStart"/>
      <w:r w:rsidRPr="009F7264">
        <w:t>Letty</w:t>
      </w:r>
      <w:proofErr w:type="spellEnd"/>
      <w:r w:rsidRPr="009F7264">
        <w:t xml:space="preserve"> i </w:t>
      </w:r>
      <w:proofErr w:type="spellStart"/>
      <w:r w:rsidRPr="009F7264">
        <w:t>Draghiego</w:t>
      </w:r>
      <w:proofErr w:type="spellEnd"/>
      <w:r w:rsidRPr="009F7264">
        <w:t xml:space="preserve"> podkreślono, że fragmentacja jednolitego rynku, w tym przeszkody administracyjne i podatkowe, utrudnia wzrost gospodarczy, handel i działalność transgraniczną; mając na uwadze, że w rzeczywistości wewnętrzne bariery UE nakładają na usługi finansowe stawkę niemal 100 %; mając na uwadze, że według M. </w:t>
      </w:r>
      <w:proofErr w:type="spellStart"/>
      <w:r w:rsidRPr="009F7264">
        <w:t>Draghiego</w:t>
      </w:r>
      <w:proofErr w:type="spellEnd"/>
      <w:r w:rsidRPr="009F7264">
        <w:t xml:space="preserve"> te bariery i przeszkody regulacyjne są znacznie bardziej szkodliwe dla wzrostu gospodarczego niż jakiekolwiek cła, które </w:t>
      </w:r>
      <w:r w:rsidRPr="009F7264">
        <w:lastRenderedPageBreak/>
        <w:t>mogłyby nałożyć Stany Zjednoczone;</w:t>
      </w:r>
    </w:p>
    <w:p w14:paraId="49C9A4F0" w14:textId="77777777" w:rsidR="00B5635A" w:rsidRPr="009F7264" w:rsidRDefault="00B5635A" w:rsidP="00B5635A">
      <w:pPr>
        <w:pStyle w:val="NormalHanging"/>
      </w:pPr>
      <w:r w:rsidRPr="009F7264">
        <w:t>G.</w:t>
      </w:r>
      <w:r w:rsidRPr="009F7264">
        <w:tab/>
        <w:t>mając na uwadze, że według danych Eurostatu sektor finansowy stanowi istotny element gospodarki UE i w 2022 r. wygenerował wartość dodaną w wysokości około 0,9 bln EUR, zapewniał miejsca pracy dla prawie 5 mln osób oraz odnotował przychody netto ze sprzedaży w wysokości około 2,4 bln EUR; mając na uwadze, że sektor ten wnosi wkład w finanse publiczne za pośrednictwem opodatkowania osób prawnych, podatków od wynagrodzeń i opłat sektorowych; mając na uwadze, że sektor finansowy UE odgrywa kluczową rolę w finansowaniu gospodarki realnej, sprzyjaniu innowacjom i umożliwianiu inwestycji;</w:t>
      </w:r>
    </w:p>
    <w:p w14:paraId="57C954FE" w14:textId="6E8CDB7A" w:rsidR="00B5635A" w:rsidRPr="009F7264" w:rsidRDefault="00B5635A" w:rsidP="00B5635A">
      <w:pPr>
        <w:pStyle w:val="NormalHanging"/>
      </w:pPr>
      <w:r w:rsidRPr="009F7264">
        <w:t>H.</w:t>
      </w:r>
      <w:r w:rsidRPr="009F7264">
        <w:tab/>
        <w:t>mając na uwadze, że niedawne inicjatywy, takie jak dyrektywa Rady 2025/50 z 10 grudnia 2024 r. w sprawie szybszego i bezpieczniejszego systemu ulg w nadmiernym podatku u źródła</w:t>
      </w:r>
      <w:r w:rsidR="00221796">
        <w:rPr>
          <w:rStyle w:val="FootnoteReference"/>
        </w:rPr>
        <w:footnoteReference w:id="7"/>
      </w:r>
      <w:r w:rsidRPr="009F7264">
        <w:t xml:space="preserve"> (dyrektywa FASTER), umożliwiły znaczne postępy w zmniejszaniu obciążeń administracyjnych oraz ułatwianiu transgranicznej działalności gospodarczej w UE oraz że należy kontynuować podobne działania, aby zacieśniać integrację i zwiększyć efektywność jednolitego rynku;</w:t>
      </w:r>
    </w:p>
    <w:p w14:paraId="61CE6AE4" w14:textId="15E9F65E" w:rsidR="00B5635A" w:rsidRPr="009F7264" w:rsidRDefault="00B5635A" w:rsidP="00B5635A">
      <w:pPr>
        <w:pStyle w:val="NormalHanging"/>
      </w:pPr>
      <w:r w:rsidRPr="009F7264">
        <w:t>I.</w:t>
      </w:r>
      <w:r w:rsidRPr="009F7264">
        <w:tab/>
        <w:t>mając na uwadze, że Rada zwlekała z podjęciem decyzji w sprawie wniosku Komisji dotyczącego dyrektywy ustanawiającej system opodatkowania według siedziby głównej dla mikroprzedsiębiorstw oraz małych i średnich przedsiębiorstw i zmieniającej dyrektywę 2011/16/UE, podczas gdy Parlament zatwierdził już rezolucję ustawodawczą 10 kwietnia 2024 r.</w:t>
      </w:r>
      <w:r w:rsidR="00221796">
        <w:rPr>
          <w:rStyle w:val="FootnoteReference"/>
        </w:rPr>
        <w:footnoteReference w:id="8"/>
      </w:r>
      <w:r w:rsidRPr="009F7264">
        <w:t>;</w:t>
      </w:r>
    </w:p>
    <w:p w14:paraId="46E785C5" w14:textId="77777777" w:rsidR="00B5635A" w:rsidRPr="009F7264" w:rsidRDefault="00B5635A" w:rsidP="00B5635A">
      <w:pPr>
        <w:pStyle w:val="NormalHanging"/>
      </w:pPr>
      <w:r w:rsidRPr="009F7264">
        <w:t>J.</w:t>
      </w:r>
      <w:r w:rsidRPr="009F7264">
        <w:tab/>
        <w:t>mając na uwadze, że w ramach przyszłych inicjatyw należy ograniczać fragmentację jednolitego rynku oraz wzmacniać konkurencyjność dzięki zapewnieniu spójnych, przewidywalnych i neutralnych ram podatkowych dla usług finansowych, a jednocześnie uwzględniać różne modele biznesowe i interakcje podatkowe w całym sektorze finansowym UE;</w:t>
      </w:r>
    </w:p>
    <w:p w14:paraId="3B03A158" w14:textId="77777777" w:rsidR="00B5635A" w:rsidRPr="009F7264" w:rsidRDefault="00B5635A" w:rsidP="00B5635A">
      <w:pPr>
        <w:pStyle w:val="NormalHanging"/>
      </w:pPr>
      <w:r w:rsidRPr="009F7264">
        <w:t>K.</w:t>
      </w:r>
      <w:r w:rsidRPr="009F7264">
        <w:tab/>
        <w:t>mając na uwadze, że opodatkowanie usług finansowych w UE pozostaje bardzo rozdrobnione, a krajowe podejścia do podatków od składek ubezpieczeniowych, podatków od transakcji finansowych (PTF), opłat bankowych, podatków od działalności finansowej i innych podatków opartych na zyskach są rozbieżne; mając na uwadze, że fragmentacja ta powoduje niepewność i złożoność prawa, prowadzi do zakłóceń na rynku, sprzyja unikaniu opodatkowania i zmniejsza konkurencyjność UE;</w:t>
      </w:r>
    </w:p>
    <w:p w14:paraId="15519173" w14:textId="77777777" w:rsidR="00B5635A" w:rsidRPr="009F7264" w:rsidRDefault="00B5635A" w:rsidP="00B5635A">
      <w:pPr>
        <w:pStyle w:val="NormalHanging"/>
      </w:pPr>
      <w:r w:rsidRPr="009F7264">
        <w:t>L.</w:t>
      </w:r>
      <w:r w:rsidRPr="009F7264">
        <w:tab/>
        <w:t xml:space="preserve">mając na uwadze, że unia oszczędności i inwestycji wymaga silniejszych zachęt dla obywateli do oszczędzania i inwestowania na europejskich rynkach kapitałowych; mając na uwadze, że jej ukończenie wymaga kompleksowego podejścia do stabilności finansowej, integracji rynku i ochrony inwestorów; mając na uwadze, że dopilnowanie, aby sektor finansowy wnosił istotny wkład w finanse publiczne, </w:t>
      </w:r>
      <w:proofErr w:type="spellStart"/>
      <w:r w:rsidRPr="009F7264">
        <w:t>internalizował</w:t>
      </w:r>
      <w:proofErr w:type="spellEnd"/>
      <w:r w:rsidRPr="009F7264">
        <w:t xml:space="preserve"> generowane przez siebie ryzyko i wspierał długoterminowe zrównoważone inwestycje, ma zasadnicze znaczenie dla powodzenia i wiarygodności unii oszczędności i </w:t>
      </w:r>
      <w:r w:rsidRPr="009F7264">
        <w:lastRenderedPageBreak/>
        <w:t>inwestycji;</w:t>
      </w:r>
    </w:p>
    <w:p w14:paraId="7545B281" w14:textId="77777777" w:rsidR="00B5635A" w:rsidRPr="009F7264" w:rsidRDefault="00B5635A" w:rsidP="00B5635A">
      <w:pPr>
        <w:pStyle w:val="NormalHanging"/>
      </w:pPr>
      <w:r w:rsidRPr="009F7264">
        <w:t>M.</w:t>
      </w:r>
      <w:r w:rsidRPr="009F7264">
        <w:tab/>
        <w:t>mając na uwadze, że po kryzysie finansowym w 2008 i 2009 r. podjęto dyskusje na temat PTF i opłat bankowych; mając na uwadze, że środki te miały zrekompensować koszty kryzysu;</w:t>
      </w:r>
    </w:p>
    <w:p w14:paraId="0DDDF4E1" w14:textId="77777777" w:rsidR="00B5635A" w:rsidRPr="009F7264" w:rsidRDefault="00B5635A" w:rsidP="00B5635A">
      <w:pPr>
        <w:pStyle w:val="NormalHanging"/>
      </w:pPr>
      <w:r w:rsidRPr="009F7264">
        <w:t>N.</w:t>
      </w:r>
      <w:r w:rsidRPr="009F7264">
        <w:tab/>
        <w:t xml:space="preserve">mając na uwadze, że obecnie co najmniej siedem państw członkowskich pobiera podatek od transakcji finansowych; mając na uwadze, że nie koordynowały one swoich PTF pod względem zakresu, stawki czy zastosowania; mając na uwadze, że nie osiągnięto porozumienia w sprawie </w:t>
      </w:r>
      <w:proofErr w:type="spellStart"/>
      <w:r w:rsidRPr="009F7264">
        <w:t>ogólnounijnego</w:t>
      </w:r>
      <w:proofErr w:type="spellEnd"/>
      <w:r w:rsidRPr="009F7264">
        <w:t xml:space="preserve"> PTF pomimo kilku wniosków ustawodawczych Komisji od 2011 r.;</w:t>
      </w:r>
    </w:p>
    <w:p w14:paraId="17081284" w14:textId="77777777" w:rsidR="00B5635A" w:rsidRPr="009F7264" w:rsidRDefault="00B5635A" w:rsidP="00B5635A">
      <w:pPr>
        <w:pStyle w:val="NormalHanging"/>
      </w:pPr>
      <w:r w:rsidRPr="009F7264">
        <w:t>O.</w:t>
      </w:r>
      <w:r w:rsidRPr="009F7264">
        <w:tab/>
        <w:t xml:space="preserve">mając na uwadze, że Parlament konsekwentnie popiera wprowadzenie </w:t>
      </w:r>
      <w:proofErr w:type="spellStart"/>
      <w:r w:rsidRPr="009F7264">
        <w:t>ogólnounijnego</w:t>
      </w:r>
      <w:proofErr w:type="spellEnd"/>
      <w:r w:rsidRPr="009F7264">
        <w:t xml:space="preserve"> PTF, w tym jako możliwego zasobu własnego, ostatnio w rezolucji z maja 2023 r.; mając na uwadze, że w programie prac na 2026 r. Komisja zaproponowała wycofanie swojego poprzedniego wniosku w sprawie PTF z powodu braku konsensusu wśród państw członkowskich i braku porozumienia w tej sprawie;</w:t>
      </w:r>
    </w:p>
    <w:p w14:paraId="2BBAFCF7" w14:textId="77777777" w:rsidR="00B5635A" w:rsidRPr="009F7264" w:rsidRDefault="00B5635A" w:rsidP="00B5635A">
      <w:pPr>
        <w:pStyle w:val="NormalHanging"/>
      </w:pPr>
      <w:r w:rsidRPr="009F7264">
        <w:t>P.</w:t>
      </w:r>
      <w:r w:rsidRPr="009F7264">
        <w:tab/>
        <w:t>mając na uwadze, że państwa członkowskie nadal wprowadzają tymczasowe podatki od nieoczekiwanych zysków lub opłaty solidarnościowe od zysków bankowych, aby zaradzić nadzwyczajnemu wzrostowi rentowności spowodowanemu polityką pieniężną;</w:t>
      </w:r>
    </w:p>
    <w:p w14:paraId="3F874D3F" w14:textId="77777777" w:rsidR="00B5635A" w:rsidRPr="009F7264" w:rsidRDefault="00B5635A" w:rsidP="00B5635A">
      <w:pPr>
        <w:pStyle w:val="Normal12a"/>
      </w:pPr>
      <w:r w:rsidRPr="009F7264">
        <w:rPr>
          <w:b/>
          <w:i/>
        </w:rPr>
        <w:t>Rozwiązanie problemu rozdrobnienia podatkowego sektora finansowego i zwiększenie jego konkurencyjności</w:t>
      </w:r>
    </w:p>
    <w:p w14:paraId="44AB4899" w14:textId="68628CB2" w:rsidR="00B5635A" w:rsidRPr="009F7264" w:rsidRDefault="00B5635A" w:rsidP="00B5635A">
      <w:pPr>
        <w:pStyle w:val="NormalHanging12a"/>
      </w:pPr>
      <w:r w:rsidRPr="009F7264">
        <w:t>1.</w:t>
      </w:r>
      <w:r w:rsidRPr="009F7264">
        <w:tab/>
      </w:r>
      <w:r w:rsidR="004B423D" w:rsidRPr="004B423D">
        <w:t>zauważa, że w następstwie wielkiego kryzysu finansowego państwa członkowskie wprowadziły 91 podatków sektorowych, aby opodatkować sektor finansowy i złagodzić te straty dochodów, co skutkuje bardzo rozdrobnionym środowiskiem podatkowym; zauważa, że generuje to dodatkowe koszty operacyjne i administracyjne oraz zwiększa bariery strukturalne dla transgranicznej ekspansji dostawców usług finansowych, osłabiając sektor finansowy UE i jego zdolności inwestycyjne oraz podważając cele unii oszczędności i inwestycji oraz unii bankowej;</w:t>
      </w:r>
    </w:p>
    <w:p w14:paraId="5AF3EECE" w14:textId="02C80D45" w:rsidR="00B5635A" w:rsidRPr="009F7264" w:rsidRDefault="004B423D" w:rsidP="00B5635A">
      <w:pPr>
        <w:pStyle w:val="NormalHanging12a"/>
      </w:pPr>
      <w:r>
        <w:t>2</w:t>
      </w:r>
      <w:r w:rsidR="00B5635A" w:rsidRPr="009F7264">
        <w:t>.</w:t>
      </w:r>
      <w:r w:rsidR="00B5635A" w:rsidRPr="009F7264">
        <w:tab/>
        <w:t>zauważa, że różnice w krajowych systemach podatkowych odzwierciedlają krajowe wybory polityczne; odnotowuje trwające na szczeblu międzynarodowym prace dotyczące kwestii przenoszenia zysków; wzywa do ściślejszej koordynacji na poziomie UE, w tym we wdrażaniu dyrektywy w sprawie filaru 2, solidnych przepisów przeciwdziałających unikaniu opodatkowania i wymogów przejrzystości, zwłaszcza w dziedzinie publicznej sprawozdawczości w podziale na kraje;</w:t>
      </w:r>
    </w:p>
    <w:p w14:paraId="5B1D3B90" w14:textId="4FB1C2DE" w:rsidR="00B5635A" w:rsidRPr="009F7264" w:rsidRDefault="004B423D" w:rsidP="00B5635A">
      <w:pPr>
        <w:pStyle w:val="NormalHanging12a"/>
      </w:pPr>
      <w:r>
        <w:t>3</w:t>
      </w:r>
      <w:r w:rsidR="00B5635A" w:rsidRPr="009F7264">
        <w:t>.</w:t>
      </w:r>
      <w:r w:rsidR="00B5635A" w:rsidRPr="009F7264">
        <w:tab/>
        <w:t>zauważa, że rozdrobnienie krajowych systemów podatkowych zwiększa ryzyko transgranicznego podwójnego opodatkowania i – ze względu na złożoność administracyjną i prawną – może hamować rozwój sektora finansowego UE i stanowić przeszkodę dla ściślejszej integracji rynków finansowych UE; podkreśla, że unikanie podwójnego opodatkowania i zmniejszanie obciążeń administracyjnych powinno pozostać kluczową kwestią; podkreśla jednak, że działania na rzecz uproszczenia opodatkowania nie mogą prowadzić do deregulacji ani obniżania standardów podatkowych;</w:t>
      </w:r>
    </w:p>
    <w:p w14:paraId="0B82DE47" w14:textId="718D9E55" w:rsidR="00B5635A" w:rsidRPr="009F7264" w:rsidRDefault="004B423D" w:rsidP="00B5635A">
      <w:pPr>
        <w:pStyle w:val="NormalHanging12a"/>
      </w:pPr>
      <w:r>
        <w:t>4</w:t>
      </w:r>
      <w:r w:rsidR="00B5635A" w:rsidRPr="009F7264">
        <w:t>.</w:t>
      </w:r>
      <w:r w:rsidR="00B5635A" w:rsidRPr="009F7264">
        <w:tab/>
        <w:t xml:space="preserve">podkreśla, że różnice w krajowych procedurach dotyczących podatku u źródła powodują obciążenia administracyjne i tworzą bariery dla inwestycji transgranicznych, </w:t>
      </w:r>
      <w:r w:rsidR="00B5635A" w:rsidRPr="009F7264">
        <w:lastRenderedPageBreak/>
        <w:t>co potwierdzono w strategii Komisji na rzecz unii oszczędności i inwestycji; pochwala przyjęcie dyrektywy FASTER; apeluje o dalsze dążenie do bardziej skoordynowanych i ambitnych ram;</w:t>
      </w:r>
    </w:p>
    <w:p w14:paraId="369610E7" w14:textId="610011FF" w:rsidR="00B5635A" w:rsidRPr="009F7264" w:rsidRDefault="004B423D" w:rsidP="00B5635A">
      <w:pPr>
        <w:pStyle w:val="NormalHanging12a"/>
      </w:pPr>
      <w:r>
        <w:t>5</w:t>
      </w:r>
      <w:r w:rsidR="00B5635A" w:rsidRPr="009F7264">
        <w:t>.</w:t>
      </w:r>
      <w:r w:rsidR="00B5635A" w:rsidRPr="009F7264">
        <w:tab/>
        <w:t>wzywa Radę do podjęcia decyzji w sprawie wniosku Komisji dotyczącego dyrektywy Rady ustanawiającej system opodatkowania według siedziby głównej dla mikroprzedsiębiorstw oraz małych i średnich przedsiębiorstw i zmieniającej dyrektywę 2011/16/UE, z należytym uwzględnieniem rezolucji ustawodawczej Parlamentu z 10 kwietnia 2024 r.;</w:t>
      </w:r>
    </w:p>
    <w:p w14:paraId="36132FDB" w14:textId="5ABF4BDC" w:rsidR="00B5635A" w:rsidRPr="009F7264" w:rsidRDefault="004B423D" w:rsidP="00B5635A">
      <w:pPr>
        <w:pStyle w:val="NormalHanging12a"/>
      </w:pPr>
      <w:r>
        <w:t>6</w:t>
      </w:r>
      <w:r w:rsidR="00B5635A" w:rsidRPr="009F7264">
        <w:t>.</w:t>
      </w:r>
      <w:r w:rsidR="00B5635A" w:rsidRPr="009F7264">
        <w:tab/>
        <w:t xml:space="preserve">zauważa ponadto, że istniejące przepisy podatkowe nie uwzględniają w pełni rozwoju nowych produktów finansowych i infrastruktur rynkowych; zwraca uwagę, że rozdrobnienie budzi coraz większe zastrzeżenia w związku z sukcesami </w:t>
      </w:r>
      <w:proofErr w:type="spellStart"/>
      <w:r w:rsidR="00B5635A" w:rsidRPr="009F7264">
        <w:t>neobanków</w:t>
      </w:r>
      <w:proofErr w:type="spellEnd"/>
      <w:r w:rsidR="00B5635A" w:rsidRPr="009F7264">
        <w:t xml:space="preserve">, na przykład banków wyłącznie cyfrowych, banków konkurujących lub banków działających w sektorze </w:t>
      </w:r>
      <w:proofErr w:type="spellStart"/>
      <w:r w:rsidR="00B5635A" w:rsidRPr="009F7264">
        <w:t>FinTech</w:t>
      </w:r>
      <w:proofErr w:type="spellEnd"/>
      <w:r w:rsidR="00B5635A" w:rsidRPr="009F7264">
        <w:t>; wskazuje na istotny wzrost udziału depozytów transgranicznych utrzymywanych przez te banki w ciągu ostatnich sześciu lat; podkreśla, że różnice w przepisach podatkowych między bankami a podmiotami niebędącymi bankami mogą powodować zakłócenia;</w:t>
      </w:r>
    </w:p>
    <w:p w14:paraId="191FB868" w14:textId="3B344EAC" w:rsidR="00B5635A" w:rsidRPr="009F7264" w:rsidRDefault="004B423D" w:rsidP="00B5635A">
      <w:pPr>
        <w:pStyle w:val="NormalHanging12a"/>
      </w:pPr>
      <w:r>
        <w:t>7</w:t>
      </w:r>
      <w:r w:rsidR="00B5635A" w:rsidRPr="009F7264">
        <w:t>.</w:t>
      </w:r>
      <w:r w:rsidR="00B5635A" w:rsidRPr="009F7264">
        <w:tab/>
      </w:r>
      <w:r w:rsidRPr="004B423D">
        <w:t>podkreśla, że z uwagi na brak wystarczających danych na temat skutecznego obciążenia podatkowego w całym sektorze finansowym UE trudno jest kształtować politykę w oparciu o dowody oraz ocenić wpływ polityki na zachowania rynkowe, konkurencję i stabilność finansową; podkreśla, że należy poprawić przejrzystość i lepsze wykorzystanie istniejących danych, co jest warunkiem wstępnym spójnej reformy opodatkowania sektora finansowego;</w:t>
      </w:r>
    </w:p>
    <w:p w14:paraId="70F22B12" w14:textId="60BAE5FD" w:rsidR="00B5635A" w:rsidRPr="009F7264" w:rsidRDefault="004B423D" w:rsidP="00B5635A">
      <w:pPr>
        <w:pStyle w:val="NormalHanging12a"/>
      </w:pPr>
      <w:r>
        <w:t>8</w:t>
      </w:r>
      <w:r w:rsidR="00B5635A" w:rsidRPr="009F7264">
        <w:t>.</w:t>
      </w:r>
      <w:r w:rsidR="00B5635A" w:rsidRPr="009F7264">
        <w:tab/>
        <w:t>podkreśla, że usunięcie barier podatkowych dla inwestycji transgranicznych za pomocą spójnych przepisów na poziomie UE zmniejszyłoby koszty przestrzegania przepisów, poprawiło efektywność rynku, zwiększyło jasność prawa w odniesieniu do transgranicznych przepływów kapitału i wzmocniło konkurencyjność usług finansowych UE, a jednocześnie ograniczyło uchylanie się od opodatkowania i agresywne planowanie podatkowe; zwraca uwagę na potrzebę spójnego zbioru przepisów dla sektora finansowego UE, przy jednoczesnym poszanowaniu suwerenności podatkowej państw członkowskich i zasady pomocniczości; podkreśla, że opodatkowanie usług finansowych powinno pomóc w utrzymaniu konkurencyjności sektora finansowego;</w:t>
      </w:r>
    </w:p>
    <w:p w14:paraId="156B41B6" w14:textId="7D15FC04" w:rsidR="00B5635A" w:rsidRPr="009F7264" w:rsidRDefault="004B423D" w:rsidP="00B5635A">
      <w:pPr>
        <w:pStyle w:val="NormalHanging12a"/>
      </w:pPr>
      <w:r>
        <w:t>9</w:t>
      </w:r>
      <w:r w:rsidR="00B5635A" w:rsidRPr="009F7264">
        <w:t>.</w:t>
      </w:r>
      <w:r w:rsidR="00B5635A" w:rsidRPr="009F7264">
        <w:tab/>
        <w:t>zauważa, że zgodnie z europejskim sprawozdaniem makroekonomicznym Komisji na 2026 r.</w:t>
      </w:r>
      <w:r w:rsidR="00221796">
        <w:rPr>
          <w:rStyle w:val="FootnoteReference"/>
        </w:rPr>
        <w:footnoteReference w:id="9"/>
      </w:r>
      <w:r w:rsidR="00B5635A" w:rsidRPr="009F7264">
        <w:t xml:space="preserve"> stopa oszczędności gospodarstw domowych w UE utrzymuje się znacznie powyżej średniej państw Organizacji Współpracy Gospodarczej i Rozwoju; ubolewa, że około jedną trzecią tych oszczędności inwestuje się poza UE, co wskazuje na niedociągnięcia unijnych ram finansowych w zatrzymywaniu inwestycji; wzywa Komisję, aby oceniła, jak środki podatkowe mogą zachęcać do kierowania inwestycji do UE; podkreśla, że należy powstrzymywać odpływ środków finansowych do krajów znajdujących się w unijnym wykazie jurysdykcji niechętnych współpracy;</w:t>
      </w:r>
    </w:p>
    <w:p w14:paraId="4EC49372" w14:textId="4F720EE0" w:rsidR="00B5635A" w:rsidRPr="009F7264" w:rsidRDefault="004B423D" w:rsidP="00B5635A">
      <w:pPr>
        <w:pStyle w:val="NormalHanging12a"/>
      </w:pPr>
      <w:r>
        <w:t>10</w:t>
      </w:r>
      <w:r w:rsidR="00B5635A" w:rsidRPr="009F7264">
        <w:t>.</w:t>
      </w:r>
      <w:r w:rsidR="00B5635A" w:rsidRPr="009F7264">
        <w:tab/>
        <w:t xml:space="preserve">kładzie nacisk na znaczenie rozwoju unii oszczędności i inwestycji, aby zmobilizować oszczędności na rzecz inwestycji produkcyjnych; uważa, że ograniczenie rozdrobnienia </w:t>
      </w:r>
      <w:r w:rsidR="00B5635A" w:rsidRPr="009F7264">
        <w:lastRenderedPageBreak/>
        <w:t>podatkowego i poprawa kanałów inwestycji transgranicznych mają kluczowe znaczenie dla mobilizacji europejskich oszczędności na inwestycje w UE;</w:t>
      </w:r>
    </w:p>
    <w:p w14:paraId="66595C52" w14:textId="65B19717" w:rsidR="00B5635A" w:rsidRPr="009F7264" w:rsidRDefault="004B423D" w:rsidP="00B5635A">
      <w:pPr>
        <w:pStyle w:val="NormalHanging12a"/>
      </w:pPr>
      <w:r>
        <w:t>11</w:t>
      </w:r>
      <w:r w:rsidR="00B5635A" w:rsidRPr="009F7264">
        <w:t>.</w:t>
      </w:r>
      <w:r w:rsidR="00B5635A" w:rsidRPr="009F7264">
        <w:tab/>
        <w:t>podkreśla, że ramy podatkowe dotyczące usług finansowych należy opracować wraz z celami unii oszczędności i inwestycji, koncentrując się na zwiększeniu efektywności, przeciwdziałaniu zakłóceniom na rynku oraz wspieraniu inwestycji i długoterminowego wzrostu gospodarczego, przy jednoczesnym zapewnieniu zrównoważonego podejścia, które odzwierciedla również szersze względy gospodarcze i społeczne;</w:t>
      </w:r>
    </w:p>
    <w:p w14:paraId="0D37A2D0" w14:textId="68FE46E3" w:rsidR="00B5635A" w:rsidRPr="009F7264" w:rsidRDefault="004B423D" w:rsidP="00B5635A">
      <w:pPr>
        <w:pStyle w:val="NormalHanging12a"/>
      </w:pPr>
      <w:r>
        <w:t>12</w:t>
      </w:r>
      <w:r w:rsidR="00B5635A" w:rsidRPr="009F7264">
        <w:t>.</w:t>
      </w:r>
      <w:r w:rsidR="00B5635A" w:rsidRPr="009F7264">
        <w:tab/>
        <w:t>zauważa, że opodatkowanie sektora finansowego powinno podlegać zasadom prostoty, neutralności, sprawiedliwości, zrównoważonego rozwoju gospodarczego, środowiskowego i społecznego oraz pewności prawa; odnotowuje, że powinno ono również odzwierciedlać cykliczną dynamikę rentowności banków związaną z polityką pieniężną i warunkami gospodarczymi;</w:t>
      </w:r>
    </w:p>
    <w:p w14:paraId="2A6DC40E" w14:textId="7DF26421" w:rsidR="00B5635A" w:rsidRPr="009F7264" w:rsidRDefault="004B423D" w:rsidP="00B5635A">
      <w:pPr>
        <w:pStyle w:val="NormalHanging12a"/>
      </w:pPr>
      <w:r>
        <w:t>13</w:t>
      </w:r>
      <w:r w:rsidR="00B5635A" w:rsidRPr="009F7264">
        <w:t>.</w:t>
      </w:r>
      <w:r w:rsidR="00B5635A" w:rsidRPr="009F7264">
        <w:tab/>
        <w:t>wzywa Komisję, by wywiązała się z zobowiązania do zaproponowania innowacyjnych rozwiązań dotyczących opodatkowania sektora, które ograniczą fragmentację, będą sprzyjać dalszej integracji na poziomie UE i pomogą ukończyć unię oszczędności i inwestycji;</w:t>
      </w:r>
    </w:p>
    <w:p w14:paraId="5007134B" w14:textId="77777777" w:rsidR="00B5635A" w:rsidRPr="009F7264" w:rsidRDefault="00B5635A" w:rsidP="00B5635A">
      <w:pPr>
        <w:pStyle w:val="Normal12a"/>
      </w:pPr>
      <w:r w:rsidRPr="009F7264">
        <w:rPr>
          <w:b/>
          <w:i/>
        </w:rPr>
        <w:t>Rozwiązanie kwestii systemu VAT w odniesieniu do usług finansowych</w:t>
      </w:r>
    </w:p>
    <w:p w14:paraId="3A7C05A7" w14:textId="56F834E2" w:rsidR="00B5635A" w:rsidRPr="009F7264" w:rsidRDefault="004B423D" w:rsidP="00B5635A">
      <w:pPr>
        <w:pStyle w:val="NormalHanging12a"/>
      </w:pPr>
      <w:r>
        <w:t>14</w:t>
      </w:r>
      <w:r w:rsidR="00B5635A" w:rsidRPr="009F7264">
        <w:t>.</w:t>
      </w:r>
      <w:r w:rsidR="00B5635A" w:rsidRPr="009F7264">
        <w:tab/>
        <w:t>zauważa, że zwolnienie usług finansowych z VAT sięga 1977 r. i było odpowiedzią na trudności techniczne w stosowaniu podatku VAT do złożonych usług finansowych uznanych za niewykonalne pod względem administracyjnym; przyznaje, że to pierwotne techniczne uzasadnienie zwolnienia z VAT można obecnie uznać za nieaktualne w kontekście postępu technologicznego i cyfryzacji;</w:t>
      </w:r>
    </w:p>
    <w:p w14:paraId="42F1B69A" w14:textId="0B11955A" w:rsidR="00B5635A" w:rsidRPr="009F7264" w:rsidRDefault="004B423D" w:rsidP="00B5635A">
      <w:pPr>
        <w:pStyle w:val="NormalHanging12a"/>
      </w:pPr>
      <w:r>
        <w:t>15</w:t>
      </w:r>
      <w:r w:rsidR="00B5635A" w:rsidRPr="009F7264">
        <w:t>.</w:t>
      </w:r>
      <w:r w:rsidR="00B5635A" w:rsidRPr="009F7264">
        <w:tab/>
        <w:t>zauważa, że zwolnienie to niekoniecznie jest korzystne dla instytucji finansowych, ponieważ uniemożliwia im odzyskiwanie VAT; jest zdania, że status quo utrwala zakłócenia na rynku, może powodować brak przejrzystości i zwiększać koszty ponoszone przez konsumentów, wzmacnia tendencję do samozaopatrzenia w sektorze finansowym i stwarza niekorzystne warunki konkurencji w porównaniu z instytucjami z państw trzecich;</w:t>
      </w:r>
    </w:p>
    <w:p w14:paraId="4DF7111B" w14:textId="3C9B499B" w:rsidR="00B5635A" w:rsidRPr="009F7264" w:rsidRDefault="004B423D" w:rsidP="00B5635A">
      <w:pPr>
        <w:pStyle w:val="NormalHanging12a"/>
      </w:pPr>
      <w:r>
        <w:t>16</w:t>
      </w:r>
      <w:r w:rsidR="00B5635A" w:rsidRPr="009F7264">
        <w:t>.</w:t>
      </w:r>
      <w:r w:rsidR="00B5635A" w:rsidRPr="009F7264">
        <w:tab/>
        <w:t>podkreśla, że zwolnienia z VAT są często przyznawane działalności w interesie ogólnym w uznaniu jej istotnej funkcji społecznej; wskazuje, że niektóre podstawowe usługi finansowe – w szczególności usługi płatnicze, przyjmowanie depozytów i podstawowe udzielanie kredytów – mogą pełnić funkcję quasi-publiczną dzięki zabezpieczaniu oszczędności, umożliwianiu wymiany gospodarczej oraz zapewnianiu obywatelom i przedsiębiorstwom bezpiecznego udziału w gospodarce;</w:t>
      </w:r>
    </w:p>
    <w:p w14:paraId="1A580683" w14:textId="2C6383B8" w:rsidR="00B5635A" w:rsidRPr="009F7264" w:rsidRDefault="004B423D" w:rsidP="00B5635A">
      <w:pPr>
        <w:pStyle w:val="NormalHanging12a"/>
      </w:pPr>
      <w:r>
        <w:t>17</w:t>
      </w:r>
      <w:r w:rsidR="00B5635A" w:rsidRPr="009F7264">
        <w:t>.</w:t>
      </w:r>
      <w:r w:rsidR="00B5635A" w:rsidRPr="009F7264">
        <w:tab/>
        <w:t xml:space="preserve">odnotowuje, że kolejne inicjatywy Komisji, w tym wnioski z 2007 r. i wstępna ocena skutków z 2020 r., nie doprowadziły do reformy zwolnienia sektora finansowego z VAT, ponieważ państwa członkowskie nie zdołały osiągnąć jednomyślnego porozumienia; zauważa, że ostatnio Komisja planowała opublikować zmiany do </w:t>
      </w:r>
      <w:r w:rsidR="00B5635A" w:rsidRPr="009F7264">
        <w:lastRenderedPageBreak/>
        <w:t>dyrektywy VAT</w:t>
      </w:r>
      <w:r w:rsidR="00221796">
        <w:rPr>
          <w:rStyle w:val="FootnoteReference"/>
        </w:rPr>
        <w:footnoteReference w:id="10"/>
      </w:r>
      <w:r w:rsidR="00B5635A" w:rsidRPr="009F7264">
        <w:t xml:space="preserve"> na początku 2023 r.; zwraca uwagę, że plany te utknęły w martwym punkcie, w związku z czym nadal nie przeprowadzono niezbędnej reformy;</w:t>
      </w:r>
    </w:p>
    <w:p w14:paraId="3DFE90EE" w14:textId="00C0FD78" w:rsidR="00B5635A" w:rsidRPr="009F7264" w:rsidRDefault="004B423D" w:rsidP="00B5635A">
      <w:pPr>
        <w:pStyle w:val="NormalHanging12a"/>
      </w:pPr>
      <w:r>
        <w:t>18</w:t>
      </w:r>
      <w:r w:rsidR="00B5635A" w:rsidRPr="009F7264">
        <w:t>.</w:t>
      </w:r>
      <w:r w:rsidR="00B5635A" w:rsidRPr="009F7264">
        <w:tab/>
        <w:t>zauważa, że zgodnie z art. 11 dyrektywy VAT grupowe rozliczanie VAT pozostaje dla państw członkowskich opcjonalne i podlega ograniczeniom terytorialnym, co tworzy prawne i praktyczne przeszkody dla grup transgranicznych działających w sektorze usług finansowych;</w:t>
      </w:r>
    </w:p>
    <w:p w14:paraId="6A0ABCEC" w14:textId="06C88CFC" w:rsidR="00B5635A" w:rsidRPr="009F7264" w:rsidRDefault="004B423D" w:rsidP="00B5635A">
      <w:pPr>
        <w:pStyle w:val="NormalHanging12a"/>
      </w:pPr>
      <w:r>
        <w:t>19</w:t>
      </w:r>
      <w:r w:rsidR="00B5635A" w:rsidRPr="009F7264">
        <w:t>.</w:t>
      </w:r>
      <w:r w:rsidR="00B5635A" w:rsidRPr="009F7264">
        <w:tab/>
        <w:t>podkreśla, że pomimo grupowego rozliczania VAT i podziału kosztów w niektórych państwach członkowskich zwolnienie z VAT – w połączeniu z różnymi krajowymi przepisami podatkowymi dotyczącymi rekompensaty, takimi jak podatki od składek ubezpieczeniowych – tworzy złożone i rozdrobnione środowisko podatkowe, w związku z czym transgraniczne przestrzeganie przepisów podatkowych jest kosztowne, a koszty operacyjne przedsiębiorstw rosną; podkreśla, że potrzebne są jaśniejsze definicje VAT i uproszczone przepisy, aby zmniejszyć te obciążenia, zapewnić spójne stosowanie przepisów w całej UE, ułatwiać działalność transgraniczną i wspierać innowacje;</w:t>
      </w:r>
    </w:p>
    <w:p w14:paraId="38FE87FF" w14:textId="56D54F5A" w:rsidR="00B5635A" w:rsidRPr="009F7264" w:rsidRDefault="004B423D" w:rsidP="00B5635A">
      <w:pPr>
        <w:pStyle w:val="NormalHanging12a"/>
      </w:pPr>
      <w:r>
        <w:t>20</w:t>
      </w:r>
      <w:r w:rsidR="00B5635A" w:rsidRPr="009F7264">
        <w:t>.</w:t>
      </w:r>
      <w:r w:rsidR="00B5635A" w:rsidRPr="009F7264">
        <w:tab/>
        <w:t>zauważa, że grupowe rozliczanie podatku VAT, które może zmniejszyć obciążenia administracyjne dla instytucji finansowych i poprawić ich efektywność, jest obecnie stosowane nierównomiernie w poszczególnych państwach członkowskich i zasadniczo ogranicza się do podmiotów mających siedzibę w jednym państwie członkowskim; zwraca uwagę, że większa konwergencja w stosowaniu grupowego rozliczania VAT mogłaby zmniejszyć fragmentację i niepewność prawa na rynku wewnętrznym oraz ułatwić transgraniczną działalność w obszarze usług finansowych;</w:t>
      </w:r>
    </w:p>
    <w:p w14:paraId="17B40872" w14:textId="505210B0" w:rsidR="00B5635A" w:rsidRPr="009F7264" w:rsidRDefault="004B423D" w:rsidP="00B5635A">
      <w:pPr>
        <w:pStyle w:val="NormalHanging12a"/>
      </w:pPr>
      <w:r>
        <w:t>21</w:t>
      </w:r>
      <w:r w:rsidR="00B5635A" w:rsidRPr="009F7264">
        <w:t>.</w:t>
      </w:r>
      <w:r w:rsidR="00B5635A" w:rsidRPr="009F7264">
        <w:tab/>
        <w:t>wzywa Komisję, aby zachęcała państwa członkowskie do spójnego wdrażania grupowego rozliczania VAT oraz do zbadania opcji wprowadzenia jaśniejszych ram prawnych, w tym możliwości transgranicznego grupowego rozliczania VAT; podkreśla, że szersze stosowanie grupowego rozliczania VAT w odniesieniu do usług finansowych i ubezpieczeniowych musi być zgodne z przepisami dotyczącymi podatku od osób prawnych, w szczególności przepisami dotyczącymi cen transferowych, i muszą mu towarzyszyć wiążące zabezpieczenia przed nadużyciami, aby zapobiegać oszustwom i unikaniu opodatkowania, ucieczce VAT wewnątrz grupy i nadużyciom związanym z podziałem kosztów;</w:t>
      </w:r>
    </w:p>
    <w:p w14:paraId="70B4C9D7" w14:textId="77572220" w:rsidR="00B5635A" w:rsidRPr="009F7264" w:rsidRDefault="004B423D" w:rsidP="00B5635A">
      <w:pPr>
        <w:pStyle w:val="NormalHanging12a"/>
      </w:pPr>
      <w:r>
        <w:t>22</w:t>
      </w:r>
      <w:r w:rsidR="00B5635A" w:rsidRPr="009F7264">
        <w:t>.</w:t>
      </w:r>
      <w:r w:rsidR="00B5635A" w:rsidRPr="009F7264">
        <w:tab/>
        <w:t xml:space="preserve">zauważa, że w dyrektywie VAT brakuje szczegółowych przepisów dotyczących nowych instrumentów finansowych, w tym </w:t>
      </w:r>
      <w:proofErr w:type="spellStart"/>
      <w:r w:rsidR="00B5635A" w:rsidRPr="009F7264">
        <w:t>kryptoaktywów</w:t>
      </w:r>
      <w:proofErr w:type="spellEnd"/>
      <w:r w:rsidR="00B5635A" w:rsidRPr="009F7264">
        <w:t>, zdecentralizowanego finansowania i technologii finansowej; podkreśla, że ponadto nie odniesiono się w niej do opodatkowania instrumentów pochodnych podatkiem VAT oraz że opodatkowanie funduszy inwestycyjnych pozostaje rozbieżne w poszczególnych państwach członkowskich; zauważa, że doprowadziło to do rozbieżnych krajowych interpretacji przepisów VAT, niepewności prawa dla usługodawców i nierównego traktowania tradycyjnych i nowych usług finansowych oraz może utrudniać innowacje i konkurencyjność;</w:t>
      </w:r>
    </w:p>
    <w:p w14:paraId="62B0216F" w14:textId="64C51EEF" w:rsidR="00B5635A" w:rsidRPr="009F7264" w:rsidRDefault="004B423D" w:rsidP="00B5635A">
      <w:pPr>
        <w:pStyle w:val="NormalHanging12a"/>
      </w:pPr>
      <w:r>
        <w:t>23</w:t>
      </w:r>
      <w:r w:rsidR="00B5635A" w:rsidRPr="009F7264">
        <w:t>.</w:t>
      </w:r>
      <w:r w:rsidR="00B5635A" w:rsidRPr="009F7264">
        <w:tab/>
        <w:t xml:space="preserve">podkreśla, że w nowoczesnych ramach podatkowych należy wspierać innowacje w obszarze technologii finansowej i finansów cyfrowych oraz unikać tworzenia </w:t>
      </w:r>
      <w:r w:rsidR="00B5635A" w:rsidRPr="009F7264">
        <w:lastRenderedPageBreak/>
        <w:t>czynników regulacyjnych zniechęcających nowe podmioty wchodzące na rynek; wzywa Komisję do wyjaśnienia opodatkowania nowych usług finansowych podatkiem VAT, aby zapewnić neutralność technologiczną oraz równe warunki działania w całej UE;</w:t>
      </w:r>
    </w:p>
    <w:p w14:paraId="19FF818F" w14:textId="794093A8" w:rsidR="00B5635A" w:rsidRPr="009F7264" w:rsidRDefault="004B423D" w:rsidP="00B5635A">
      <w:pPr>
        <w:pStyle w:val="NormalHanging12a"/>
      </w:pPr>
      <w:r>
        <w:t>24</w:t>
      </w:r>
      <w:r w:rsidR="00B5635A" w:rsidRPr="009F7264">
        <w:t>.</w:t>
      </w:r>
      <w:r w:rsidR="00B5635A" w:rsidRPr="009F7264">
        <w:tab/>
        <w:t>uważa, że szerokie i niezróżnicowane zwolnienie z VAT dla całego sektora finansowego budzi wątpliwości co do ogólnej spójności i równowagi systemu podatkowego; podkreśla, że reforma zwolnienia z VAT mogłaby ograniczyć zakłócenia i poziom VAT niepodlegającego zwrotowi, nie powodując niewspółmiernej złożoności administracyjnej; zauważa, że rozwiązania mające na celu zniesienie zwolnienia z podatku VAT mogłyby skutecznie wyeliminować VAT niepodlegający zwrotowi, umożliwiając podmiotom finansowym pełne odzyskanie VAT, który płacą od towarów i usług wykorzystywanych w prowadzonej działalności; zwraca uwagę, że powstrzymałoby to obecną tendencję do internalizacji usług zamiast ich outsourcingu, co może ograniczać zdolność przedsiębiorstw do specjalizacji, dostępu do zewnętrznej wiedzy fachowej i innowacji; uznaje, że reforma ta mogłaby również wyrównać warunki działania w stosunku do innych jurysdykcji i wzmocnić międzynarodową konkurencyjność instytucji finansowych UE;</w:t>
      </w:r>
    </w:p>
    <w:p w14:paraId="7A1A0371" w14:textId="3D6D9642" w:rsidR="00B5635A" w:rsidRPr="009F7264" w:rsidRDefault="004B423D" w:rsidP="00B5635A">
      <w:pPr>
        <w:pStyle w:val="NormalHanging12a"/>
      </w:pPr>
      <w:r>
        <w:t>25</w:t>
      </w:r>
      <w:r w:rsidR="00B5635A" w:rsidRPr="009F7264">
        <w:t>.</w:t>
      </w:r>
      <w:r w:rsidR="00B5635A" w:rsidRPr="009F7264">
        <w:tab/>
        <w:t>przypomina, że VAT stanowi zharmonizowane ramy podatkowe na poziomie UE, chociaż państwa członkowskie zachowują pewną swobodę w ich wdrażaniu; uznaje w związku z tym, że kwestią reformy systemu VAT w odniesieniu do usług finansowych należy zająć się na poziomie UE;</w:t>
      </w:r>
    </w:p>
    <w:p w14:paraId="5303049B" w14:textId="5D8526C5" w:rsidR="00B5635A" w:rsidRPr="009F7264" w:rsidRDefault="004B423D" w:rsidP="00B5635A">
      <w:pPr>
        <w:pStyle w:val="NormalHanging12a"/>
      </w:pPr>
      <w:r>
        <w:t>26</w:t>
      </w:r>
      <w:r w:rsidR="00B5635A" w:rsidRPr="009F7264">
        <w:t>.</w:t>
      </w:r>
      <w:r w:rsidR="00B5635A" w:rsidRPr="009F7264">
        <w:tab/>
        <w:t>wzywa Komisję do przeglądu wpływu obecnego systemu VAT na sektor finansowy i do upublicznienia tej analizy; apeluje do Komisji o rozważenie wariantów strategicznych służących przeciwdziałaniu stwierdzonym skutkom zakłócającym; podkreśla, że taka reforma powinna ograniczyć VAT niepodlegający zwrotowi i fragmentaryczne stosowanie przepisów, zwiększyć pewność prawa i sprawiedliwość podatkową oraz wzmocnić konkurencyjność rynków finansowych UE, a jednocześnie zabezpieczyć stabilność finansową i zminimalizować arbitraż regulacyjny między państwami członkowskimi; zwraca uwagę, że taka reforma musi również chronić konsumentów i zapewniać sprawiedliwy wkład sektora finansowego w dochody publiczne;</w:t>
      </w:r>
    </w:p>
    <w:p w14:paraId="35D48035" w14:textId="582D4A07" w:rsidR="00B5635A" w:rsidRPr="009F7264" w:rsidRDefault="004B423D" w:rsidP="00B5635A">
      <w:pPr>
        <w:pStyle w:val="NormalHanging12a"/>
      </w:pPr>
      <w:r>
        <w:t>27</w:t>
      </w:r>
      <w:r w:rsidR="00B5635A" w:rsidRPr="009F7264">
        <w:t>.</w:t>
      </w:r>
      <w:r w:rsidR="00B5635A" w:rsidRPr="009F7264">
        <w:tab/>
        <w:t>zauważa, że podstawą wszelkich propozycji przeglądu ram VAT powinna być dogłębna analiza na poziomie makroekonomicznym oraz kompleksowe mapowanie krajowych podatków i opłat bankowych; podkreśla, że taka analiza powinna uwzględniać skutki administracyjne dla usług finansowych, interakcje między istniejącymi krajowymi podatkami bankowymi, opłatami nakładanymi na sektor finansowy a systemem VAT oraz wpływ na jednolity rynek;</w:t>
      </w:r>
    </w:p>
    <w:p w14:paraId="34473930" w14:textId="5C7DCF0D" w:rsidR="00B5635A" w:rsidRPr="009F7264" w:rsidRDefault="004B423D" w:rsidP="00B5635A">
      <w:pPr>
        <w:pStyle w:val="NormalHanging12a"/>
      </w:pPr>
      <w:r>
        <w:t>28</w:t>
      </w:r>
      <w:r w:rsidR="00B5635A" w:rsidRPr="009F7264">
        <w:t>.</w:t>
      </w:r>
      <w:r w:rsidR="00B5635A" w:rsidRPr="009F7264">
        <w:tab/>
        <w:t>zaznacza, że wszelkie zmiany w opodatkowaniu usług finansowych podatkiem VAT muszą dokładnie oceniać wpływ na usługi świadczone konsumentom detalicznym, w szczególności gospodarstwom domowym o niskich i średnich dochodach, oraz unikać dodatkowych kosztów ogólnych;</w:t>
      </w:r>
    </w:p>
    <w:p w14:paraId="2B69A84D" w14:textId="617CFDC3" w:rsidR="00B5635A" w:rsidRPr="009F7264" w:rsidRDefault="004B423D" w:rsidP="00B5635A">
      <w:pPr>
        <w:pStyle w:val="NormalHanging12a"/>
      </w:pPr>
      <w:r>
        <w:t>9</w:t>
      </w:r>
      <w:r w:rsidR="00B5635A" w:rsidRPr="009F7264">
        <w:t>.</w:t>
      </w:r>
      <w:r w:rsidR="00B5635A" w:rsidRPr="009F7264">
        <w:tab/>
        <w:t>wzywa Komisję, aby w ramach ewentualnej reformy zwolnienia z podatku VAT oceniła możliwość zastąpienia krajowych podatków od składek ubezpieczeniowych za pośrednictwem pełnej integracji usług ubezpieczeniowych z systemem VAT;</w:t>
      </w:r>
    </w:p>
    <w:p w14:paraId="0F6A5EDA" w14:textId="77777777" w:rsidR="00B5635A" w:rsidRPr="009F7264" w:rsidRDefault="00B5635A" w:rsidP="00B5635A">
      <w:pPr>
        <w:pStyle w:val="Normal12a"/>
      </w:pPr>
      <w:r w:rsidRPr="009F7264">
        <w:rPr>
          <w:b/>
          <w:i/>
        </w:rPr>
        <w:t>Dążenie do spójniejszych ram podatkowych dla sektora finansowego</w:t>
      </w:r>
    </w:p>
    <w:p w14:paraId="7EC5929B" w14:textId="4F7C978F" w:rsidR="00B5635A" w:rsidRPr="009F7264" w:rsidRDefault="004B423D" w:rsidP="00B5635A">
      <w:pPr>
        <w:pStyle w:val="NormalHanging12a"/>
      </w:pPr>
      <w:r>
        <w:lastRenderedPageBreak/>
        <w:t>30</w:t>
      </w:r>
      <w:r w:rsidR="00B5635A" w:rsidRPr="009F7264">
        <w:t>.</w:t>
      </w:r>
      <w:r w:rsidR="00B5635A" w:rsidRPr="009F7264">
        <w:tab/>
        <w:t>przypomina, że aby osiągnąć swoje cele w dziedzinie klimatu, autonomii cyfrowej i strategicznej, UE musi zaradzić znacznej luce inwestycyjnej wynoszącej 750–800 mld EUR rocznie; przypomina o zobowiązaniu państw członkowskich i UE do znacznego zwiększenia europejskich inwestycji w obronność; podkreśla, że aby sprostać tym wyzwaniom, sprawiedliwe i spójniejsze opodatkowanie sektora finansowego mogłoby przyczynić się do mobilizacji kapitału prywatnego, pobudzając w ten sposób inwestycje detaliczne, oraz do wzmocnienia europejskich rynków kapitałowych, przy jednoczesnym pozyskaniu środków na inwestycje publiczne związane z priorytetami strategicznymi oraz naszymi potrzebami społecznymi, klimatycznymi i inwestycyjnymi, a tym samym do wzmocnienia konkurencyjności UE;</w:t>
      </w:r>
    </w:p>
    <w:p w14:paraId="7C963419" w14:textId="79CF348B" w:rsidR="00B5635A" w:rsidRPr="009F7264" w:rsidRDefault="004B423D" w:rsidP="00B5635A">
      <w:pPr>
        <w:pStyle w:val="NormalHanging12a"/>
      </w:pPr>
      <w:r>
        <w:t>31</w:t>
      </w:r>
      <w:r w:rsidR="00B5635A" w:rsidRPr="009F7264">
        <w:t>.</w:t>
      </w:r>
      <w:r w:rsidR="00B5635A" w:rsidRPr="009F7264">
        <w:tab/>
        <w:t>przypomina w tym kontekście o porozumieniu z 2020 r. między Parlamentem, Radą i Komisją w sprawie planu działania na rzecz wprowadzenia nowych zasobów własnych, w tym PTF, na podstawie wyników oceny skutków;</w:t>
      </w:r>
    </w:p>
    <w:p w14:paraId="2959A396" w14:textId="1D1FB268" w:rsidR="00B5635A" w:rsidRPr="009F7264" w:rsidRDefault="004B423D" w:rsidP="00B5635A">
      <w:pPr>
        <w:pStyle w:val="NormalHanging12a"/>
      </w:pPr>
      <w:r>
        <w:t>32</w:t>
      </w:r>
      <w:r w:rsidR="00B5635A" w:rsidRPr="009F7264">
        <w:t>.</w:t>
      </w:r>
      <w:r w:rsidR="00B5635A" w:rsidRPr="009F7264">
        <w:tab/>
        <w:t>odnotowuje brak postępów w Radzie w sprawie wniosku dotyczącego PTF pomimo szeroko zakrojonej debaty zarówno w ramach zasady jednomyślności, jak i wzmocnionej współpracy oraz przyjmuje do wiadomości zapowiedź Komisji w programie prac na 2026 r., że wycofa wniosek w sprawie PTF;</w:t>
      </w:r>
    </w:p>
    <w:p w14:paraId="6EE578BF" w14:textId="640C07A3" w:rsidR="00B5635A" w:rsidRPr="009F7264" w:rsidRDefault="004B423D" w:rsidP="00B5635A">
      <w:pPr>
        <w:pStyle w:val="NormalHanging12a"/>
      </w:pPr>
      <w:r>
        <w:t>33</w:t>
      </w:r>
      <w:r w:rsidR="00B5635A" w:rsidRPr="009F7264">
        <w:t>.</w:t>
      </w:r>
      <w:r w:rsidR="00B5635A" w:rsidRPr="009F7264">
        <w:tab/>
        <w:t>jest zdania, że regularne oceny skutków gospodarczych i dalszej adekwatności polityki podatkowej w sektorze finansowym mają kluczowe znaczenie, aby unikać niezamierzonych lub trwałych zakłóceń na rynkach finansowych; odnotowuje z zadowoleniem, że Komisja przeprowadza kompleksową analizę potencjalnego wpływu ogólnego opodatkowania sektora finansowego na funkcjonowanie rynku, inwestycje transgraniczne i konkurencyjność rynków finansowych UE;</w:t>
      </w:r>
    </w:p>
    <w:p w14:paraId="74562D9F" w14:textId="3C8DD979" w:rsidR="00B5635A" w:rsidRPr="009F7264" w:rsidRDefault="004B423D" w:rsidP="00B5635A">
      <w:pPr>
        <w:pStyle w:val="NormalHanging12a"/>
      </w:pPr>
      <w:r>
        <w:t>34</w:t>
      </w:r>
      <w:r w:rsidR="00B5635A" w:rsidRPr="009F7264">
        <w:t>.</w:t>
      </w:r>
      <w:r w:rsidR="00B5635A" w:rsidRPr="009F7264">
        <w:tab/>
        <w:t>podkreśla, że przepisy podatkowe dla sektora finansowego powinny zostać uproszczone i gwarantować, że sektor ten wnosi sprawiedliwy i solidny wkład finansowy, a także powinny być jasne, przejrzyste i przewidywalne, aby ograniczyć rozdrobnienie, umożliwić inwestycje i działalność transgraniczną, a jednocześnie zapewnić wysoki poziom ochrony konsumentów; zaznacza, że przepisy te powinny poprawić wydajność i alokację kapitału, chronić stabilność i konkurencyjność rynku i zmniejszyć koszty przestrzegania przepisów, w szczególności dla konsumentów detalicznych oraz małych i średnich przedsiębiorstw;</w:t>
      </w:r>
    </w:p>
    <w:p w14:paraId="29211EE1" w14:textId="77777777" w:rsidR="00B5635A" w:rsidRPr="009F7264" w:rsidRDefault="00B5635A" w:rsidP="00B5635A">
      <w:pPr>
        <w:pStyle w:val="NormalCenter12a"/>
      </w:pPr>
      <w:r w:rsidRPr="009F7264">
        <w:t>°</w:t>
      </w:r>
    </w:p>
    <w:p w14:paraId="76AA69CA" w14:textId="77777777" w:rsidR="00B5635A" w:rsidRPr="009F7264" w:rsidRDefault="00B5635A" w:rsidP="00B5635A">
      <w:pPr>
        <w:pStyle w:val="NormalCenter12a"/>
      </w:pPr>
      <w:r w:rsidRPr="009F7264">
        <w:t>°</w:t>
      </w:r>
      <w:r w:rsidRPr="009F7264">
        <w:tab/>
        <w:t>°</w:t>
      </w:r>
    </w:p>
    <w:p w14:paraId="604A9B81" w14:textId="38EFC30B" w:rsidR="00E365E1" w:rsidRPr="009F7264" w:rsidRDefault="004B423D" w:rsidP="004B423D">
      <w:pPr>
        <w:pStyle w:val="NormalHanging12a"/>
      </w:pPr>
      <w:r>
        <w:t>35</w:t>
      </w:r>
      <w:r w:rsidR="00B5635A" w:rsidRPr="009F7264">
        <w:t>.</w:t>
      </w:r>
      <w:r w:rsidR="00B5635A" w:rsidRPr="009F7264">
        <w:tab/>
        <w:t>zobowiązuje swoją przewodniczącą do przekazania niniejszej rezolucji Radzie i Komisji.</w:t>
      </w:r>
    </w:p>
    <w:sectPr w:rsidR="00E365E1" w:rsidRPr="009F7264" w:rsidSect="009F72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2DD44" w14:textId="77777777" w:rsidR="00AA2C07" w:rsidRPr="009F7264" w:rsidRDefault="00AA2C07">
      <w:r w:rsidRPr="009F7264">
        <w:separator/>
      </w:r>
    </w:p>
  </w:endnote>
  <w:endnote w:type="continuationSeparator" w:id="0">
    <w:p w14:paraId="325869BC" w14:textId="77777777" w:rsidR="00AA2C07" w:rsidRPr="009F7264" w:rsidRDefault="00AA2C07">
      <w:r w:rsidRPr="009F72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101D1" w14:textId="77777777" w:rsidR="00064002" w:rsidRPr="009F726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7CB92" w14:textId="77777777" w:rsidR="00064002" w:rsidRPr="009F726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F0F35" w14:textId="77777777" w:rsidR="00064002" w:rsidRPr="009F726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02263" w14:textId="77777777" w:rsidR="00AA2C07" w:rsidRPr="009F7264" w:rsidRDefault="00AA2C07">
      <w:r w:rsidRPr="009F7264">
        <w:separator/>
      </w:r>
    </w:p>
  </w:footnote>
  <w:footnote w:type="continuationSeparator" w:id="0">
    <w:p w14:paraId="4778B0F1" w14:textId="77777777" w:rsidR="00AA2C07" w:rsidRPr="009F7264" w:rsidRDefault="00AA2C07">
      <w:r w:rsidRPr="009F7264">
        <w:continuationSeparator/>
      </w:r>
    </w:p>
  </w:footnote>
  <w:footnote w:id="1">
    <w:p w14:paraId="2A1DC38D" w14:textId="7E6E1D8C" w:rsidR="00221796" w:rsidRPr="009F7264" w:rsidRDefault="00221796" w:rsidP="009F7264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9F7264">
        <w:rPr>
          <w:sz w:val="24"/>
          <w:lang w:val="pl-PL"/>
        </w:rPr>
        <w:t xml:space="preserve"> </w:t>
      </w:r>
      <w:r w:rsidRPr="009F7264">
        <w:rPr>
          <w:sz w:val="24"/>
          <w:lang w:val="pl-PL"/>
        </w:rPr>
        <w:tab/>
        <w:t xml:space="preserve">Dz.U. L 150 z 9.6.2023, s. 40, ELI: </w:t>
      </w:r>
      <w:hyperlink r:id="rId1" w:tgtFrame="http://data.europa.eu/eli/reg/2023/1114/oj" w:history="1">
        <w:r w:rsidRPr="009F7264">
          <w:rPr>
            <w:rStyle w:val="Hyperlink"/>
            <w:sz w:val="24"/>
            <w:lang w:val="pl-PL"/>
          </w:rPr>
          <w:t>http://data.europa.eu/eli/reg/2023/1114/oj</w:t>
        </w:r>
      </w:hyperlink>
      <w:r w:rsidRPr="009F7264">
        <w:rPr>
          <w:sz w:val="24"/>
          <w:lang w:val="pl-PL"/>
        </w:rPr>
        <w:t>.</w:t>
      </w:r>
    </w:p>
  </w:footnote>
  <w:footnote w:id="2">
    <w:p w14:paraId="108B0108" w14:textId="21210578" w:rsidR="00221796" w:rsidRPr="009F7264" w:rsidRDefault="00221796" w:rsidP="009F7264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9F7264">
        <w:rPr>
          <w:sz w:val="24"/>
          <w:lang w:val="pl-PL"/>
        </w:rPr>
        <w:t xml:space="preserve"> </w:t>
      </w:r>
      <w:r w:rsidRPr="009F7264">
        <w:rPr>
          <w:sz w:val="24"/>
          <w:lang w:val="pl-PL"/>
        </w:rPr>
        <w:tab/>
        <w:t xml:space="preserve">Dz.U. L 424 z 15.12.2020, s. 1, ELI: </w:t>
      </w:r>
      <w:r>
        <w:fldChar w:fldCharType="begin"/>
      </w:r>
      <w:r w:rsidRPr="004B423D">
        <w:rPr>
          <w:lang w:val="pl-PL"/>
        </w:rPr>
        <w:instrText>HYPERLINK "http://data.europa.eu/eli/dec/2020/2053/oj" \t "http://data.europa.eu/eli/dec/2020/2053/oj"</w:instrText>
      </w:r>
      <w:r>
        <w:fldChar w:fldCharType="separate"/>
      </w:r>
      <w:r w:rsidRPr="009F7264">
        <w:rPr>
          <w:rStyle w:val="Hyperlink"/>
          <w:sz w:val="24"/>
          <w:lang w:val="pl-PL"/>
        </w:rPr>
        <w:t>http://data.europa.eu/eli/dec/2020/2053/oj</w:t>
      </w:r>
      <w:r>
        <w:fldChar w:fldCharType="end"/>
      </w:r>
      <w:r w:rsidRPr="009F7264">
        <w:rPr>
          <w:sz w:val="24"/>
          <w:lang w:val="pl-PL"/>
        </w:rPr>
        <w:t>.</w:t>
      </w:r>
    </w:p>
  </w:footnote>
  <w:footnote w:id="3">
    <w:p w14:paraId="3E571828" w14:textId="4456CBAD" w:rsidR="00221796" w:rsidRPr="009F7264" w:rsidRDefault="00221796" w:rsidP="009F7264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9F7264">
        <w:rPr>
          <w:sz w:val="24"/>
          <w:lang w:val="pl-PL"/>
        </w:rPr>
        <w:t xml:space="preserve"> </w:t>
      </w:r>
      <w:r w:rsidRPr="009F7264">
        <w:rPr>
          <w:sz w:val="24"/>
          <w:lang w:val="pl-PL"/>
        </w:rPr>
        <w:tab/>
        <w:t xml:space="preserve">Badanie pt. „The </w:t>
      </w:r>
      <w:proofErr w:type="spellStart"/>
      <w:r w:rsidRPr="009F7264">
        <w:rPr>
          <w:sz w:val="24"/>
          <w:lang w:val="pl-PL"/>
        </w:rPr>
        <w:t>taxation</w:t>
      </w:r>
      <w:proofErr w:type="spellEnd"/>
      <w:r w:rsidRPr="009F7264">
        <w:rPr>
          <w:sz w:val="24"/>
          <w:lang w:val="pl-PL"/>
        </w:rPr>
        <w:t xml:space="preserve"> of the </w:t>
      </w:r>
      <w:proofErr w:type="spellStart"/>
      <w:r w:rsidRPr="009F7264">
        <w:rPr>
          <w:sz w:val="24"/>
          <w:lang w:val="pl-PL"/>
        </w:rPr>
        <w:t>EU’s</w:t>
      </w:r>
      <w:proofErr w:type="spellEnd"/>
      <w:r w:rsidRPr="009F7264">
        <w:rPr>
          <w:sz w:val="24"/>
          <w:lang w:val="pl-PL"/>
        </w:rPr>
        <w:t xml:space="preserve"> </w:t>
      </w:r>
      <w:proofErr w:type="spellStart"/>
      <w:r w:rsidRPr="009F7264">
        <w:rPr>
          <w:sz w:val="24"/>
          <w:lang w:val="pl-PL"/>
        </w:rPr>
        <w:t>financial</w:t>
      </w:r>
      <w:proofErr w:type="spellEnd"/>
      <w:r w:rsidRPr="009F7264">
        <w:rPr>
          <w:sz w:val="24"/>
          <w:lang w:val="pl-PL"/>
        </w:rPr>
        <w:t xml:space="preserve"> </w:t>
      </w:r>
      <w:proofErr w:type="spellStart"/>
      <w:r w:rsidRPr="009F7264">
        <w:rPr>
          <w:sz w:val="24"/>
          <w:lang w:val="pl-PL"/>
        </w:rPr>
        <w:t>sector</w:t>
      </w:r>
      <w:proofErr w:type="spellEnd"/>
      <w:r w:rsidRPr="009F7264">
        <w:rPr>
          <w:sz w:val="24"/>
          <w:lang w:val="pl-PL"/>
        </w:rPr>
        <w:t>” [Opodatkowanie sektora finansowego UE], Parlament Europejski, Dyrekcja Generalna ds. Gospodarki, Transformacji i Przemysłu, Departament Tematyczny ds. Gospodarki i Wzrostu, czerwiec 2025 r.</w:t>
      </w:r>
    </w:p>
  </w:footnote>
  <w:footnote w:id="4">
    <w:p w14:paraId="75A5B38E" w14:textId="221506A7" w:rsidR="00221796" w:rsidRPr="009F7264" w:rsidRDefault="00221796" w:rsidP="009F7264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9F7264">
        <w:rPr>
          <w:sz w:val="24"/>
          <w:lang w:val="pl-PL"/>
        </w:rPr>
        <w:t xml:space="preserve"> </w:t>
      </w:r>
      <w:r w:rsidRPr="009F7264">
        <w:rPr>
          <w:sz w:val="24"/>
          <w:lang w:val="pl-PL"/>
        </w:rPr>
        <w:tab/>
        <w:t xml:space="preserve">Dz.U. L 433 I z 22.12.2020, s. 28. ELI: </w:t>
      </w:r>
      <w:r>
        <w:fldChar w:fldCharType="begin"/>
      </w:r>
      <w:r w:rsidRPr="004B423D">
        <w:rPr>
          <w:lang w:val="pl-PL"/>
        </w:rPr>
        <w:instrText>HYPERLINK "http://data.europa.eu/eli/agree_interinstit/2020/1222/oj" \t "http://data.europa.eu/eli/agree_interinstit/2020/1222/oj"</w:instrText>
      </w:r>
      <w:r>
        <w:fldChar w:fldCharType="separate"/>
      </w:r>
      <w:r w:rsidRPr="009F7264">
        <w:rPr>
          <w:rStyle w:val="Hyperlink"/>
          <w:sz w:val="24"/>
          <w:lang w:val="pl-PL"/>
        </w:rPr>
        <w:t>http://data.europa.eu/eli/agree_interinstit/2020/1222/oj</w:t>
      </w:r>
      <w:r>
        <w:fldChar w:fldCharType="end"/>
      </w:r>
      <w:r w:rsidRPr="009F7264">
        <w:rPr>
          <w:sz w:val="24"/>
          <w:lang w:val="pl-PL"/>
        </w:rPr>
        <w:t>.</w:t>
      </w:r>
    </w:p>
  </w:footnote>
  <w:footnote w:id="5">
    <w:p w14:paraId="41BB6F96" w14:textId="20401289" w:rsidR="00221796" w:rsidRPr="00221796" w:rsidRDefault="00221796" w:rsidP="009F7264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221796">
        <w:rPr>
          <w:sz w:val="24"/>
          <w:lang w:val="fi-FI"/>
        </w:rPr>
        <w:t xml:space="preserve"> </w:t>
      </w:r>
      <w:r w:rsidRPr="00221796">
        <w:rPr>
          <w:sz w:val="24"/>
          <w:lang w:val="fi-FI"/>
        </w:rPr>
        <w:tab/>
      </w:r>
      <w:proofErr w:type="spellStart"/>
      <w:r w:rsidRPr="00221796">
        <w:rPr>
          <w:sz w:val="24"/>
          <w:lang w:val="fi-FI"/>
        </w:rPr>
        <w:t>Dz.U</w:t>
      </w:r>
      <w:proofErr w:type="spellEnd"/>
      <w:r w:rsidRPr="00221796">
        <w:rPr>
          <w:sz w:val="24"/>
          <w:lang w:val="fi-FI"/>
        </w:rPr>
        <w:t>. C, C/2023/1067, 15.12.2023, ELI: http://data.europa.eu/eli/C/2023/1067/oj.</w:t>
      </w:r>
    </w:p>
  </w:footnote>
  <w:footnote w:id="6">
    <w:p w14:paraId="6A60A507" w14:textId="705B35F4" w:rsidR="00221796" w:rsidRPr="00221796" w:rsidRDefault="00221796" w:rsidP="009F7264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221796">
        <w:rPr>
          <w:sz w:val="24"/>
          <w:lang w:val="fi-FI"/>
        </w:rPr>
        <w:t xml:space="preserve"> </w:t>
      </w:r>
      <w:r w:rsidRPr="00221796">
        <w:rPr>
          <w:sz w:val="24"/>
          <w:lang w:val="fi-FI"/>
        </w:rPr>
        <w:tab/>
      </w:r>
      <w:proofErr w:type="spellStart"/>
      <w:r w:rsidRPr="00221796">
        <w:rPr>
          <w:sz w:val="24"/>
          <w:lang w:val="fi-FI"/>
        </w:rPr>
        <w:t>Dz.U</w:t>
      </w:r>
      <w:proofErr w:type="spellEnd"/>
      <w:r w:rsidRPr="00221796">
        <w:rPr>
          <w:sz w:val="24"/>
          <w:lang w:val="fi-FI"/>
        </w:rPr>
        <w:t xml:space="preserve">. L, 2025/2029, 8.10.2025, ELI: </w:t>
      </w:r>
      <w:r>
        <w:fldChar w:fldCharType="begin"/>
      </w:r>
      <w:r w:rsidRPr="004B423D">
        <w:rPr>
          <w:lang w:val="fi-FI"/>
        </w:rPr>
        <w:instrText>HYPERLINK "http://data.europa.eu/eli/reco/2025/2029/oj" \t "http://data.europa.eu/eli/reco/2025/2029/oj"</w:instrText>
      </w:r>
      <w:r>
        <w:fldChar w:fldCharType="separate"/>
      </w:r>
      <w:r w:rsidRPr="00221796">
        <w:rPr>
          <w:rStyle w:val="Hyperlink"/>
          <w:sz w:val="24"/>
          <w:lang w:val="fi-FI"/>
        </w:rPr>
        <w:t>http://data.europa.eu/eli/reco/2025/2029/oj</w:t>
      </w:r>
      <w:r>
        <w:fldChar w:fldCharType="end"/>
      </w:r>
      <w:r w:rsidRPr="00221796">
        <w:rPr>
          <w:sz w:val="24"/>
          <w:lang w:val="fi-FI"/>
        </w:rPr>
        <w:t>.</w:t>
      </w:r>
    </w:p>
  </w:footnote>
  <w:footnote w:id="7">
    <w:p w14:paraId="501C73A2" w14:textId="44BDB7BE" w:rsidR="00221796" w:rsidRPr="00221796" w:rsidRDefault="00221796" w:rsidP="009F7264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221796">
        <w:rPr>
          <w:sz w:val="24"/>
          <w:lang w:val="fi-FI"/>
        </w:rPr>
        <w:t xml:space="preserve"> </w:t>
      </w:r>
      <w:r w:rsidRPr="00221796">
        <w:rPr>
          <w:sz w:val="24"/>
          <w:lang w:val="fi-FI"/>
        </w:rPr>
        <w:tab/>
      </w:r>
      <w:proofErr w:type="spellStart"/>
      <w:r w:rsidRPr="00221796">
        <w:rPr>
          <w:sz w:val="24"/>
          <w:lang w:val="fi-FI"/>
        </w:rPr>
        <w:t>Dz.U</w:t>
      </w:r>
      <w:proofErr w:type="spellEnd"/>
      <w:r w:rsidRPr="00221796">
        <w:rPr>
          <w:sz w:val="24"/>
          <w:lang w:val="fi-FI"/>
        </w:rPr>
        <w:t xml:space="preserve">. L, 2025/50, 10.1.2025, ELI: </w:t>
      </w:r>
      <w:r>
        <w:fldChar w:fldCharType="begin"/>
      </w:r>
      <w:r w:rsidRPr="004B423D">
        <w:rPr>
          <w:lang w:val="fi-FI"/>
        </w:rPr>
        <w:instrText>HYPERLINK "http://data.europa.eu/eli/dir/2025/50/oj" \t "http://data.europa.eu/eli/dir/2025/50/oj"</w:instrText>
      </w:r>
      <w:r>
        <w:fldChar w:fldCharType="separate"/>
      </w:r>
      <w:r w:rsidRPr="00221796">
        <w:rPr>
          <w:rStyle w:val="Hyperlink"/>
          <w:sz w:val="24"/>
          <w:lang w:val="fi-FI"/>
        </w:rPr>
        <w:t>http://data.europa.eu/eli/dir/2025/50/oj</w:t>
      </w:r>
      <w:r>
        <w:fldChar w:fldCharType="end"/>
      </w:r>
      <w:r w:rsidRPr="00221796">
        <w:rPr>
          <w:sz w:val="24"/>
          <w:lang w:val="fi-FI"/>
        </w:rPr>
        <w:t>.</w:t>
      </w:r>
    </w:p>
  </w:footnote>
  <w:footnote w:id="8">
    <w:p w14:paraId="0734F6BA" w14:textId="1C2218AF" w:rsidR="00221796" w:rsidRPr="009F7264" w:rsidRDefault="00221796" w:rsidP="009F7264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9F7264">
        <w:rPr>
          <w:sz w:val="24"/>
          <w:lang w:val="pl-PL"/>
        </w:rPr>
        <w:t xml:space="preserve"> </w:t>
      </w:r>
      <w:r w:rsidRPr="009F7264">
        <w:rPr>
          <w:sz w:val="24"/>
          <w:lang w:val="pl-PL"/>
        </w:rPr>
        <w:tab/>
        <w:t xml:space="preserve">Rezolucja ustawodawcza Parlamentu Europejskiego z </w:t>
      </w:r>
      <w:r>
        <w:rPr>
          <w:sz w:val="24"/>
          <w:lang w:val="pl-PL"/>
        </w:rPr>
        <w:t xml:space="preserve">dnia </w:t>
      </w:r>
      <w:r w:rsidRPr="009F7264">
        <w:rPr>
          <w:sz w:val="24"/>
          <w:lang w:val="pl-PL"/>
        </w:rPr>
        <w:t xml:space="preserve">10 kwietnia 2024 r. w sprawie wniosku dotyczącego dyrektywy Rady ustanawiającej system opodatkowania według siedziby głównej dla mikroprzedsiębiorstw oraz małych i średnich przedsiębiorstw i zmieniającej dyrektywę 2011/16/UE (Dz.U. C, C/2025/1326, 13.3.2025, ELI: </w:t>
      </w:r>
      <w:hyperlink r:id="rId2" w:tgtFrame="http://data.europa.eu/eli/C/2025/1326/oj" w:history="1">
        <w:r w:rsidRPr="009F7264">
          <w:rPr>
            <w:rStyle w:val="Hyperlink"/>
            <w:sz w:val="24"/>
            <w:lang w:val="pl-PL"/>
          </w:rPr>
          <w:t>http://data.europa.eu/eli/C/2025/1326/oj</w:t>
        </w:r>
      </w:hyperlink>
      <w:r w:rsidRPr="009F7264">
        <w:rPr>
          <w:sz w:val="24"/>
          <w:lang w:val="pl-PL"/>
        </w:rPr>
        <w:t>).</w:t>
      </w:r>
    </w:p>
  </w:footnote>
  <w:footnote w:id="9">
    <w:p w14:paraId="3FC90746" w14:textId="53582032" w:rsidR="00221796" w:rsidRPr="009F7264" w:rsidRDefault="00221796" w:rsidP="009F7264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9F7264">
        <w:rPr>
          <w:sz w:val="24"/>
          <w:lang w:val="pl-PL"/>
        </w:rPr>
        <w:t xml:space="preserve"> </w:t>
      </w:r>
      <w:r w:rsidRPr="009F7264">
        <w:rPr>
          <w:sz w:val="24"/>
          <w:lang w:val="pl-PL"/>
        </w:rPr>
        <w:tab/>
        <w:t>Komisja Europejska „Europejskie sprawozdanie makroekonomiczne na 2026 r.”, listopad 2025 r.</w:t>
      </w:r>
    </w:p>
  </w:footnote>
  <w:footnote w:id="10">
    <w:p w14:paraId="16430762" w14:textId="47A3994D" w:rsidR="00221796" w:rsidRPr="009F7264" w:rsidRDefault="00221796" w:rsidP="009F7264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9F7264">
        <w:rPr>
          <w:sz w:val="24"/>
          <w:lang w:val="pl-PL"/>
        </w:rPr>
        <w:t xml:space="preserve"> </w:t>
      </w:r>
      <w:r w:rsidRPr="009F7264">
        <w:rPr>
          <w:sz w:val="24"/>
          <w:lang w:val="pl-PL"/>
        </w:rPr>
        <w:tab/>
        <w:t xml:space="preserve">Dyrektywa Rady 2006/112/WE z dnia 28 listopada 2006 r. w sprawie wspólnego systemu podatku od wartości dodanej (Dz.U. L 347 z 11.12.2006, s. 1, ELI: </w:t>
      </w:r>
      <w:r>
        <w:fldChar w:fldCharType="begin"/>
      </w:r>
      <w:r w:rsidRPr="004B423D">
        <w:rPr>
          <w:lang w:val="pl-PL"/>
        </w:rPr>
        <w:instrText>HYPERLINK "http://data.europa.eu/eli/dir/2006/112/oj" \t "http://data.europa.eu/eli/dir/2006/112/oj"</w:instrText>
      </w:r>
      <w:r>
        <w:fldChar w:fldCharType="separate"/>
      </w:r>
      <w:r w:rsidRPr="009F7264">
        <w:rPr>
          <w:rStyle w:val="Hyperlink"/>
          <w:sz w:val="24"/>
          <w:lang w:val="pl-PL"/>
        </w:rPr>
        <w:t>http://data.europa.eu/eli/dir/2006/112/oj</w:t>
      </w:r>
      <w:r>
        <w:fldChar w:fldCharType="end"/>
      </w:r>
      <w:r w:rsidRPr="009F7264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D4CE0" w14:textId="77777777" w:rsidR="00064002" w:rsidRPr="009F726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3FD0D" w14:textId="77777777" w:rsidR="00064002" w:rsidRPr="009F726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537F1" w14:textId="77777777" w:rsidR="00064002" w:rsidRPr="009F726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46874853">
    <w:abstractNumId w:val="9"/>
  </w:num>
  <w:num w:numId="2" w16cid:durableId="1523400688">
    <w:abstractNumId w:val="9"/>
  </w:num>
  <w:num w:numId="3" w16cid:durableId="306862498">
    <w:abstractNumId w:val="7"/>
  </w:num>
  <w:num w:numId="4" w16cid:durableId="1969386553">
    <w:abstractNumId w:val="7"/>
  </w:num>
  <w:num w:numId="5" w16cid:durableId="212474262">
    <w:abstractNumId w:val="6"/>
  </w:num>
  <w:num w:numId="6" w16cid:durableId="333923108">
    <w:abstractNumId w:val="6"/>
  </w:num>
  <w:num w:numId="7" w16cid:durableId="722946866">
    <w:abstractNumId w:val="5"/>
  </w:num>
  <w:num w:numId="8" w16cid:durableId="262807770">
    <w:abstractNumId w:val="5"/>
  </w:num>
  <w:num w:numId="9" w16cid:durableId="559247205">
    <w:abstractNumId w:val="4"/>
  </w:num>
  <w:num w:numId="10" w16cid:durableId="1865707191">
    <w:abstractNumId w:val="4"/>
  </w:num>
  <w:num w:numId="11" w16cid:durableId="1749569914">
    <w:abstractNumId w:val="8"/>
  </w:num>
  <w:num w:numId="12" w16cid:durableId="972447632">
    <w:abstractNumId w:val="8"/>
  </w:num>
  <w:num w:numId="13" w16cid:durableId="642613229">
    <w:abstractNumId w:val="3"/>
  </w:num>
  <w:num w:numId="14" w16cid:durableId="1355108688">
    <w:abstractNumId w:val="3"/>
  </w:num>
  <w:num w:numId="15" w16cid:durableId="2037153239">
    <w:abstractNumId w:val="2"/>
  </w:num>
  <w:num w:numId="16" w16cid:durableId="1549806118">
    <w:abstractNumId w:val="2"/>
  </w:num>
  <w:num w:numId="17" w16cid:durableId="797380756">
    <w:abstractNumId w:val="1"/>
  </w:num>
  <w:num w:numId="18" w16cid:durableId="1289824956">
    <w:abstractNumId w:val="1"/>
  </w:num>
  <w:num w:numId="19" w16cid:durableId="11034481">
    <w:abstractNumId w:val="0"/>
  </w:num>
  <w:num w:numId="20" w16cid:durableId="1187132184">
    <w:abstractNumId w:val="0"/>
  </w:num>
  <w:num w:numId="21" w16cid:durableId="494885634">
    <w:abstractNumId w:val="9"/>
  </w:num>
  <w:num w:numId="22" w16cid:durableId="1708481379">
    <w:abstractNumId w:val="7"/>
  </w:num>
  <w:num w:numId="23" w16cid:durableId="600994038">
    <w:abstractNumId w:val="6"/>
  </w:num>
  <w:num w:numId="24" w16cid:durableId="1981421455">
    <w:abstractNumId w:val="5"/>
  </w:num>
  <w:num w:numId="25" w16cid:durableId="1327323701">
    <w:abstractNumId w:val="4"/>
  </w:num>
  <w:num w:numId="26" w16cid:durableId="1983925708">
    <w:abstractNumId w:val="8"/>
  </w:num>
  <w:num w:numId="27" w16cid:durableId="1712344562">
    <w:abstractNumId w:val="3"/>
  </w:num>
  <w:num w:numId="28" w16cid:durableId="1617523865">
    <w:abstractNumId w:val="2"/>
  </w:num>
  <w:num w:numId="29" w16cid:durableId="1716468064">
    <w:abstractNumId w:val="1"/>
  </w:num>
  <w:num w:numId="30" w16cid:durableId="1117022247">
    <w:abstractNumId w:val="0"/>
  </w:num>
  <w:num w:numId="31" w16cid:durableId="1546602667">
    <w:abstractNumId w:val="9"/>
  </w:num>
  <w:num w:numId="32" w16cid:durableId="949239941">
    <w:abstractNumId w:val="7"/>
  </w:num>
  <w:num w:numId="33" w16cid:durableId="1622222059">
    <w:abstractNumId w:val="6"/>
  </w:num>
  <w:num w:numId="34" w16cid:durableId="206843926">
    <w:abstractNumId w:val="5"/>
  </w:num>
  <w:num w:numId="35" w16cid:durableId="1054164363">
    <w:abstractNumId w:val="4"/>
  </w:num>
  <w:num w:numId="36" w16cid:durableId="865485732">
    <w:abstractNumId w:val="8"/>
  </w:num>
  <w:num w:numId="37" w16cid:durableId="1425153441">
    <w:abstractNumId w:val="3"/>
  </w:num>
  <w:num w:numId="38" w16cid:durableId="991174042">
    <w:abstractNumId w:val="2"/>
  </w:num>
  <w:num w:numId="39" w16cid:durableId="694699189">
    <w:abstractNumId w:val="1"/>
  </w:num>
  <w:num w:numId="40" w16cid:durableId="731318598">
    <w:abstractNumId w:val="0"/>
  </w:num>
  <w:num w:numId="41" w16cid:durableId="302932006">
    <w:abstractNumId w:val="10"/>
  </w:num>
  <w:num w:numId="42" w16cid:durableId="576137625">
    <w:abstractNumId w:val="10"/>
  </w:num>
  <w:num w:numId="43" w16cid:durableId="234515811">
    <w:abstractNumId w:val="10"/>
  </w:num>
  <w:num w:numId="44" w16cid:durableId="16428868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9/2026"/>
    <w:docVar w:name="dvlangue" w:val="PL"/>
    <w:docVar w:name="dvnumam" w:val="0"/>
    <w:docVar w:name="dvpe" w:val="779.360"/>
    <w:docVar w:name="dvrapporteur" w:val="Sprawozdawca: "/>
    <w:docVar w:name="dvstar" w:val="??"/>
    <w:docVar w:name="dvtitre" w:val="Rezolucja Parlamentu Europejskiego z dnia  2026 r. w sprawie spójnych ram podatkowych dla sektora finansowego UE(2024/2117(INI))"/>
  </w:docVars>
  <w:rsids>
    <w:rsidRoot w:val="00AA2C07"/>
    <w:rsid w:val="00002272"/>
    <w:rsid w:val="00064002"/>
    <w:rsid w:val="000677B9"/>
    <w:rsid w:val="000831BA"/>
    <w:rsid w:val="000A23DF"/>
    <w:rsid w:val="000A42CC"/>
    <w:rsid w:val="000E7DD9"/>
    <w:rsid w:val="0010095E"/>
    <w:rsid w:val="00125B37"/>
    <w:rsid w:val="00187494"/>
    <w:rsid w:val="001F32AE"/>
    <w:rsid w:val="0022179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423D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7264"/>
    <w:rsid w:val="00A1687D"/>
    <w:rsid w:val="00A43E52"/>
    <w:rsid w:val="00A4678D"/>
    <w:rsid w:val="00A778C7"/>
    <w:rsid w:val="00AA2C07"/>
    <w:rsid w:val="00AB441E"/>
    <w:rsid w:val="00AB6293"/>
    <w:rsid w:val="00AE0928"/>
    <w:rsid w:val="00AF3B82"/>
    <w:rsid w:val="00B12E95"/>
    <w:rsid w:val="00B22876"/>
    <w:rsid w:val="00B558F0"/>
    <w:rsid w:val="00B5635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76C5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1A67BB"/>
  <w15:chartTrackingRefBased/>
  <w15:docId w15:val="{C1EFCEC4-C6FF-4749-8254-894DF110E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B5635A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B5635A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B5635A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B5635A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B5635A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B5635A"/>
    <w:rPr>
      <w:color w:val="0000FF"/>
      <w:u w:val="single"/>
    </w:rPr>
  </w:style>
  <w:style w:type="paragraph" w:styleId="Revision">
    <w:name w:val="Revision"/>
    <w:hidden/>
    <w:uiPriority w:val="99"/>
    <w:semiHidden/>
    <w:rsid w:val="00221796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326/oj" TargetMode="External"/><Relationship Id="rId1" Type="http://schemas.openxmlformats.org/officeDocument/2006/relationships/hyperlink" Target="http://data.europa.eu/eli/reg/2023/111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3477</Words>
  <Characters>23854</Characters>
  <Application>Microsoft Office Word</Application>
  <DocSecurity>0</DocSecurity>
  <Lines>198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ZALESKI Tomasz</cp:lastModifiedBy>
  <cp:revision>2</cp:revision>
  <cp:lastPrinted>2004-11-19T15:42:00Z</cp:lastPrinted>
  <dcterms:created xsi:type="dcterms:W3CDTF">2026-07-07T15:50:00Z</dcterms:created>
  <dcterms:modified xsi:type="dcterms:W3CDTF">2026-07-07T15:50:00Z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A10-0169/2026</vt:lpwstr>
  </property>
  <property fmtid="{D5CDD505-2E9C-101B-9397-08002B2CF9AE}" pid="4" name="&lt;Type&gt;">
    <vt:lpwstr>RR</vt:lpwstr>
  </property>
</Properties>
</file>