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F7C27" w14:paraId="1F9F3B5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EB117A6" w14:textId="77777777" w:rsidR="00751A4A" w:rsidRPr="00FF7C27" w:rsidRDefault="003A4517" w:rsidP="0010095E">
            <w:pPr>
              <w:pStyle w:val="EPName"/>
            </w:pPr>
            <w:r w:rsidRPr="00FF7C27">
              <w:t>Európsky parlament</w:t>
            </w:r>
          </w:p>
          <w:p w14:paraId="2AE5233B" w14:textId="77777777" w:rsidR="00751A4A" w:rsidRPr="00FF7C2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F7C27">
              <w:t>2024</w:t>
            </w:r>
            <w:r w:rsidR="00817416" w:rsidRPr="00FF7C27">
              <w:t>-202</w:t>
            </w:r>
            <w:r w:rsidRPr="00FF7C27">
              <w:t>9</w:t>
            </w:r>
          </w:p>
        </w:tc>
        <w:tc>
          <w:tcPr>
            <w:tcW w:w="2268" w:type="dxa"/>
            <w:shd w:val="clear" w:color="auto" w:fill="auto"/>
          </w:tcPr>
          <w:p w14:paraId="338565CD" w14:textId="77777777" w:rsidR="00751A4A" w:rsidRPr="00FF7C27" w:rsidRDefault="00187494" w:rsidP="0010095E">
            <w:pPr>
              <w:pStyle w:val="EPLogo"/>
            </w:pPr>
            <w:r w:rsidRPr="00FF7C27">
              <w:rPr>
                <w:noProof/>
                <w:lang w:eastAsia="ja-JP"/>
              </w:rPr>
              <w:drawing>
                <wp:inline distT="0" distB="0" distL="0" distR="0" wp14:anchorId="163A43AA" wp14:editId="54427F9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B57372" w14:textId="77777777" w:rsidR="00D058B8" w:rsidRPr="00FF7C27" w:rsidRDefault="00D058B8" w:rsidP="004C5D52">
      <w:pPr>
        <w:pStyle w:val="LineTop"/>
      </w:pPr>
    </w:p>
    <w:p w14:paraId="5E1A9E46" w14:textId="77777777" w:rsidR="00680577" w:rsidRPr="00FF7C27" w:rsidRDefault="003A4517" w:rsidP="00680577">
      <w:pPr>
        <w:pStyle w:val="EPBodyTA1"/>
      </w:pPr>
      <w:r w:rsidRPr="00FF7C27">
        <w:t>PRIJATÉ TEXTY</w:t>
      </w:r>
    </w:p>
    <w:p w14:paraId="3E36D6AB" w14:textId="77777777" w:rsidR="00D058B8" w:rsidRPr="00FF7C27" w:rsidRDefault="00D058B8" w:rsidP="00D058B8">
      <w:pPr>
        <w:pStyle w:val="LineBottom"/>
      </w:pPr>
    </w:p>
    <w:p w14:paraId="58D645E5" w14:textId="522F9367" w:rsidR="003A4517" w:rsidRPr="00FF7C27" w:rsidRDefault="003A4517" w:rsidP="003A4517">
      <w:pPr>
        <w:pStyle w:val="ATHeading1"/>
      </w:pPr>
      <w:bookmarkStart w:id="0" w:name="TANumber"/>
      <w:r w:rsidRPr="00FF7C27">
        <w:t>P10_TA(2026)0</w:t>
      </w:r>
      <w:r w:rsidR="00A72DE2" w:rsidRPr="00FF7C27">
        <w:t>248</w:t>
      </w:r>
      <w:bookmarkEnd w:id="0"/>
    </w:p>
    <w:p w14:paraId="2F4451FC" w14:textId="77777777" w:rsidR="003A4517" w:rsidRPr="00FF7C27" w:rsidRDefault="003A4517" w:rsidP="003A4517">
      <w:pPr>
        <w:pStyle w:val="ATHeading2"/>
      </w:pPr>
      <w:bookmarkStart w:id="1" w:name="title"/>
      <w:r w:rsidRPr="00FF7C27">
        <w:t>Ucelený daňový rámec pre finančný sektor EÚ</w:t>
      </w:r>
      <w:bookmarkEnd w:id="1"/>
    </w:p>
    <w:p w14:paraId="6B0A0AAF" w14:textId="77777777" w:rsidR="003A4517" w:rsidRPr="00FF7C27" w:rsidRDefault="003A4517" w:rsidP="003A4517">
      <w:pPr>
        <w:rPr>
          <w:i/>
          <w:vanish/>
        </w:rPr>
      </w:pPr>
      <w:r w:rsidRPr="00FF7C27">
        <w:rPr>
          <w:i/>
        </w:rPr>
        <w:fldChar w:fldCharType="begin"/>
      </w:r>
      <w:r w:rsidRPr="00FF7C27">
        <w:rPr>
          <w:i/>
        </w:rPr>
        <w:instrText xml:space="preserve"> TC"(</w:instrText>
      </w:r>
      <w:bookmarkStart w:id="2" w:name="DocNumber"/>
      <w:r w:rsidRPr="00FF7C27">
        <w:rPr>
          <w:i/>
        </w:rPr>
        <w:instrText>A10-0169/2026</w:instrText>
      </w:r>
      <w:bookmarkEnd w:id="2"/>
      <w:r w:rsidRPr="00FF7C27">
        <w:rPr>
          <w:i/>
        </w:rPr>
        <w:instrText xml:space="preserve"> - Spravodajca: </w:instrText>
      </w:r>
      <w:proofErr w:type="spellStart"/>
      <w:r w:rsidRPr="00FF7C27">
        <w:rPr>
          <w:i/>
        </w:rPr>
        <w:instrText>Matthias</w:instrText>
      </w:r>
      <w:proofErr w:type="spellEnd"/>
      <w:r w:rsidRPr="00FF7C27">
        <w:rPr>
          <w:i/>
        </w:rPr>
        <w:instrText xml:space="preserve"> </w:instrText>
      </w:r>
      <w:proofErr w:type="spellStart"/>
      <w:r w:rsidRPr="00FF7C27">
        <w:rPr>
          <w:i/>
        </w:rPr>
        <w:instrText>Ecke</w:instrText>
      </w:r>
      <w:proofErr w:type="spellEnd"/>
      <w:r w:rsidRPr="00FF7C27">
        <w:rPr>
          <w:i/>
        </w:rPr>
        <w:instrText xml:space="preserve">)"\l3 \n&gt; \* MERGEFORMAT </w:instrText>
      </w:r>
      <w:r w:rsidRPr="00FF7C27">
        <w:rPr>
          <w:i/>
        </w:rPr>
        <w:fldChar w:fldCharType="end"/>
      </w:r>
    </w:p>
    <w:p w14:paraId="7B48C91E" w14:textId="77777777" w:rsidR="003A4517" w:rsidRPr="00FF7C27" w:rsidRDefault="003A4517" w:rsidP="003A4517">
      <w:pPr>
        <w:rPr>
          <w:vanish/>
        </w:rPr>
      </w:pPr>
      <w:bookmarkStart w:id="3" w:name="Commission"/>
      <w:r w:rsidRPr="00FF7C27">
        <w:rPr>
          <w:vanish/>
        </w:rPr>
        <w:t>Výbor pre hospodárske a menové veci</w:t>
      </w:r>
      <w:bookmarkEnd w:id="3"/>
    </w:p>
    <w:p w14:paraId="32587351" w14:textId="77777777" w:rsidR="003A4517" w:rsidRPr="00FF7C27" w:rsidRDefault="003A4517" w:rsidP="003A4517">
      <w:pPr>
        <w:rPr>
          <w:vanish/>
        </w:rPr>
      </w:pPr>
      <w:bookmarkStart w:id="4" w:name="PE"/>
      <w:r w:rsidRPr="00FF7C27">
        <w:rPr>
          <w:vanish/>
        </w:rPr>
        <w:t>PE779.360</w:t>
      </w:r>
      <w:bookmarkEnd w:id="4"/>
    </w:p>
    <w:p w14:paraId="064CC82A" w14:textId="21EE0B5F" w:rsidR="003A4517" w:rsidRPr="00FF7C27" w:rsidRDefault="003A4517" w:rsidP="003A4517">
      <w:pPr>
        <w:pStyle w:val="ATHeading3"/>
      </w:pPr>
      <w:bookmarkStart w:id="5" w:name="Sujet"/>
      <w:r w:rsidRPr="00FF7C27">
        <w:t xml:space="preserve">Uznesenie Európskeho parlamentu zo </w:t>
      </w:r>
      <w:r w:rsidR="00E158E5" w:rsidRPr="00FF7C27">
        <w:t>7. júla</w:t>
      </w:r>
      <w:r w:rsidRPr="00FF7C27">
        <w:t xml:space="preserve"> 2026 o ucelenom daňovom rámci pre finančný sektor EÚ</w:t>
      </w:r>
      <w:bookmarkEnd w:id="5"/>
      <w:r w:rsidRPr="00FF7C27">
        <w:t xml:space="preserve"> </w:t>
      </w:r>
      <w:bookmarkStart w:id="6" w:name="References"/>
      <w:r w:rsidRPr="00FF7C27">
        <w:t>(2024/2117(INI))</w:t>
      </w:r>
      <w:bookmarkEnd w:id="6"/>
    </w:p>
    <w:p w14:paraId="29333FE1" w14:textId="77777777" w:rsidR="00AA2122" w:rsidRPr="00FF7C27" w:rsidRDefault="00AA2122" w:rsidP="00AA2122">
      <w:pPr>
        <w:pStyle w:val="Normal12"/>
      </w:pPr>
      <w:r w:rsidRPr="00FF7C27">
        <w:rPr>
          <w:i/>
        </w:rPr>
        <w:t>Európsky parlament</w:t>
      </w:r>
      <w:r w:rsidRPr="00FF7C27">
        <w:t>,</w:t>
      </w:r>
    </w:p>
    <w:p w14:paraId="2E266F8F" w14:textId="77777777" w:rsidR="00AA2122" w:rsidRPr="00FF7C27" w:rsidRDefault="00AA2122" w:rsidP="00AA2122">
      <w:pPr>
        <w:pStyle w:val="NormalHanging"/>
      </w:pPr>
      <w:r w:rsidRPr="00FF7C27">
        <w:t>–</w:t>
      </w:r>
      <w:r w:rsidRPr="00FF7C27">
        <w:tab/>
        <w:t>so zreteľom na Zmluvu o fungovaní Európskej únie, a najmä na jej články 113, 114 a 115,</w:t>
      </w:r>
    </w:p>
    <w:p w14:paraId="13928C1B" w14:textId="77777777" w:rsidR="00AA2122" w:rsidRPr="00FF7C27" w:rsidRDefault="00AA2122" w:rsidP="00AA2122">
      <w:pPr>
        <w:pStyle w:val="NormalHanging"/>
      </w:pPr>
      <w:r w:rsidRPr="00FF7C27">
        <w:t>–</w:t>
      </w:r>
      <w:r w:rsidRPr="00FF7C27">
        <w:tab/>
        <w:t>so zreteľom na Komisiou predložený návrh smernice Rady z 28. septembra 2011 o spoločnom systéme dane z finančných transakcií, ktorou sa mení a dopĺňa smernica 2008/7/ES (COM(2011)0594),</w:t>
      </w:r>
    </w:p>
    <w:p w14:paraId="7815A266" w14:textId="77777777" w:rsidR="00AA2122" w:rsidRPr="00FF7C27" w:rsidRDefault="00AA2122" w:rsidP="00AA2122">
      <w:pPr>
        <w:pStyle w:val="NormalHanging"/>
      </w:pPr>
      <w:r w:rsidRPr="00FF7C27">
        <w:t>–</w:t>
      </w:r>
      <w:r w:rsidRPr="00FF7C27">
        <w:tab/>
        <w:t>so zreteľom na Komisiou predložený návrh smernice Rady zo 14. februára 2013, ktorou sa vykonáva posilnená spolupráca v oblasti dane z finančných transakcií (COM(2013)0071) (návrh o DFT),</w:t>
      </w:r>
    </w:p>
    <w:p w14:paraId="710424E7" w14:textId="77777777" w:rsidR="00AA2122" w:rsidRPr="00FF7C27" w:rsidRDefault="00AA2122" w:rsidP="00AA2122">
      <w:pPr>
        <w:pStyle w:val="NormalHanging"/>
      </w:pPr>
      <w:r w:rsidRPr="00FF7C27">
        <w:t>–</w:t>
      </w:r>
      <w:r w:rsidRPr="00FF7C27">
        <w:tab/>
        <w:t>so zreteľom na Komisiou predložený návrh nariadenia Rady z 28. novembra 2007, ktorým sa stanovujú vykonávacie opatrenia smernice 2006/112/ES o spoločnom systéme dane z pridanej hodnoty, pokiaľ ide o zaobchádzanie s poisťovacími a finančnými službami (COM(2007)0746),</w:t>
      </w:r>
    </w:p>
    <w:p w14:paraId="4708A9E1" w14:textId="77777777" w:rsidR="00AA2122" w:rsidRPr="00FF7C27" w:rsidRDefault="00AA2122" w:rsidP="00AA2122">
      <w:pPr>
        <w:pStyle w:val="NormalHanging"/>
      </w:pPr>
      <w:r w:rsidRPr="00FF7C27">
        <w:t>–</w:t>
      </w:r>
      <w:r w:rsidRPr="00FF7C27">
        <w:tab/>
        <w:t>so zreteľom na Komisiou predložený návrh smernice Rady z 28. novembra 2007, ktorou sa mení a dopĺňa smernica 2006/112/ES o spoločnom systéme dane z pridanej hodnoty, pokiaľ ide o zaobchádzanie s poisťovacími a finančnými službami (COM(2007)0747),</w:t>
      </w:r>
    </w:p>
    <w:p w14:paraId="3269EF3C" w14:textId="3DD637BF" w:rsidR="00AA2122" w:rsidRPr="00FF7C27" w:rsidRDefault="00AA2122" w:rsidP="00AA2122">
      <w:pPr>
        <w:pStyle w:val="NormalHanging"/>
      </w:pPr>
      <w:r w:rsidRPr="00FF7C27">
        <w:t>–</w:t>
      </w:r>
      <w:r w:rsidRPr="00FF7C27">
        <w:tab/>
        <w:t>so zreteľom na nariadenie Európskeho parlamentu a Rady (EÚ) 2023/1114 z 31. mája 2023 o trhoch s </w:t>
      </w:r>
      <w:proofErr w:type="spellStart"/>
      <w:r w:rsidRPr="00FF7C27">
        <w:t>kryptoaktívami</w:t>
      </w:r>
      <w:proofErr w:type="spellEnd"/>
      <w:r w:rsidRPr="00FF7C27">
        <w:t xml:space="preserve"> a o zmene nariadení (EÚ) č. 1093/2010 a (EÚ) č. 1095/2010 a smerníc 2013/36/EÚ a (EÚ) 2019/1937</w:t>
      </w:r>
      <w:r w:rsidR="00E158E5" w:rsidRPr="00FF7C27">
        <w:rPr>
          <w:rStyle w:val="FootnoteReference"/>
        </w:rPr>
        <w:footnoteReference w:id="1"/>
      </w:r>
      <w:r w:rsidRPr="00FF7C27">
        <w:t>,</w:t>
      </w:r>
    </w:p>
    <w:p w14:paraId="250BAA1D" w14:textId="77777777" w:rsidR="00AA2122" w:rsidRPr="00FF7C27" w:rsidRDefault="00AA2122" w:rsidP="00AA2122">
      <w:pPr>
        <w:pStyle w:val="NormalHanging"/>
      </w:pPr>
      <w:r w:rsidRPr="00FF7C27">
        <w:t>–</w:t>
      </w:r>
      <w:r w:rsidRPr="00FF7C27">
        <w:tab/>
        <w:t>so zreteľom na úvodné posúdenie vplyvu Komisie z 22. októbra 2020 týkajúce sa preskúmania pravidiel DPH pre finančné a poisťovacie služby,</w:t>
      </w:r>
    </w:p>
    <w:p w14:paraId="4B89E1CB" w14:textId="77777777" w:rsidR="00AA2122" w:rsidRPr="00FF7C27" w:rsidRDefault="00AA2122" w:rsidP="00AA2122">
      <w:pPr>
        <w:pStyle w:val="NormalHanging"/>
      </w:pPr>
      <w:r w:rsidRPr="00FF7C27">
        <w:t>–</w:t>
      </w:r>
      <w:r w:rsidRPr="00FF7C27">
        <w:tab/>
        <w:t xml:space="preserve">so zreteľom na návrh Komisie z 12. septembra 2023 na zavedenie daňového systému </w:t>
      </w:r>
      <w:r w:rsidRPr="00FF7C27">
        <w:lastRenderedPageBreak/>
        <w:t xml:space="preserve">ústredia pre </w:t>
      </w:r>
      <w:proofErr w:type="spellStart"/>
      <w:r w:rsidRPr="00FF7C27">
        <w:t>mikropodniky</w:t>
      </w:r>
      <w:proofErr w:type="spellEnd"/>
      <w:r w:rsidRPr="00FF7C27">
        <w:t>, malé a stredné podniky a zmenu smernica 2011/16/EÚ,</w:t>
      </w:r>
    </w:p>
    <w:p w14:paraId="03A7F8A0" w14:textId="4E34DEDE" w:rsidR="00AA2122" w:rsidRPr="00FF7C27" w:rsidRDefault="00AA2122" w:rsidP="00AA2122">
      <w:pPr>
        <w:pStyle w:val="NormalHanging"/>
      </w:pPr>
      <w:r w:rsidRPr="00FF7C27">
        <w:t>–</w:t>
      </w:r>
      <w:r w:rsidRPr="00FF7C27">
        <w:tab/>
        <w:t xml:space="preserve">so zreteľom na rozhodnutie Rady (EÚ, </w:t>
      </w:r>
      <w:proofErr w:type="spellStart"/>
      <w:r w:rsidRPr="00FF7C27">
        <w:t>Euratom</w:t>
      </w:r>
      <w:proofErr w:type="spellEnd"/>
      <w:r w:rsidRPr="00FF7C27">
        <w:t xml:space="preserve">) 2020/2053 zo 14. decembra 2020 o systéme vlastných zdrojov Európskej únie a o zrušení rozhodnutia 2014/335/EÚ, </w:t>
      </w:r>
      <w:proofErr w:type="spellStart"/>
      <w:r w:rsidRPr="00FF7C27">
        <w:t>Euratom</w:t>
      </w:r>
      <w:proofErr w:type="spellEnd"/>
      <w:r w:rsidR="00E158E5" w:rsidRPr="00FF7C27">
        <w:rPr>
          <w:rStyle w:val="FootnoteReference"/>
        </w:rPr>
        <w:footnoteReference w:id="2"/>
      </w:r>
      <w:r w:rsidRPr="00FF7C27">
        <w:t>,</w:t>
      </w:r>
    </w:p>
    <w:p w14:paraId="5DF9B75D" w14:textId="77777777" w:rsidR="00AA2122" w:rsidRPr="00FF7C27" w:rsidRDefault="00AA2122" w:rsidP="00AA2122">
      <w:pPr>
        <w:pStyle w:val="NormalHanging"/>
      </w:pPr>
      <w:r w:rsidRPr="00FF7C27">
        <w:t>–</w:t>
      </w:r>
      <w:r w:rsidRPr="00FF7C27">
        <w:tab/>
        <w:t>so zreteľom na oznámenie Komisie z 22. decembra 2021 s názvom Nová generácia vlastných zdrojov pre rozpočet EÚ (COM(2021)0566),</w:t>
      </w:r>
    </w:p>
    <w:p w14:paraId="4FFC4F30" w14:textId="61B89949" w:rsidR="00AA2122" w:rsidRPr="00FF7C27" w:rsidRDefault="00AA2122" w:rsidP="00AA2122">
      <w:pPr>
        <w:pStyle w:val="NormalHanging"/>
      </w:pPr>
      <w:r w:rsidRPr="00FF7C27">
        <w:t>–</w:t>
      </w:r>
      <w:r w:rsidRPr="00FF7C27">
        <w:tab/>
        <w:t>so zreteľom na štúdiu s názvom Zdaňovanie finančného sektora EÚ, ktorú si vyžiadal Podvýbor Európskeho parlamentu pre daňové otázky a ktorú uverejnilo jeho generálne riaditeľstvo pre hospodárstvo, transformáciu a priemysel v júni 2025</w:t>
      </w:r>
      <w:r w:rsidR="00E158E5" w:rsidRPr="00FF7C27">
        <w:rPr>
          <w:rStyle w:val="FootnoteReference"/>
        </w:rPr>
        <w:footnoteReference w:id="3"/>
      </w:r>
      <w:r w:rsidRPr="00FF7C27">
        <w:t>,</w:t>
      </w:r>
    </w:p>
    <w:p w14:paraId="1D76CD90" w14:textId="77777777" w:rsidR="00AA2122" w:rsidRPr="00FF7C27" w:rsidRDefault="00AA2122" w:rsidP="00AA2122">
      <w:pPr>
        <w:pStyle w:val="NormalHanging"/>
      </w:pPr>
      <w:r w:rsidRPr="00FF7C27">
        <w:t>–</w:t>
      </w:r>
      <w:r w:rsidRPr="00FF7C27">
        <w:tab/>
        <w:t>so zreteľom na judikatúru Súdneho dvora Európskej únie o oslobodení finančných a poisťovacích služieb od DPH,</w:t>
      </w:r>
    </w:p>
    <w:p w14:paraId="71B8E114" w14:textId="57C4085A" w:rsidR="00AA2122" w:rsidRPr="00FF7C27" w:rsidRDefault="00AA2122" w:rsidP="00AA2122">
      <w:pPr>
        <w:pStyle w:val="NormalHanging"/>
      </w:pPr>
      <w:r w:rsidRPr="00FF7C27">
        <w:t>–</w:t>
      </w:r>
      <w:r w:rsidRPr="00FF7C27">
        <w:tab/>
        <w:t xml:space="preserve">so zreteľom na </w:t>
      </w:r>
      <w:proofErr w:type="spellStart"/>
      <w:r w:rsidRPr="00FF7C27">
        <w:t>Medziinštitucionálnu</w:t>
      </w:r>
      <w:proofErr w:type="spellEnd"/>
      <w:r w:rsidRPr="00FF7C27">
        <w:t xml:space="preserve"> dohodu zo 16. decembra 2020 medzi Európskym parlamentom, Radou Európskej únie a Európskou komisiou o rozpočtovej disciplíne, spolupráci v rozpočtových záležitostiach a správnom finančnom riadení, ako aj o nových vlastných zdrojoch vrátane plánu na zavedenie nových vlastných zdrojov</w:t>
      </w:r>
      <w:r w:rsidR="00E158E5" w:rsidRPr="00FF7C27">
        <w:rPr>
          <w:rStyle w:val="FootnoteReference"/>
        </w:rPr>
        <w:footnoteReference w:id="4"/>
      </w:r>
      <w:r w:rsidRPr="00FF7C27">
        <w:t>,</w:t>
      </w:r>
    </w:p>
    <w:p w14:paraId="5C9FBF50" w14:textId="414ACE09" w:rsidR="00AA2122" w:rsidRPr="00FF7C27" w:rsidRDefault="00AA2122" w:rsidP="00AA2122">
      <w:pPr>
        <w:pStyle w:val="NormalHanging"/>
      </w:pPr>
      <w:r w:rsidRPr="00FF7C27">
        <w:t>–</w:t>
      </w:r>
      <w:r w:rsidRPr="00FF7C27">
        <w:tab/>
        <w:t>so zreteľom na svoje uznesenie z 10. mája 2023 o vlastných zdrojoch: nový začiatok pre financie EÚ, nový začiatok pre Európu</w:t>
      </w:r>
      <w:r w:rsidR="00E158E5" w:rsidRPr="00FF7C27">
        <w:rPr>
          <w:rStyle w:val="FootnoteReference"/>
        </w:rPr>
        <w:footnoteReference w:id="5"/>
      </w:r>
      <w:r w:rsidRPr="00FF7C27">
        <w:t>,</w:t>
      </w:r>
    </w:p>
    <w:p w14:paraId="777B546C" w14:textId="77777777" w:rsidR="00AA2122" w:rsidRPr="00FF7C27" w:rsidRDefault="00AA2122" w:rsidP="00AA2122">
      <w:pPr>
        <w:pStyle w:val="NormalHanging"/>
      </w:pPr>
      <w:r w:rsidRPr="00FF7C27">
        <w:t>–</w:t>
      </w:r>
      <w:r w:rsidRPr="00FF7C27">
        <w:tab/>
        <w:t xml:space="preserve">so zreteľom na správu </w:t>
      </w:r>
      <w:proofErr w:type="spellStart"/>
      <w:r w:rsidRPr="00FF7C27">
        <w:t>Enrica</w:t>
      </w:r>
      <w:proofErr w:type="spellEnd"/>
      <w:r w:rsidRPr="00FF7C27">
        <w:t xml:space="preserve"> </w:t>
      </w:r>
      <w:proofErr w:type="spellStart"/>
      <w:r w:rsidRPr="00FF7C27">
        <w:t>Lettu</w:t>
      </w:r>
      <w:proofErr w:type="spellEnd"/>
      <w:r w:rsidRPr="00FF7C27">
        <w:t xml:space="preserve"> z x. apríla 2024 s názvom Oveľa viac než len trh – rýchlosť, bezpečnosť, solidarita: posilnenie jednotného trhu s cieľom zabezpečiť udržateľnú budúcnosť a prosperitu pre všetkých občanov EÚ (</w:t>
      </w:r>
      <w:proofErr w:type="spellStart"/>
      <w:r w:rsidRPr="00FF7C27">
        <w:t>Lettova</w:t>
      </w:r>
      <w:proofErr w:type="spellEnd"/>
      <w:r w:rsidRPr="00FF7C27">
        <w:t xml:space="preserve"> správa),</w:t>
      </w:r>
    </w:p>
    <w:p w14:paraId="5162B6CF" w14:textId="77777777" w:rsidR="00AA2122" w:rsidRPr="00FF7C27" w:rsidRDefault="00AA2122" w:rsidP="00AA2122">
      <w:pPr>
        <w:pStyle w:val="NormalHanging"/>
      </w:pPr>
      <w:r w:rsidRPr="00FF7C27">
        <w:t>–</w:t>
      </w:r>
      <w:r w:rsidRPr="00FF7C27">
        <w:tab/>
        <w:t xml:space="preserve">so zreteľom na správu </w:t>
      </w:r>
      <w:proofErr w:type="spellStart"/>
      <w:r w:rsidRPr="00FF7C27">
        <w:t>Maria</w:t>
      </w:r>
      <w:proofErr w:type="spellEnd"/>
      <w:r w:rsidRPr="00FF7C27">
        <w:t xml:space="preserve"> </w:t>
      </w:r>
      <w:proofErr w:type="spellStart"/>
      <w:r w:rsidRPr="00FF7C27">
        <w:t>Draghiho</w:t>
      </w:r>
      <w:proofErr w:type="spellEnd"/>
      <w:r w:rsidRPr="00FF7C27">
        <w:t xml:space="preserve"> z 9. septembra 2024 s názvom Budúcnosť európskej konkurencieschopnosti (</w:t>
      </w:r>
      <w:proofErr w:type="spellStart"/>
      <w:r w:rsidRPr="00FF7C27">
        <w:t>Draghiho</w:t>
      </w:r>
      <w:proofErr w:type="spellEnd"/>
      <w:r w:rsidRPr="00FF7C27">
        <w:t xml:space="preserve"> správa),</w:t>
      </w:r>
    </w:p>
    <w:p w14:paraId="530BFB8A" w14:textId="77777777" w:rsidR="00AA2122" w:rsidRPr="00FF7C27" w:rsidRDefault="00AA2122" w:rsidP="00AA2122">
      <w:pPr>
        <w:pStyle w:val="NormalHanging"/>
      </w:pPr>
      <w:r w:rsidRPr="00FF7C27">
        <w:t>–</w:t>
      </w:r>
      <w:r w:rsidRPr="00FF7C27">
        <w:tab/>
        <w:t>so zreteľom na oznámenie Komisie s názvom Únia úspor a investícií – Stratégia na podporu bohatstva občanov a hospodárskej konkurencieschopnosti v EÚ (COM(2025)0124),</w:t>
      </w:r>
    </w:p>
    <w:p w14:paraId="0DBDBCE5" w14:textId="615C4C27" w:rsidR="00AA2122" w:rsidRPr="00FF7C27" w:rsidRDefault="00AA2122" w:rsidP="00AA2122">
      <w:pPr>
        <w:pStyle w:val="NormalHanging"/>
      </w:pPr>
      <w:r w:rsidRPr="00FF7C27">
        <w:t>–</w:t>
      </w:r>
      <w:r w:rsidRPr="00FF7C27">
        <w:tab/>
        <w:t>so zreteľom na odporúčanie Komisie (EÚ) 2025/2029 z 30. septembra 2025 o zvýšení dostupnosti sporiacich a investičných účtov so zjednodušeným a zvýhodneným daňovým zaobchádzaním</w:t>
      </w:r>
      <w:r w:rsidR="00E158E5" w:rsidRPr="00FF7C27">
        <w:rPr>
          <w:rStyle w:val="FootnoteReference"/>
        </w:rPr>
        <w:footnoteReference w:id="6"/>
      </w:r>
      <w:r w:rsidRPr="00FF7C27">
        <w:t>,</w:t>
      </w:r>
    </w:p>
    <w:p w14:paraId="430455EA" w14:textId="77777777" w:rsidR="00AA2122" w:rsidRPr="00FF7C27" w:rsidRDefault="00AA2122" w:rsidP="00AA2122">
      <w:pPr>
        <w:pStyle w:val="NormalHanging"/>
      </w:pPr>
      <w:r w:rsidRPr="00FF7C27">
        <w:t>–</w:t>
      </w:r>
      <w:r w:rsidRPr="00FF7C27">
        <w:tab/>
        <w:t xml:space="preserve">so zreteľom na pracovný dokument Svetovej banky z mája 2025 s názvom „VAT </w:t>
      </w:r>
      <w:proofErr w:type="spellStart"/>
      <w:r w:rsidRPr="00FF7C27">
        <w:t>Exemptions</w:t>
      </w:r>
      <w:proofErr w:type="spellEnd"/>
      <w:r w:rsidRPr="00FF7C27">
        <w:t xml:space="preserve">, </w:t>
      </w:r>
      <w:proofErr w:type="spellStart"/>
      <w:r w:rsidRPr="00FF7C27">
        <w:t>Embedded</w:t>
      </w:r>
      <w:proofErr w:type="spellEnd"/>
      <w:r w:rsidRPr="00FF7C27">
        <w:t xml:space="preserve"> </w:t>
      </w:r>
      <w:proofErr w:type="spellStart"/>
      <w:r w:rsidRPr="00FF7C27">
        <w:t>Tax</w:t>
      </w:r>
      <w:proofErr w:type="spellEnd"/>
      <w:r w:rsidRPr="00FF7C27">
        <w:t xml:space="preserve">, and </w:t>
      </w:r>
      <w:proofErr w:type="spellStart"/>
      <w:r w:rsidRPr="00FF7C27">
        <w:t>Unintended</w:t>
      </w:r>
      <w:proofErr w:type="spellEnd"/>
      <w:r w:rsidRPr="00FF7C27">
        <w:t xml:space="preserve"> </w:t>
      </w:r>
      <w:proofErr w:type="spellStart"/>
      <w:r w:rsidRPr="00FF7C27">
        <w:t>Consequences</w:t>
      </w:r>
      <w:proofErr w:type="spellEnd"/>
      <w:r w:rsidRPr="00FF7C27">
        <w:t>“ (Oslobodenie od DPH, vložená daň a nechcené dôsledky),</w:t>
      </w:r>
    </w:p>
    <w:p w14:paraId="1860B8BE" w14:textId="77777777" w:rsidR="00AA2122" w:rsidRPr="00FF7C27" w:rsidRDefault="00AA2122" w:rsidP="00AA2122">
      <w:pPr>
        <w:pStyle w:val="NormalHanging"/>
      </w:pPr>
      <w:r w:rsidRPr="00FF7C27">
        <w:lastRenderedPageBreak/>
        <w:t>–</w:t>
      </w:r>
      <w:r w:rsidRPr="00FF7C27">
        <w:tab/>
        <w:t>so zreteľom na článok 55 rokovacieho poriadku,</w:t>
      </w:r>
    </w:p>
    <w:p w14:paraId="519C167B" w14:textId="77777777" w:rsidR="00AA2122" w:rsidRPr="00FF7C27" w:rsidRDefault="00AA2122" w:rsidP="00AA2122">
      <w:pPr>
        <w:pStyle w:val="NormalHanging"/>
      </w:pPr>
      <w:r w:rsidRPr="00FF7C27">
        <w:t>–</w:t>
      </w:r>
      <w:r w:rsidRPr="00FF7C27">
        <w:tab/>
        <w:t>so zreteľom na správu Výboru pre hospodárske a menové veci (A10-0169/2026),</w:t>
      </w:r>
    </w:p>
    <w:p w14:paraId="6C175522" w14:textId="77777777" w:rsidR="00AA2122" w:rsidRPr="00FF7C27" w:rsidRDefault="00AA2122" w:rsidP="00AA2122">
      <w:pPr>
        <w:pStyle w:val="NormalHanging"/>
      </w:pPr>
      <w:r w:rsidRPr="00FF7C27">
        <w:t>A.</w:t>
      </w:r>
      <w:r w:rsidRPr="00FF7C27">
        <w:tab/>
        <w:t>keďže predsedníčka Komisie vo svojom poverovacom liste z roku 2024 adresovanom komisárovi zodpovednému za zdaňovanie poverila Komisiu, aby identifikovala inovatívne riešenia zdaňovania finančného sektora EÚ s cieľom podporiť ďalšiu integráciu odvetvia, cezhraničnú činnosť a inovácie; keďže Komisia začala štúdiu o zdaňovaní finančného sektora v EÚ;</w:t>
      </w:r>
    </w:p>
    <w:p w14:paraId="5629DB22" w14:textId="77777777" w:rsidR="00AA2122" w:rsidRPr="00FF7C27" w:rsidRDefault="00AA2122" w:rsidP="00AA2122">
      <w:pPr>
        <w:pStyle w:val="NormalHanging"/>
      </w:pPr>
      <w:r w:rsidRPr="00FF7C27">
        <w:t>B.</w:t>
      </w:r>
      <w:r w:rsidRPr="00FF7C27">
        <w:tab/>
        <w:t>keďže finančné služby sú v EÚ vo všeobecnosti oslobodené od dane z pridanej hodnoty (DPH); keďže finančné inštitúcie si nemôžu odpočítať DPH zaplatenú na svojom vstupe z dôvodu tohto oslobodenia od dane, čo spôsobuje tzv. nenávratný problém s DPH; keďže táto výnimka by mohla spôsobiť nedostatočnú transparentnosť, zvýšiť náklady pre spotrebiteľov a viesť k dodatočným nákladom pre finančné inštitúcie, ovplyvniť organizáciu a rozhodnutia o externom zabezpečovaní činností a viesť ku konkurenčným nevýhodám pre menších, digitálnych a cezhraničných poskytovateľov služieb;</w:t>
      </w:r>
    </w:p>
    <w:p w14:paraId="1EC882D7" w14:textId="77777777" w:rsidR="00AA2122" w:rsidRPr="00FF7C27" w:rsidRDefault="00AA2122" w:rsidP="00AA2122">
      <w:pPr>
        <w:pStyle w:val="NormalHanging"/>
      </w:pPr>
      <w:r w:rsidRPr="00FF7C27">
        <w:t>C.</w:t>
      </w:r>
      <w:r w:rsidRPr="00FF7C27">
        <w:tab/>
        <w:t>keďže možnosť, aby sa finančné inštitúcie rozhodli pre DPH, sa v členských štátoch neposkytuje jednotne, čo vedie k ďalšej administratívnej zložitosti;</w:t>
      </w:r>
    </w:p>
    <w:p w14:paraId="0D5043A2" w14:textId="77777777" w:rsidR="00AA2122" w:rsidRPr="00FF7C27" w:rsidRDefault="00AA2122" w:rsidP="00AA2122">
      <w:pPr>
        <w:pStyle w:val="NormalHanging"/>
      </w:pPr>
      <w:r w:rsidRPr="00FF7C27">
        <w:t>D.</w:t>
      </w:r>
      <w:r w:rsidRPr="00FF7C27">
        <w:tab/>
        <w:t>keďže oslobodenie od DPH pochádza z roku 1977, keď bolo zdaňovanie takýchto finančných služieb technicky nerealizovateľné; keďže pôvodné technické odôvodnenie oslobodenia od DPH by sa teraz mohlo riešiť technologickým a digitálnym pokrokom a pokrokom v oblasti dohľadu vrátane spracovania údajov v reálnom čase a zlepšených požiadaviek na podávanie správ;</w:t>
      </w:r>
    </w:p>
    <w:p w14:paraId="5B3F42F1" w14:textId="77777777" w:rsidR="00AA2122" w:rsidRPr="00FF7C27" w:rsidRDefault="00AA2122" w:rsidP="00AA2122">
      <w:pPr>
        <w:pStyle w:val="NormalHanging"/>
      </w:pPr>
      <w:r w:rsidRPr="00FF7C27">
        <w:t>E.</w:t>
      </w:r>
      <w:r w:rsidRPr="00FF7C27">
        <w:tab/>
        <w:t>keďže viaceré jurisdikcie na celom svete zrevidovali podobné výnimky alebo zaviedli alternatívne formy zdaňovania finančných služieb s cieľom riešiť nezamýšľané fiškálne a konkurenčné účinky nevymožiteľnej DPH a naďalej zabezpečovať spravodlivý a spoľahlivý príspevok finančného sektora k verejným príjmom;</w:t>
      </w:r>
    </w:p>
    <w:p w14:paraId="24F7EE05" w14:textId="77777777" w:rsidR="00AA2122" w:rsidRPr="00FF7C27" w:rsidRDefault="00AA2122" w:rsidP="00AA2122">
      <w:pPr>
        <w:pStyle w:val="NormalHanging"/>
      </w:pPr>
      <w:r w:rsidRPr="00FF7C27">
        <w:t>F.</w:t>
      </w:r>
      <w:r w:rsidRPr="00FF7C27">
        <w:tab/>
        <w:t xml:space="preserve">keďže v </w:t>
      </w:r>
      <w:proofErr w:type="spellStart"/>
      <w:r w:rsidRPr="00FF7C27">
        <w:t>Lettovej</w:t>
      </w:r>
      <w:proofErr w:type="spellEnd"/>
      <w:r w:rsidRPr="00FF7C27">
        <w:t xml:space="preserve"> aj </w:t>
      </w:r>
      <w:proofErr w:type="spellStart"/>
      <w:r w:rsidRPr="00FF7C27">
        <w:t>Draghiho</w:t>
      </w:r>
      <w:proofErr w:type="spellEnd"/>
      <w:r w:rsidRPr="00FF7C27">
        <w:t xml:space="preserve"> správe sa zdôrazňuje, že daňová fragmentácia na jednotnom trhu vrátane administratívnych a daňových bariér bráni hospodárskemu rastu, obchodu a cezhraničnej činnosti; keďže vnútorné prekážky EÚ prakticky ukladajú takmer 100 % clo na finančné služby; keďže tieto bariéry a regulačné prekážky sú podľa </w:t>
      </w:r>
      <w:proofErr w:type="spellStart"/>
      <w:r w:rsidRPr="00FF7C27">
        <w:t>Draghiho</w:t>
      </w:r>
      <w:proofErr w:type="spellEnd"/>
      <w:r w:rsidRPr="00FF7C27">
        <w:t xml:space="preserve"> pre hospodársky rast oveľa škodlivejšie ako akékoľvek clá, ktoré by USA mohli zaviesť;</w:t>
      </w:r>
    </w:p>
    <w:p w14:paraId="567300D2" w14:textId="77777777" w:rsidR="00AA2122" w:rsidRPr="00FF7C27" w:rsidRDefault="00AA2122" w:rsidP="00AA2122">
      <w:pPr>
        <w:pStyle w:val="NormalHanging"/>
      </w:pPr>
      <w:r w:rsidRPr="00FF7C27">
        <w:t>G.</w:t>
      </w:r>
      <w:r w:rsidRPr="00FF7C27">
        <w:tab/>
        <w:t xml:space="preserve">keďže podľa údajov </w:t>
      </w:r>
      <w:proofErr w:type="spellStart"/>
      <w:r w:rsidRPr="00FF7C27">
        <w:t>Eurostatu</w:t>
      </w:r>
      <w:proofErr w:type="spellEnd"/>
      <w:r w:rsidRPr="00FF7C27">
        <w:t xml:space="preserve"> je finančný sektor významnou zložkou hospodárstva EÚ, pričom v roku 2022 vytvoril pridanú hodnotu vo výške približne 0,9 bilióna EUR, zamestnával takmer 5 miliónov ľudí a zaznamenal čistý obrat približne 2,4 bilióna EUR; keďže toto odvetvie prispieva k verejným financiám prostredníctvom zdaňovania právnických osôb, daní zo mzdy a odvodov špecifických pre toto odvetvie; keďže finančný sektor EÚ zohráva ústrednú úlohu pri financovaní reálnej ekonomiky, podpore inovácií a uľahčovaní investícií;</w:t>
      </w:r>
    </w:p>
    <w:p w14:paraId="14F34B50" w14:textId="57A23C58" w:rsidR="00AA2122" w:rsidRPr="00FF7C27" w:rsidRDefault="00AA2122" w:rsidP="00AA2122">
      <w:pPr>
        <w:pStyle w:val="NormalHanging"/>
      </w:pPr>
      <w:r w:rsidRPr="00FF7C27">
        <w:t>H.</w:t>
      </w:r>
      <w:r w:rsidRPr="00FF7C27">
        <w:tab/>
        <w:t>keďže nedávne iniciatívy, ako je smernica Rady 2025/50 z 10. decembra 2024 o rýchlejšej a bezpečnejšej úľave pri nadmerných zrážkových daniach</w:t>
      </w:r>
      <w:r w:rsidR="00E158E5" w:rsidRPr="00FF7C27">
        <w:rPr>
          <w:rStyle w:val="FootnoteReference"/>
        </w:rPr>
        <w:footnoteReference w:id="7"/>
      </w:r>
      <w:r w:rsidRPr="00FF7C27">
        <w:t xml:space="preserve"> (smernica FASTER), dosiahli významný pokrok pri znižovaní administratívnej záťaže a uľahčovaní cezhraničnej hospodárskej činnosti v EÚ a podobné úsilie by malo pokračovať s cieľom ďalej posilniť integráciu a efektívnosť jednotného trhu;</w:t>
      </w:r>
    </w:p>
    <w:p w14:paraId="549CF96E" w14:textId="148EE364" w:rsidR="00AA2122" w:rsidRPr="00FF7C27" w:rsidRDefault="00AA2122" w:rsidP="00AA2122">
      <w:pPr>
        <w:pStyle w:val="NormalHanging"/>
      </w:pPr>
      <w:r w:rsidRPr="00FF7C27">
        <w:t>I.</w:t>
      </w:r>
      <w:r w:rsidRPr="00FF7C27">
        <w:tab/>
        <w:t xml:space="preserve">keďže Rada odďaľuje rozhodnutie týkajúce sa návrhu Komisie na smernicu, ktorou sa stanovuje daňový systém ústredia pre </w:t>
      </w:r>
      <w:proofErr w:type="spellStart"/>
      <w:r w:rsidRPr="00FF7C27">
        <w:t>mikropodniky</w:t>
      </w:r>
      <w:proofErr w:type="spellEnd"/>
      <w:r w:rsidRPr="00FF7C27">
        <w:t xml:space="preserve">, malé a stredné podniky a mení smernica 2011/16/EÚ, zatiaľ čo </w:t>
      </w:r>
      <w:r w:rsidR="00E158E5" w:rsidRPr="00FF7C27">
        <w:t>Európsky p</w:t>
      </w:r>
      <w:r w:rsidRPr="00FF7C27">
        <w:t>arlament už 10. apríla 2024 schválil legislatívne uznesenie</w:t>
      </w:r>
      <w:r w:rsidR="00E158E5" w:rsidRPr="00FF7C27">
        <w:rPr>
          <w:rStyle w:val="FootnoteReference"/>
        </w:rPr>
        <w:footnoteReference w:id="8"/>
      </w:r>
      <w:r w:rsidRPr="00FF7C27">
        <w:t>;</w:t>
      </w:r>
    </w:p>
    <w:p w14:paraId="2519C1BC" w14:textId="77777777" w:rsidR="00AA2122" w:rsidRPr="00FF7C27" w:rsidRDefault="00AA2122" w:rsidP="00AA2122">
      <w:pPr>
        <w:pStyle w:val="NormalHanging"/>
      </w:pPr>
      <w:r w:rsidRPr="00FF7C27">
        <w:t>J.</w:t>
      </w:r>
      <w:r w:rsidRPr="00FF7C27">
        <w:tab/>
        <w:t>keďže akékoľvek budúce iniciatívy by mali znížiť fragmentáciu jednotného trhu a posilniť konkurencieschopnosť zabezpečením súdržného, predvídateľného a neutrálneho daňového rámca pre finančné služby, pričom by sa mali zohľadniť rôzne obchodné modely a daňové interakcie v celom finančnom sektore EÚ;</w:t>
      </w:r>
    </w:p>
    <w:p w14:paraId="682A1BCA" w14:textId="77777777" w:rsidR="00AA2122" w:rsidRPr="00FF7C27" w:rsidRDefault="00AA2122" w:rsidP="00AA2122">
      <w:pPr>
        <w:pStyle w:val="NormalHanging"/>
      </w:pPr>
      <w:r w:rsidRPr="00FF7C27">
        <w:t>K.</w:t>
      </w:r>
      <w:r w:rsidRPr="00FF7C27">
        <w:tab/>
        <w:t>keďže zdaňovanie finančných služieb v EÚ je naďalej veľmi roztrieštené s rozdielnymi vnútroštátnymi prístupmi k daniam z poistného, daniam z finančných transakcií (DFT), bankovým odvodom, daniam z finančnej činnosti a iným daniam založeným na zisku; keďže táto fragmentácia vytvára právnu neistotu a zložitosť, podnecuje narušenia trhu, podporuje vyhýbanie sa daňovým povinnostiam a znižuje konkurencieschopnosť EÚ;</w:t>
      </w:r>
    </w:p>
    <w:p w14:paraId="32791410" w14:textId="77777777" w:rsidR="00AA2122" w:rsidRPr="00FF7C27" w:rsidRDefault="00AA2122" w:rsidP="00AA2122">
      <w:pPr>
        <w:pStyle w:val="NormalHanging"/>
      </w:pPr>
      <w:r w:rsidRPr="00FF7C27">
        <w:t>L.</w:t>
      </w:r>
      <w:r w:rsidRPr="00FF7C27">
        <w:tab/>
        <w:t xml:space="preserve">keďže únia úspor a investícií si vyžaduje silnejšie stimuly pre ľudí, aby sporili a investovali na európskych kapitálových trhoch; keďže dokončenie únie úspor a investícií si vyžaduje komplexný prístup k finančnej stabilite, integrácii trhu a ochrane investorov; keďže zabezpečenie toho, aby finančný sektor zmysluplne prispieval k verejným financiám, </w:t>
      </w:r>
      <w:proofErr w:type="spellStart"/>
      <w:r w:rsidRPr="00FF7C27">
        <w:t>internalizoval</w:t>
      </w:r>
      <w:proofErr w:type="spellEnd"/>
      <w:r w:rsidRPr="00FF7C27">
        <w:t xml:space="preserve"> riziká, ktoré vytvára, a podporoval dlhodobé udržateľné investície, má zásadný význam pre úspech a dôveryhodnosť únie úspor a investícií;</w:t>
      </w:r>
    </w:p>
    <w:p w14:paraId="6A037111" w14:textId="77777777" w:rsidR="00AA2122" w:rsidRPr="00FF7C27" w:rsidRDefault="00AA2122" w:rsidP="00AA2122">
      <w:pPr>
        <w:pStyle w:val="NormalHanging"/>
      </w:pPr>
      <w:r w:rsidRPr="00FF7C27">
        <w:t>M.</w:t>
      </w:r>
      <w:r w:rsidRPr="00FF7C27">
        <w:tab/>
        <w:t>keďže o DFT a bankových poplatkoch sa diskutovalo po finančnej kríze v rokoch 2008 a 2009; keďže cieľom týchto opatrení bolo kompenzovať náklady na krízu;</w:t>
      </w:r>
    </w:p>
    <w:p w14:paraId="21158F6A" w14:textId="77777777" w:rsidR="00AA2122" w:rsidRPr="00FF7C27" w:rsidRDefault="00AA2122" w:rsidP="00AA2122">
      <w:pPr>
        <w:pStyle w:val="NormalHanging"/>
      </w:pPr>
      <w:r w:rsidRPr="00FF7C27">
        <w:t>N.</w:t>
      </w:r>
      <w:r w:rsidRPr="00FF7C27">
        <w:tab/>
        <w:t>keďže najmenej sedem členských štátov v súčasnosti vyberá DFT; keďže tieto členské štáty nekoordinovali svoje DFT z hľadiska rozsahu, sadzby ani uplatňovania; keďže napriek niekoľkým legislatívnym návrhom Komisie od roku 2011 sa nedosiahla dohoda o DFT v celej EÚ;</w:t>
      </w:r>
    </w:p>
    <w:p w14:paraId="532BA11C" w14:textId="48B63B1C" w:rsidR="00AA2122" w:rsidRPr="00FF7C27" w:rsidRDefault="00AA2122" w:rsidP="00AA2122">
      <w:pPr>
        <w:pStyle w:val="NormalHanging"/>
      </w:pPr>
      <w:r w:rsidRPr="00FF7C27">
        <w:t>O.</w:t>
      </w:r>
      <w:r w:rsidRPr="00FF7C27">
        <w:tab/>
        <w:t xml:space="preserve">keďže </w:t>
      </w:r>
      <w:r w:rsidR="00E158E5" w:rsidRPr="00FF7C27">
        <w:t>Európsky p</w:t>
      </w:r>
      <w:r w:rsidRPr="00FF7C27">
        <w:t>arlament dôsledne podporoval zavedenie DFT v celej EÚ, a to aj ako možného vlastného zdroja, naposledy vo svojom uznesení z mája 2023; keďže Komisia vo svojom pracovnom programe na rok 2026 navrhla stiahnuť svoj predchádzajúci návrh DFT z dôvodu nedostatočného konsenzu medzi členskými štátmi, pričom sa nedosiahla žiadna dohoda;</w:t>
      </w:r>
    </w:p>
    <w:p w14:paraId="4BD09393" w14:textId="77777777" w:rsidR="00AA2122" w:rsidRPr="00FF7C27" w:rsidRDefault="00AA2122" w:rsidP="00AA2122">
      <w:pPr>
        <w:pStyle w:val="NormalHanging"/>
      </w:pPr>
      <w:r w:rsidRPr="00FF7C27">
        <w:t>P.</w:t>
      </w:r>
      <w:r w:rsidRPr="00FF7C27">
        <w:tab/>
        <w:t>keďže členské štáty naďalej zavádzajú dočasné neočakávané dane alebo solidárne poplatky zo ziskov bánk s cieľom riešiť mimoriadne zvýšenie ziskovosti spôsobené menovou politikou;</w:t>
      </w:r>
    </w:p>
    <w:p w14:paraId="1BBA5787" w14:textId="77777777" w:rsidR="00AA2122" w:rsidRPr="00FF7C27" w:rsidRDefault="00AA2122" w:rsidP="00AA2122">
      <w:pPr>
        <w:pStyle w:val="Normal12a"/>
      </w:pPr>
      <w:r w:rsidRPr="00FF7C27">
        <w:rPr>
          <w:b/>
          <w:i/>
        </w:rPr>
        <w:t>Riešenie daňovej fragmentácie finančného sektora a zvýšenie jeho konkurencieschopnosti</w:t>
      </w:r>
    </w:p>
    <w:p w14:paraId="56BCA9D0" w14:textId="4785ED6B" w:rsidR="00AA2122" w:rsidRPr="00FF7C27" w:rsidRDefault="00AA2122" w:rsidP="00AA2122">
      <w:pPr>
        <w:pStyle w:val="NormalHanging12a"/>
      </w:pPr>
      <w:r w:rsidRPr="00FF7C27">
        <w:t>1.</w:t>
      </w:r>
      <w:r w:rsidRPr="00FF7C27">
        <w:tab/>
        <w:t xml:space="preserve">konštatuje, že </w:t>
      </w:r>
      <w:r w:rsidR="00C011E0" w:rsidRPr="00FF7C27">
        <w:t xml:space="preserve">v </w:t>
      </w:r>
      <w:r w:rsidR="00C011E0" w:rsidRPr="00FF7C27">
        <w:rPr>
          <w:bCs/>
          <w:iCs/>
        </w:rPr>
        <w:t>nadväznosti na veľkú finančnú krízu</w:t>
      </w:r>
      <w:r w:rsidRPr="00FF7C27">
        <w:t xml:space="preserve"> členské štáty zaviedli 91 odvetvových daní s cieľom zdaniť finančný sektor, čo viedlo k veľmi roztrieštenému daňovému prostrediu; konštatuje, že toto roztrieštené daňové prostredie vytvára dodatočné prevádzkové a administratívne náklady a zvyšuje štrukturálne prekážky cezhraničnej expanzie poskytovateľov finančných služieb, čím oslabuje finančný sektor EÚ a jeho investičnú kapacitu a ohrozuje ciele únie úspor a investícií a bankovej únie;</w:t>
      </w:r>
    </w:p>
    <w:p w14:paraId="7D2AFE2C" w14:textId="1B7D0DD5" w:rsidR="00AA2122" w:rsidRPr="00FF7C27" w:rsidRDefault="00A250F2" w:rsidP="00AA2122">
      <w:pPr>
        <w:pStyle w:val="NormalHanging12a"/>
      </w:pPr>
      <w:r w:rsidRPr="00FF7C27">
        <w:t>2</w:t>
      </w:r>
      <w:r w:rsidR="00AA2122" w:rsidRPr="00FF7C27">
        <w:t>.</w:t>
      </w:r>
      <w:r w:rsidR="00AA2122" w:rsidRPr="00FF7C27">
        <w:tab/>
        <w:t>konštatuje, že rozdiely vo vnútroštátnych daňových režimoch odrážajú rozhodnutia vnútroštátnej politiky; berie na vedomie prebiehajúcu prácu na medzinárodnej úrovni, pokiaľ ide o presun ziskov; vyzýva na posilnenie koordinácie na úrovni EÚ, a to aj pri vykonávaní smernice o druhom pilieri, spoľahlivých pravidiel proti vyhýbaniu sa daňovým povinnostiam a požiadaviek na transparentnosť, najmä v oblasti verejného podávania správ podľa jednotlivých krajín;</w:t>
      </w:r>
    </w:p>
    <w:p w14:paraId="7565DA96" w14:textId="278861BF" w:rsidR="00AA2122" w:rsidRPr="00FF7C27" w:rsidRDefault="00A250F2" w:rsidP="00AA2122">
      <w:pPr>
        <w:pStyle w:val="NormalHanging12a"/>
      </w:pPr>
      <w:r w:rsidRPr="00FF7C27">
        <w:t>3</w:t>
      </w:r>
      <w:r w:rsidR="00AA2122" w:rsidRPr="00FF7C27">
        <w:t>.</w:t>
      </w:r>
      <w:r w:rsidR="00AA2122" w:rsidRPr="00FF7C27">
        <w:tab/>
        <w:t>konštatuje, že fragmentácia vnútroštátnych daňových režimov zvyšuje riziko cezhraničného dvojitého zdanenia a v dôsledku administratívnej a právnej zložitosti môže brzdiť rast finančného sektora EÚ a predstavovať prekážku hlbšej integrácii finančných trhov EÚ; zdôrazňuje, že zabránenie dvojitému zdaneniu a zníženie administratívnej záťaže by mali zostať kľúčové; zdôrazňuje však, že úsilie o zjednodušenie nesmie viesť k deregulácii alebo pretekom o dosiahnutie najnižšej úrovne daňových noriem;</w:t>
      </w:r>
    </w:p>
    <w:p w14:paraId="5F7FAF64" w14:textId="361AAD29" w:rsidR="00AA2122" w:rsidRPr="00FF7C27" w:rsidRDefault="00A250F2" w:rsidP="00AA2122">
      <w:pPr>
        <w:pStyle w:val="NormalHanging12a"/>
      </w:pPr>
      <w:r w:rsidRPr="00FF7C27">
        <w:t>4</w:t>
      </w:r>
      <w:r w:rsidR="00AA2122" w:rsidRPr="00FF7C27">
        <w:t>.</w:t>
      </w:r>
      <w:r w:rsidR="00AA2122" w:rsidRPr="00FF7C27">
        <w:tab/>
        <w:t>zdôrazňuje, že rozdiely vo vnútroštátnych postupoch pre zrážkovú daň vytvárajú administratívnu záťaž a prekážky pre cezhraničné investície, ako sa uznáva v stratégii únie úspor a investícií Komisie; víta prijatie smernice FASTER; vyzýva na ďalší pokrok smerom ku koordinovanejšiemu a ambicióznejšiemu rámcu;</w:t>
      </w:r>
    </w:p>
    <w:p w14:paraId="407875C1" w14:textId="3871D064" w:rsidR="00AA2122" w:rsidRPr="00FF7C27" w:rsidRDefault="00A250F2" w:rsidP="00AA2122">
      <w:pPr>
        <w:pStyle w:val="NormalHanging12a"/>
      </w:pPr>
      <w:r w:rsidRPr="00FF7C27">
        <w:t>5</w:t>
      </w:r>
      <w:r w:rsidR="00AA2122" w:rsidRPr="00FF7C27">
        <w:t>.</w:t>
      </w:r>
      <w:r w:rsidR="00AA2122" w:rsidRPr="00FF7C27">
        <w:tab/>
        <w:t xml:space="preserve">vyzýva Radu, aby rozhodla o návrhu smernice Rady, ktorou sa ustanovuje daňový systém ústredia pre </w:t>
      </w:r>
      <w:proofErr w:type="spellStart"/>
      <w:r w:rsidR="00AA2122" w:rsidRPr="00FF7C27">
        <w:t>mikropodniky</w:t>
      </w:r>
      <w:proofErr w:type="spellEnd"/>
      <w:r w:rsidR="00AA2122" w:rsidRPr="00FF7C27">
        <w:t xml:space="preserve">, malé a stredné podniky a mení smernica 2011/16/EÚ, ktorý predložila Komisia, a aby náležite zohľadnila legislatívne uznesenie </w:t>
      </w:r>
      <w:r w:rsidR="00E158E5" w:rsidRPr="00FF7C27">
        <w:t>Európskeho p</w:t>
      </w:r>
      <w:r w:rsidR="00AA2122" w:rsidRPr="00FF7C27">
        <w:t>arlamentu z 10. apríla 2024;</w:t>
      </w:r>
    </w:p>
    <w:p w14:paraId="684A5290" w14:textId="015465A6" w:rsidR="00AA2122" w:rsidRPr="00FF7C27" w:rsidRDefault="00A250F2" w:rsidP="00AA2122">
      <w:pPr>
        <w:pStyle w:val="NormalHanging12a"/>
      </w:pPr>
      <w:r w:rsidRPr="00FF7C27">
        <w:t>6</w:t>
      </w:r>
      <w:r w:rsidR="00AA2122" w:rsidRPr="00FF7C27">
        <w:t>.</w:t>
      </w:r>
      <w:r w:rsidR="00AA2122" w:rsidRPr="00FF7C27">
        <w:tab/>
        <w:t xml:space="preserve">okrem toho konštatuje, že existujúce daňové pravidlá nedržia v plnej miere krok so vznikom nových finančných produktov a trhových infraštruktúr; zdôrazňuje, že roztrieštenosť sa stáva rýchlo čoraz znepokojivejšou vzhľadom na úspech </w:t>
      </w:r>
      <w:proofErr w:type="spellStart"/>
      <w:r w:rsidR="00AA2122" w:rsidRPr="00FF7C27">
        <w:t>neobánk</w:t>
      </w:r>
      <w:proofErr w:type="spellEnd"/>
      <w:r w:rsidR="00AA2122" w:rsidRPr="00FF7C27">
        <w:t>, napríklad čisto digitálnych bánk, bánk typu „</w:t>
      </w:r>
      <w:proofErr w:type="spellStart"/>
      <w:r w:rsidR="00AA2122" w:rsidRPr="00FF7C27">
        <w:t>challenger</w:t>
      </w:r>
      <w:proofErr w:type="spellEnd"/>
      <w:r w:rsidR="00AA2122" w:rsidRPr="00FF7C27">
        <w:t xml:space="preserve">“ alebo </w:t>
      </w:r>
      <w:proofErr w:type="spellStart"/>
      <w:r w:rsidR="00AA2122" w:rsidRPr="00FF7C27">
        <w:t>fintech</w:t>
      </w:r>
      <w:proofErr w:type="spellEnd"/>
      <w:r w:rsidR="00AA2122" w:rsidRPr="00FF7C27">
        <w:t xml:space="preserve"> bánk; poukazuje na výrazný nárast podielu cezhraničných vkladov v držbe týchto bánk za posledných šesť rokov; zdôrazňuje, že rozdiely v daňových pravidlách medzi bankami a nebankovými subjektmi môžu viesť k narušeniam;</w:t>
      </w:r>
    </w:p>
    <w:p w14:paraId="064E5C45" w14:textId="3DAE9E67" w:rsidR="00AA2122" w:rsidRPr="00FF7C27" w:rsidRDefault="00A250F2" w:rsidP="00AA2122">
      <w:pPr>
        <w:pStyle w:val="NormalHanging12a"/>
      </w:pPr>
      <w:r w:rsidRPr="00FF7C27">
        <w:t>7</w:t>
      </w:r>
      <w:r w:rsidR="00AA2122" w:rsidRPr="00FF7C27">
        <w:t>.</w:t>
      </w:r>
      <w:r w:rsidR="00AA2122" w:rsidRPr="00FF7C27">
        <w:tab/>
        <w:t xml:space="preserve">zdôrazňuje, že nedostatočné údaje o účinnom daňovom zaťažení v celom finančnom sektore EÚ bránia tvorbe politiky založenej na dôkazoch a posudzovaniu vplyvov politiky na trhové správanie, hospodársku súťaž a finančnú stabilitu; zdôrazňuje potrebu lepšej transparentnosti a </w:t>
      </w:r>
      <w:r w:rsidR="00700B80" w:rsidRPr="00FF7C27">
        <w:rPr>
          <w:bCs/>
          <w:iCs/>
        </w:rPr>
        <w:t>lepšieho využívania existujúcich</w:t>
      </w:r>
      <w:r w:rsidR="00AA2122" w:rsidRPr="00FF7C27">
        <w:t xml:space="preserve"> údajov ako predpokladu pre súdržnú reformu zdaňovania finančného sektora;</w:t>
      </w:r>
    </w:p>
    <w:p w14:paraId="07368382" w14:textId="6EFFAC85" w:rsidR="00AA2122" w:rsidRPr="00FF7C27" w:rsidRDefault="00A250F2" w:rsidP="00AA2122">
      <w:pPr>
        <w:pStyle w:val="NormalHanging12a"/>
      </w:pPr>
      <w:r w:rsidRPr="00FF7C27">
        <w:t>8</w:t>
      </w:r>
      <w:r w:rsidR="00AA2122" w:rsidRPr="00FF7C27">
        <w:t>.</w:t>
      </w:r>
      <w:r w:rsidR="00AA2122" w:rsidRPr="00FF7C27">
        <w:tab/>
        <w:t>zdôrazňuje, že odstránenie daňových prekážok pre cezhraničné investície prostredníctvom ucelených pravidiel na úrovni EÚ by znížilo náklady na dodržiavanie predpisov, zlepšilo efektívnosť trhu, zvýšilo právnu zrozumiteľnosť cezhraničných kapitálových tokov a posilnilo konkurencieschopnosť finančných služieb EÚ a zároveň obmedzilo daňové úniky a agresívne daňové plánovanie; zdôrazňuje potrebu koherentného súboru pravidiel pre finančný sektor EÚ pri súčasnom rešpektovaní daňovej suverenity členských štátov a zásady subsidiarity; zdôrazňuje, že zdaňovanie finančných služieb by malo pomôcť udržať konkurencieschopnosť finančného sektora;</w:t>
      </w:r>
    </w:p>
    <w:p w14:paraId="515FCDCB" w14:textId="618A5D68" w:rsidR="00AA2122" w:rsidRPr="00FF7C27" w:rsidRDefault="00A250F2" w:rsidP="00AA2122">
      <w:pPr>
        <w:pStyle w:val="NormalHanging12a"/>
      </w:pPr>
      <w:r w:rsidRPr="00FF7C27">
        <w:t>9</w:t>
      </w:r>
      <w:r w:rsidR="00AA2122" w:rsidRPr="00FF7C27">
        <w:t>.</w:t>
      </w:r>
      <w:r w:rsidR="00AA2122" w:rsidRPr="00FF7C27">
        <w:tab/>
        <w:t>konštatuje, že podľa Európskej makroekonomickej správy Komisie za rok 2026</w:t>
      </w:r>
      <w:r w:rsidR="00E158E5" w:rsidRPr="00FF7C27">
        <w:rPr>
          <w:rStyle w:val="FootnoteReference"/>
        </w:rPr>
        <w:footnoteReference w:id="9"/>
      </w:r>
      <w:r w:rsidR="00AA2122" w:rsidRPr="00FF7C27">
        <w:t>zostáva miera úspor domácností v EÚ výrazne nad priemerom krajín Organizácie pre hospodársku spoluprácu a rozvoj; vyjadruje poľutovanie nad tým, že približne tretina týchto úspor sa investuje mimo EÚ, čo poukazuje na nedostatky finančného rámca EÚ pri udržiavaní investícií; vyzýva Komisiu, aby posúdila, ako môžu daňové opatrenia podporiť tok investícií do EÚ; zdôrazňuje, že je dôležité odrádzať od odlivu finančných prostriedkov do krajín na zozname EÚ obsahujúci jurisdikcie, ktoré nespolupracujú na daňové účely;</w:t>
      </w:r>
    </w:p>
    <w:p w14:paraId="6366CE18" w14:textId="7F7AD3EB" w:rsidR="00AA2122" w:rsidRPr="00FF7C27" w:rsidRDefault="00A250F2" w:rsidP="00AA2122">
      <w:pPr>
        <w:pStyle w:val="NormalHanging12a"/>
      </w:pPr>
      <w:r w:rsidRPr="00FF7C27">
        <w:t>10</w:t>
      </w:r>
      <w:r w:rsidR="00AA2122" w:rsidRPr="00FF7C27">
        <w:t>.</w:t>
      </w:r>
      <w:r w:rsidR="00AA2122" w:rsidRPr="00FF7C27">
        <w:tab/>
        <w:t>zdôrazňuje, že je dôležité pokročiť v budovaní únie úspor a investícií s cieľom mobilizovať úspory na produktívne investície; považuje zníženie daňovej fragmentácie a zlepšenie cezhraničných investičných kanálov za kľúčové pre mobilizáciu európskych úspor na investície v rámci EÚ;</w:t>
      </w:r>
    </w:p>
    <w:p w14:paraId="79FD5764" w14:textId="2620D3EF" w:rsidR="00AA2122" w:rsidRPr="00FF7C27" w:rsidRDefault="00A250F2" w:rsidP="00AA2122">
      <w:pPr>
        <w:pStyle w:val="NormalHanging12a"/>
      </w:pPr>
      <w:r w:rsidRPr="00FF7C27">
        <w:t>11</w:t>
      </w:r>
      <w:r w:rsidR="00AA2122" w:rsidRPr="00FF7C27">
        <w:t>.</w:t>
      </w:r>
      <w:r w:rsidR="00AA2122" w:rsidRPr="00FF7C27">
        <w:tab/>
        <w:t>zdôrazňuje, že daňový rámec pre finančné služby by sa mal navrhnúť spolu s cieľmi únie úspor a investícií, pričom by sa mal zamerať na zvýšenie efektívnosti, riešenie narušení trhu a podporu investícií a dlhodobého rastu a zároveň zabezpečiť vyvážený prístup, ktorý odráža aj širšie hospodárske a sociálne aspekty;</w:t>
      </w:r>
    </w:p>
    <w:p w14:paraId="070E8E05" w14:textId="546F5183" w:rsidR="00AA2122" w:rsidRPr="00FF7C27" w:rsidRDefault="00A250F2" w:rsidP="00AA2122">
      <w:pPr>
        <w:pStyle w:val="NormalHanging12a"/>
      </w:pPr>
      <w:r w:rsidRPr="00FF7C27">
        <w:t>12</w:t>
      </w:r>
      <w:r w:rsidR="00AA2122" w:rsidRPr="00FF7C27">
        <w:t>.</w:t>
      </w:r>
      <w:r w:rsidR="00AA2122" w:rsidRPr="00FF7C27">
        <w:tab/>
        <w:t>konštatuje, že zdaňovanie finančného sektora by sa malo riadiť zásadami jednoduchosti, neutrality, spravodlivosti, hospodárskej, environmentálnej a sociálnej udržateľnosti a právnej istoty; konštatuje, že by mal odrážať aj cyklickú dynamiku ziskovosti bánk spojenú s menovou politikou a hospodárskymi podmienkami;</w:t>
      </w:r>
    </w:p>
    <w:p w14:paraId="546AFE80" w14:textId="4D96F8B0" w:rsidR="00AA2122" w:rsidRPr="00FF7C27" w:rsidRDefault="00A250F2" w:rsidP="00AA2122">
      <w:pPr>
        <w:pStyle w:val="NormalHanging12a"/>
      </w:pPr>
      <w:r w:rsidRPr="00FF7C27">
        <w:t>13</w:t>
      </w:r>
      <w:r w:rsidR="00AA2122" w:rsidRPr="00FF7C27">
        <w:t>.</w:t>
      </w:r>
      <w:r w:rsidR="00AA2122" w:rsidRPr="00FF7C27">
        <w:tab/>
        <w:t>vyzýva Komisiu, aby splnila svoj záväzok navrhnúť inovatívne riešenia pre zdaňovanie odvetvia na zníženie roztrieštenosti, podporu ďalšej integrácie na úrovni EÚ a na pomoc pri dokončení únie úspor a investícií;</w:t>
      </w:r>
    </w:p>
    <w:p w14:paraId="27B2668B" w14:textId="77777777" w:rsidR="00AA2122" w:rsidRPr="00FF7C27" w:rsidRDefault="00AA2122" w:rsidP="00AA2122">
      <w:pPr>
        <w:pStyle w:val="Normal12a"/>
      </w:pPr>
      <w:r w:rsidRPr="00FF7C27">
        <w:rPr>
          <w:b/>
          <w:i/>
        </w:rPr>
        <w:t>Riešenie režimu DPH pre finančné služby</w:t>
      </w:r>
    </w:p>
    <w:p w14:paraId="0214A782" w14:textId="33CF5992" w:rsidR="00AA2122" w:rsidRPr="00FF7C27" w:rsidRDefault="00A250F2" w:rsidP="00AA2122">
      <w:pPr>
        <w:pStyle w:val="NormalHanging12a"/>
      </w:pPr>
      <w:r w:rsidRPr="00FF7C27">
        <w:t>14</w:t>
      </w:r>
      <w:r w:rsidR="00AA2122" w:rsidRPr="00FF7C27">
        <w:t>.</w:t>
      </w:r>
      <w:r w:rsidR="00AA2122" w:rsidRPr="00FF7C27">
        <w:tab/>
        <w:t>konštatuje, že oslobodenie finančných služieb od DPH pochádza z roku 1977 a zabránilo technickým ťažkostiam pri uplatňovaní DPH na zložité finančné služby, ktoré sa z administratívneho hľadiska považovalo za nerealizovateľné; uznáva, že pôvodné technické odôvodnenie oslobodenia od DPH by sa teraz mohlo riešiť realitou technologického pokroku a digitalizácie;</w:t>
      </w:r>
    </w:p>
    <w:p w14:paraId="6D6AE4DD" w14:textId="34AC0384" w:rsidR="00AA2122" w:rsidRPr="00FF7C27" w:rsidRDefault="00A250F2" w:rsidP="00AA2122">
      <w:pPr>
        <w:pStyle w:val="NormalHanging12a"/>
      </w:pPr>
      <w:r w:rsidRPr="00FF7C27">
        <w:t>15</w:t>
      </w:r>
      <w:r w:rsidR="00AA2122" w:rsidRPr="00FF7C27">
        <w:t>.</w:t>
      </w:r>
      <w:r w:rsidR="00AA2122" w:rsidRPr="00FF7C27">
        <w:tab/>
        <w:t xml:space="preserve">konštatuje, že oslobodenie od dane nemusí nevyhnutne predstavovať výhodu pre finančné inštitúcie, pretože im bráni vo vymáhaní DPH; zastáva názor, že súčasný stav opakuje narušenia trhu, môže spôsobovať nedostatočnú transparentnosť a zvyšovať náklady pre spotrebiteľov, posilňuje tendenciu k sebestačnosti (tzv. </w:t>
      </w:r>
      <w:proofErr w:type="spellStart"/>
      <w:r w:rsidR="00AA2122" w:rsidRPr="00FF7C27">
        <w:t>self-supply</w:t>
      </w:r>
      <w:proofErr w:type="spellEnd"/>
      <w:r w:rsidR="00AA2122" w:rsidRPr="00FF7C27">
        <w:t xml:space="preserve"> </w:t>
      </w:r>
      <w:proofErr w:type="spellStart"/>
      <w:r w:rsidR="00AA2122" w:rsidRPr="00FF7C27">
        <w:t>bias</w:t>
      </w:r>
      <w:proofErr w:type="spellEnd"/>
      <w:r w:rsidR="00AA2122" w:rsidRPr="00FF7C27">
        <w:t>) vo finančnom sektore a vytvára konkurenčné nevýhody v porovnaní s inštitúciami z krajín mimo EÚ;</w:t>
      </w:r>
    </w:p>
    <w:p w14:paraId="38DAECCC" w14:textId="460FB1C0" w:rsidR="00AA2122" w:rsidRPr="00FF7C27" w:rsidRDefault="00A250F2" w:rsidP="00AA2122">
      <w:pPr>
        <w:pStyle w:val="NormalHanging12a"/>
      </w:pPr>
      <w:r w:rsidRPr="00FF7C27">
        <w:t>16</w:t>
      </w:r>
      <w:r w:rsidR="00AA2122" w:rsidRPr="00FF7C27">
        <w:t>.</w:t>
      </w:r>
      <w:r w:rsidR="00AA2122" w:rsidRPr="00FF7C27">
        <w:tab/>
        <w:t>zdôrazňuje, že oslobodenie od DPH sa často udeľuje činnostiam všeobecného záujmu ako uznanie ich základnej spoločenskej funkcie; zdôrazňuje, že niektoré základné finančné služby – najmä platobné služby, prijímanie vkladov a poskytovanie základných úverov – môžu plniť porovnateľnú kvázi verejnoprospešnú funkciu zabezpečením úspor, umožnením hospodárskej výmeny a zaistením toho, aby sa ľudia a podniky mohli bezpečne zúčastňovať na hospodárstve;</w:t>
      </w:r>
    </w:p>
    <w:p w14:paraId="41BB17EA" w14:textId="6322E193" w:rsidR="00AA2122" w:rsidRPr="00FF7C27" w:rsidRDefault="00A250F2" w:rsidP="00AA2122">
      <w:pPr>
        <w:pStyle w:val="NormalHanging12a"/>
      </w:pPr>
      <w:r w:rsidRPr="00FF7C27">
        <w:t>17</w:t>
      </w:r>
      <w:r w:rsidR="00AA2122" w:rsidRPr="00FF7C27">
        <w:t>.</w:t>
      </w:r>
      <w:r w:rsidR="00AA2122" w:rsidRPr="00FF7C27">
        <w:tab/>
        <w:t>poznamenáva, že opakované iniciatívy Komisie vrátane jej návrhov z roku 2007 a úvodného posúdenia vplyvu z roku 2020 neviedli k reforme oslobodenia finančného sektora od DPH, pretože členské štáty nedokázali dospieť jednomyseľnej dohode; konštatuje, že Komisia mala naposledy v úmysle uverejniť zmeny smernice o DPH</w:t>
      </w:r>
      <w:r w:rsidR="00E158E5" w:rsidRPr="00FF7C27">
        <w:rPr>
          <w:rStyle w:val="FootnoteReference"/>
        </w:rPr>
        <w:footnoteReference w:id="10"/>
      </w:r>
      <w:r w:rsidR="00AA2122" w:rsidRPr="00FF7C27">
        <w:t xml:space="preserve"> začiatkom roka 2023; konštatuje, že tieto plány boli pozastavené, v dôsledku čoho sa táto zásadná reforma ešte nedokončila;</w:t>
      </w:r>
    </w:p>
    <w:p w14:paraId="419142A0" w14:textId="4C34A18A" w:rsidR="00AA2122" w:rsidRPr="00FF7C27" w:rsidRDefault="00A250F2" w:rsidP="00AA2122">
      <w:pPr>
        <w:pStyle w:val="NormalHanging12a"/>
      </w:pPr>
      <w:r w:rsidRPr="00FF7C27">
        <w:t>18</w:t>
      </w:r>
      <w:r w:rsidR="00AA2122" w:rsidRPr="00FF7C27">
        <w:t>.</w:t>
      </w:r>
      <w:r w:rsidR="00AA2122" w:rsidRPr="00FF7C27">
        <w:tab/>
        <w:t>konštatuje, že podľa článku 11 smernice o DPH je skupiny na účely DPH zostávajú pre členské štáty naďalej dobrovoľné a územne obmedzené, čo vytvára právne a praktické prekážky pre cezhraničné skupiny pôsobiace v oblasti finančných služieb;</w:t>
      </w:r>
    </w:p>
    <w:p w14:paraId="7CB5CD10" w14:textId="1A25FC82" w:rsidR="00AA2122" w:rsidRPr="00FF7C27" w:rsidRDefault="00A250F2" w:rsidP="00AA2122">
      <w:pPr>
        <w:pStyle w:val="NormalHanging12a"/>
      </w:pPr>
      <w:r w:rsidRPr="00FF7C27">
        <w:t>19</w:t>
      </w:r>
      <w:r w:rsidR="00AA2122" w:rsidRPr="00FF7C27">
        <w:t>.</w:t>
      </w:r>
      <w:r w:rsidR="00AA2122" w:rsidRPr="00FF7C27">
        <w:tab/>
        <w:t>zdôrazňuje, že napriek využívaniu skupín na účely DPH a režimov rozdelenia nákladov v niektorých členských štátoch vytvára oslobodenie od DPH v kombinácii s rozdielnymi kompenzačnými vnútroštátnymi daňovými pravidlami zložité, ako sú dane z poistného, komplexné a roztrieštené daňové prostredie, v dôsledku čoho je cezhraničné dodržiavanie daňových predpisov nákladné a zvyšuje prevádzkové náklady podnikov; zdôrazňuje, že na zníženie tohto zaťaženia, zabezpečenie jednotného uplatňovania pravidiel v celej EÚ, uľahčenie cezhraničnej činnosti a podporu inovácií sú potrebné jasnejšie vymedzenia DPH a zjednodušené pravidlá;</w:t>
      </w:r>
    </w:p>
    <w:p w14:paraId="6588CFF4" w14:textId="3E54C4BE" w:rsidR="00AA2122" w:rsidRPr="00FF7C27" w:rsidRDefault="00A250F2" w:rsidP="00AA2122">
      <w:pPr>
        <w:pStyle w:val="NormalHanging12a"/>
      </w:pPr>
      <w:r w:rsidRPr="00FF7C27">
        <w:t>20</w:t>
      </w:r>
      <w:r w:rsidR="00AA2122" w:rsidRPr="00FF7C27">
        <w:t>.</w:t>
      </w:r>
      <w:r w:rsidR="00AA2122" w:rsidRPr="00FF7C27">
        <w:tab/>
        <w:t>konštatuje, že skupiny na účely DPH, ktoré môžu znížiť administratívnu záťaž pre finančné inštitúcie a zlepšiť ich efektívnosť, sa v súčasnosti v jednotlivých členských štátoch uplatňuje nerovnomerne a vo všeobecnosti sa obmedzuje na subjekty usadené v jednom členskom štáte; zdôrazňuje, že väčšia konvergencia pri uplatňovaní skupín na účely DPH by mohla znížiť fragmentáciu a právnu neistotu na vnútornom trhu a uľahčiť cezhraničnú činnosť v oblasti finančných služieb;</w:t>
      </w:r>
    </w:p>
    <w:p w14:paraId="4C9EA845" w14:textId="550C8BBB" w:rsidR="00AA2122" w:rsidRPr="00FF7C27" w:rsidRDefault="00A250F2" w:rsidP="00AA2122">
      <w:pPr>
        <w:pStyle w:val="NormalHanging12a"/>
      </w:pPr>
      <w:r w:rsidRPr="00FF7C27">
        <w:t>21</w:t>
      </w:r>
      <w:r w:rsidR="00AA2122" w:rsidRPr="00FF7C27">
        <w:t>.</w:t>
      </w:r>
      <w:r w:rsidR="00AA2122" w:rsidRPr="00FF7C27">
        <w:tab/>
        <w:t>vyzýva Komisiu, aby nabádala členské štáty k jednotnému uplatňovaniu skupín na účely DPH a aby preskúmala možnosti jasnejšieho právneho rámca vrátane možnosti cezhraničných skupín na účely DPH; zdôrazňuje, že širšie využívanie skupín na účely DPH pre finančné a poisťovacie služby musí byť v súlade s pravidlami dane z príjmov právnických osôb, najmä s pravidlami transferového oceňovania, a musia ho sprevádzať záväzné záruky proti zneužívaniu s cieľom zabrániť podvodom a vyhýbaniu sa daňovým povinnostiam, úniku DPH v rámci skupiny a zneužívaniu rozdelenia nákladov;</w:t>
      </w:r>
    </w:p>
    <w:p w14:paraId="7DAA36BB" w14:textId="5D59758D" w:rsidR="00AA2122" w:rsidRPr="00FF7C27" w:rsidRDefault="00A250F2" w:rsidP="00AA2122">
      <w:pPr>
        <w:pStyle w:val="NormalHanging12a"/>
      </w:pPr>
      <w:r w:rsidRPr="00FF7C27">
        <w:t>22</w:t>
      </w:r>
      <w:r w:rsidR="00AA2122" w:rsidRPr="00FF7C27">
        <w:t>.</w:t>
      </w:r>
      <w:r w:rsidR="00AA2122" w:rsidRPr="00FF7C27">
        <w:tab/>
        <w:t xml:space="preserve">konštatuje, že smernici o DPH chýbajú osobitné ustanovenia pre vznikajúce finančné nástroje vrátane </w:t>
      </w:r>
      <w:proofErr w:type="spellStart"/>
      <w:r w:rsidR="00AA2122" w:rsidRPr="00FF7C27">
        <w:t>kryptoaktív</w:t>
      </w:r>
      <w:proofErr w:type="spellEnd"/>
      <w:r w:rsidR="00AA2122" w:rsidRPr="00FF7C27">
        <w:t>, decentralizovaného financovania a finančných technológií; zdôrazňuje, že smernica sa okrem toho nezaoberá zaobchádzaním s derivátmi na účely DPH a že zaobchádzanie s investičnými fondmi je v jednotlivých členských štátoch naďalej rozdielne; konštatuje, že to viedlo k rozdielnym vnútroštátnym výkladom pravidiel DPH, právnej neistote pre poskytovateľov služieb a nerovnakému zaobchádzaniu s tradičnými a novými finančnými službami, čo bráni inováciám a konkurencieschopnosti;</w:t>
      </w:r>
    </w:p>
    <w:p w14:paraId="060291B5" w14:textId="4BFF7C49" w:rsidR="00AA2122" w:rsidRPr="00FF7C27" w:rsidRDefault="00A250F2" w:rsidP="00AA2122">
      <w:pPr>
        <w:pStyle w:val="NormalHanging12a"/>
      </w:pPr>
      <w:r w:rsidRPr="00FF7C27">
        <w:t>23</w:t>
      </w:r>
      <w:r w:rsidR="00AA2122" w:rsidRPr="00FF7C27">
        <w:t>.</w:t>
      </w:r>
      <w:r w:rsidR="00AA2122" w:rsidRPr="00FF7C27">
        <w:tab/>
        <w:t>zdôrazňuje, že moderný daňový rámec by mal podporovať inovácie v oblasti finančných technológií a digitálnych financií a zabrániť vytváraniu regulačných prekážok pre nových účastníkov trhu; vyzýva Komisiu, aby objasnila režim DPH pre vznikajúce finančné služby s cieľom zabezpečiť technologickú neutralitu a rovnaké podmienky v celej EÚ;</w:t>
      </w:r>
    </w:p>
    <w:p w14:paraId="2B9C8447" w14:textId="234FE319" w:rsidR="00AA2122" w:rsidRPr="00FF7C27" w:rsidRDefault="00A250F2" w:rsidP="00AA2122">
      <w:pPr>
        <w:pStyle w:val="NormalHanging12a"/>
      </w:pPr>
      <w:r w:rsidRPr="00FF7C27">
        <w:t>24</w:t>
      </w:r>
      <w:r w:rsidR="00AA2122" w:rsidRPr="00FF7C27">
        <w:t>.</w:t>
      </w:r>
      <w:r w:rsidR="00AA2122" w:rsidRPr="00FF7C27">
        <w:tab/>
        <w:t>domnieva sa, že široké a nediferencované oslobodenie od DPH pre celý finančný sektor vyvoláva otázky týkajúce sa celkovej súdržnosti a rovnováhy daňového systému; zdôrazňuje, že reforma oslobodenia od DPH by mohla znížiť narušenia a úroveň nevymožiteľnej DPH bez toho, aby sa vytvorila neprimeraná administratívna zložitosť; konštatuje, že možnosti zrušenia oslobodenia od DPH by mohli účinne odstrániť nevymožiteľnú DPH tým, že by finančným korporáciám umožnili v plnej miere žiadať o vrátenie DPH, ktorú platia za tovar a služby používané v ich operáciách; zdôrazňuje, že by sa tým odstránila súčasná predpojatosť, pokiaľ ide o interné poskytovanie služieb namiesto využívania externých zdrojov, čo môže obmedziť schopnosť spoločnosti špecializovať sa, získať prístup k externým odborným znalostiam a inovovať; uznáva, že táto reforma by tiež mohla zabezpečiť rovnaké podmienky, pokiaľ ide o iné jurisdikcie, a posilniť medzinárodnú konkurencieschopnosť finančných inštitúcií EÚ;</w:t>
      </w:r>
    </w:p>
    <w:p w14:paraId="2E8B6220" w14:textId="4AC8031C" w:rsidR="00AA2122" w:rsidRPr="00FF7C27" w:rsidRDefault="00A250F2" w:rsidP="00AA2122">
      <w:pPr>
        <w:pStyle w:val="NormalHanging12a"/>
      </w:pPr>
      <w:r w:rsidRPr="00FF7C27">
        <w:t>25</w:t>
      </w:r>
      <w:r w:rsidR="00AA2122" w:rsidRPr="00FF7C27">
        <w:t>.</w:t>
      </w:r>
      <w:r w:rsidR="00AA2122" w:rsidRPr="00FF7C27">
        <w:tab/>
        <w:t>pripomína, že DPH je harmonizovaný daňový rámec na úrovni EÚ, hoci členské štáty si ponechávajú určitý priestor na jeho vykonávanie; uznáva preto, že reforma systému DPH pre finančné služby by sa mala riešiť na úrovni EÚ;</w:t>
      </w:r>
    </w:p>
    <w:p w14:paraId="3440204B" w14:textId="14B58DDF" w:rsidR="00AA2122" w:rsidRPr="00FF7C27" w:rsidRDefault="00A250F2" w:rsidP="00AA2122">
      <w:pPr>
        <w:pStyle w:val="NormalHanging12a"/>
      </w:pPr>
      <w:r w:rsidRPr="00FF7C27">
        <w:t>26</w:t>
      </w:r>
      <w:r w:rsidR="00AA2122" w:rsidRPr="00FF7C27">
        <w:t>.</w:t>
      </w:r>
      <w:r w:rsidR="00AA2122" w:rsidRPr="00FF7C27">
        <w:tab/>
        <w:t>vyzýva Komisiu, aby preskúmala vplyv súčasného režimu DPH na finančný sektor a aby sa o túto analýzu verejne podelila; vyzýva Komisiu, aby zvážila možnosti politiky na riešenie zistených rušivých vplyvov; zdôrazňuje, že každá takáto reforma by mala znížiť nevymožiteľnú DPH a roztrieštené uplatňovanie pravidiel, zlepšiť právnu istotu a daňovú spravodlivosť a posilniť konkurencieschopnosť finančných trhov EÚ a zároveň chrániť finančnú stabilitu a minimalizovať regulačnú arbitráž medzi členskými štátmi; zdôrazňuje, že každá takáto reforma musí chrániť aj spotrebiteľov a naďalej zabezpečovať, aby finančný sektor spravodlivo prispieval k verejným príjmom;</w:t>
      </w:r>
    </w:p>
    <w:p w14:paraId="1B23BFB4" w14:textId="141058B0" w:rsidR="00AA2122" w:rsidRPr="00FF7C27" w:rsidRDefault="00A250F2" w:rsidP="00AA2122">
      <w:pPr>
        <w:pStyle w:val="NormalHanging12a"/>
      </w:pPr>
      <w:r w:rsidRPr="00FF7C27">
        <w:t>27</w:t>
      </w:r>
      <w:r w:rsidR="00AA2122" w:rsidRPr="00FF7C27">
        <w:t>.</w:t>
      </w:r>
      <w:r w:rsidR="00AA2122" w:rsidRPr="00FF7C27">
        <w:tab/>
        <w:t>konštatuje, že akýkoľvek návrh na revíziu rámca DPH by mal byť založený na hĺbkovej analýze na makroekonomickej úrovni a komplexnom mapovaní vnútroštátnych bankových daní a odvodov; zdôrazňuje, že takáto analýza by mala zohľadňovať administratívne dôsledky pre finančné služby, interakciu medzi existujúcimi vnútroštátnymi bankovými daňami, odvodmi finančného sektora a systémom DPH a vplyv na jednotný trh;</w:t>
      </w:r>
    </w:p>
    <w:p w14:paraId="457E29CB" w14:textId="52272603" w:rsidR="00AA2122" w:rsidRPr="00FF7C27" w:rsidRDefault="00A250F2" w:rsidP="00AA2122">
      <w:pPr>
        <w:pStyle w:val="NormalHanging12a"/>
      </w:pPr>
      <w:r w:rsidRPr="00FF7C27">
        <w:t>28</w:t>
      </w:r>
      <w:r w:rsidR="00AA2122" w:rsidRPr="00FF7C27">
        <w:t>.</w:t>
      </w:r>
      <w:r w:rsidR="00AA2122" w:rsidRPr="00FF7C27">
        <w:tab/>
        <w:t xml:space="preserve">zdôrazňuje, že akékoľvek zmeny v zaobchádzaní s finančnými službami na účely DPH musia dôkladne posúdiť vplyv na služby poskytované </w:t>
      </w:r>
      <w:proofErr w:type="spellStart"/>
      <w:r w:rsidR="00AA2122" w:rsidRPr="00FF7C27">
        <w:t>retailovým</w:t>
      </w:r>
      <w:proofErr w:type="spellEnd"/>
      <w:r w:rsidR="00AA2122" w:rsidRPr="00FF7C27">
        <w:t xml:space="preserve"> spotrebiteľom, najmä domácnostiam s nízkymi a strednými príjmami, a zabrániť akýmkoľvek dodatočným celkovým nákladom;</w:t>
      </w:r>
    </w:p>
    <w:p w14:paraId="14161C94" w14:textId="42EA2545" w:rsidR="00AA2122" w:rsidRPr="00FF7C27" w:rsidRDefault="00A250F2" w:rsidP="00AA2122">
      <w:pPr>
        <w:pStyle w:val="NormalHanging12a"/>
      </w:pPr>
      <w:r w:rsidRPr="00FF7C27">
        <w:t>29</w:t>
      </w:r>
      <w:r w:rsidR="00AA2122" w:rsidRPr="00FF7C27">
        <w:t>.</w:t>
      </w:r>
      <w:r w:rsidR="00AA2122" w:rsidRPr="00FF7C27">
        <w:tab/>
        <w:t>vyzýva Komisiu, aby v rámci možnej reformy oslobodenia od DPH posúdila uskutočniteľnosť nahradenia vnútroštátnych daní z poistného úplným začlenením poisťovacích služieb do systému DPH;</w:t>
      </w:r>
    </w:p>
    <w:p w14:paraId="2F530659" w14:textId="77777777" w:rsidR="00AA2122" w:rsidRPr="00FF7C27" w:rsidRDefault="00AA2122" w:rsidP="00AA2122">
      <w:pPr>
        <w:pStyle w:val="Normal12a"/>
      </w:pPr>
      <w:r w:rsidRPr="00FF7C27">
        <w:rPr>
          <w:b/>
          <w:i/>
        </w:rPr>
        <w:t>Podpora ucelenejšieho daňového rámca pre finančný sektor EÚ</w:t>
      </w:r>
    </w:p>
    <w:p w14:paraId="1F276118" w14:textId="2B16EE3B" w:rsidR="00AA2122" w:rsidRPr="00FF7C27" w:rsidRDefault="00A250F2" w:rsidP="00AA2122">
      <w:pPr>
        <w:pStyle w:val="NormalHanging12a"/>
      </w:pPr>
      <w:r w:rsidRPr="00FF7C27">
        <w:t>30</w:t>
      </w:r>
      <w:r w:rsidR="00AA2122" w:rsidRPr="00FF7C27">
        <w:t>.</w:t>
      </w:r>
      <w:r w:rsidR="00AA2122" w:rsidRPr="00FF7C27">
        <w:tab/>
        <w:t xml:space="preserve">pripomína, že EÚ čelí značnému výpadku investícií vo výške 750 až 800 miliárd EUR ročne, pokiaľ ide o splnenie jej cieľov v oblasti klímy, digitálnych technológií a strategickej autonómie; pripomína záväzok členských štátov a EÚ výrazne zvýšiť európske investície do obrany; zdôrazňuje, že s cieľom reagovať na tieto výzvy by spravodlivé a súdržnejšie zdaňovanie finančného sektora mohlo prispieť k mobilizácii súkromného kapitálu, čím by sa stimulovali </w:t>
      </w:r>
      <w:proofErr w:type="spellStart"/>
      <w:r w:rsidR="00AA2122" w:rsidRPr="00FF7C27">
        <w:t>retailové</w:t>
      </w:r>
      <w:proofErr w:type="spellEnd"/>
      <w:r w:rsidR="00AA2122" w:rsidRPr="00FF7C27">
        <w:t xml:space="preserve"> investície, ako aj k posilneniu európskych kapitálových trhov a zároveň by zvýšilo príjmy pre verejné investície do strategických priorít a naše sociálne, klimatické a investičné potreby, čím by sa posilnila konkurencieschopnosť EÚ;</w:t>
      </w:r>
    </w:p>
    <w:p w14:paraId="44C4AA9D" w14:textId="29BE25ED" w:rsidR="00AA2122" w:rsidRPr="00FF7C27" w:rsidRDefault="00A250F2" w:rsidP="00AA2122">
      <w:pPr>
        <w:pStyle w:val="NormalHanging12a"/>
      </w:pPr>
      <w:r w:rsidRPr="00FF7C27">
        <w:t>31</w:t>
      </w:r>
      <w:r w:rsidR="00AA2122" w:rsidRPr="00FF7C27">
        <w:t>.</w:t>
      </w:r>
      <w:r w:rsidR="00AA2122" w:rsidRPr="00FF7C27">
        <w:tab/>
        <w:t xml:space="preserve">v tejto súvislosti pripomína dohodu z roku 2020 medzi </w:t>
      </w:r>
      <w:r w:rsidR="00E158E5" w:rsidRPr="00FF7C27">
        <w:t>Európskym p</w:t>
      </w:r>
      <w:r w:rsidR="00AA2122" w:rsidRPr="00FF7C27">
        <w:t>arlamentom, Radou a Komisiou o pláne zavedenia nových vlastných zdrojov vrátane DFT na základe výsledkov hodnotenia vplyvu;</w:t>
      </w:r>
    </w:p>
    <w:p w14:paraId="47D21B28" w14:textId="7EC1BC6D" w:rsidR="00AA2122" w:rsidRPr="00FF7C27" w:rsidRDefault="00A250F2" w:rsidP="00AA2122">
      <w:pPr>
        <w:pStyle w:val="NormalHanging12a"/>
      </w:pPr>
      <w:r w:rsidRPr="00FF7C27">
        <w:t>32</w:t>
      </w:r>
      <w:r w:rsidR="00AA2122" w:rsidRPr="00FF7C27">
        <w:t>.</w:t>
      </w:r>
      <w:r w:rsidR="00AA2122" w:rsidRPr="00FF7C27">
        <w:tab/>
        <w:t>uznáva nedostatočný pokrok dosiahnutý v súvislosti s návrhom o DFT v Rade napriek rozsiahlej diskusii, a to v rámci jednomyseľnosti aj posilnenej spolupráce, a berie na vedomie oznámenie Komisie o stiahnutí návrhu o DFT v jej pracovnom programe na rok 2026;</w:t>
      </w:r>
    </w:p>
    <w:p w14:paraId="6268AA5E" w14:textId="69669ECD" w:rsidR="00AA2122" w:rsidRPr="00FF7C27" w:rsidRDefault="00A250F2" w:rsidP="00AA2122">
      <w:pPr>
        <w:pStyle w:val="NormalHanging12a"/>
      </w:pPr>
      <w:r w:rsidRPr="00FF7C27">
        <w:t>33</w:t>
      </w:r>
      <w:r w:rsidR="00AA2122" w:rsidRPr="00FF7C27">
        <w:t>.</w:t>
      </w:r>
      <w:r w:rsidR="00AA2122" w:rsidRPr="00FF7C27">
        <w:tab/>
        <w:t>zastáva názor, že pravidelné posudzovanie hospodárskych vplyvov a pretrvávajúcej relevantnosti daňovej politiky vo finančnom sektore má zásadný význam, aby sa zabránilo neúmyselným alebo trvalým narušeniam finančných trhov; víta to, že Komisia vykonáva komplexnú analýzu potenciálneho vplyvu celkového zdaňovania finančného sektora na fungovanie trhu, cezhraničné investície a konkurencieschopnosť finančných trhov EÚ;</w:t>
      </w:r>
    </w:p>
    <w:p w14:paraId="645CB402" w14:textId="20E70C65" w:rsidR="00AA2122" w:rsidRPr="00FF7C27" w:rsidRDefault="00A250F2" w:rsidP="00AA2122">
      <w:pPr>
        <w:pStyle w:val="NormalHanging12a"/>
      </w:pPr>
      <w:r w:rsidRPr="00FF7C27">
        <w:t>34</w:t>
      </w:r>
      <w:r w:rsidR="00AA2122" w:rsidRPr="00FF7C27">
        <w:t>.</w:t>
      </w:r>
      <w:r w:rsidR="00AA2122" w:rsidRPr="00FF7C27">
        <w:tab/>
        <w:t xml:space="preserve">zdôrazňuje, že daňové pravidlá pre finančný sektor by sa mali zjednodušiť a malo by sa zabezpečiť, aby tento sektor poskytoval spravodlivý a riadny finančný príspevok, a že by mali byť jasné, transparentné a predvídateľné s cieľom znížiť fragmentáciu, umožniť investície a cezhraničnú činnosť a zároveň zaručiť vysokú úroveň ochrany spotrebiteľa; zdôrazňuje, že tieto pravidlá by mali zlepšiť efektívnosť a alokáciu kapitálu, zabezpečiť stabilitu a konkurencieschopnosť trhu a zmierniť náklady na dodržiavanie predpisov, najmä pre </w:t>
      </w:r>
      <w:proofErr w:type="spellStart"/>
      <w:r w:rsidR="00AA2122" w:rsidRPr="00FF7C27">
        <w:t>retailových</w:t>
      </w:r>
      <w:proofErr w:type="spellEnd"/>
      <w:r w:rsidR="00AA2122" w:rsidRPr="00FF7C27">
        <w:t xml:space="preserve"> spotrebiteľov a malé a stredné podniky;</w:t>
      </w:r>
    </w:p>
    <w:p w14:paraId="5372A517" w14:textId="77777777" w:rsidR="00AA2122" w:rsidRPr="00FF7C27" w:rsidRDefault="00AA2122" w:rsidP="00AA2122">
      <w:pPr>
        <w:pStyle w:val="NormalCenter12a"/>
      </w:pPr>
      <w:r w:rsidRPr="00FF7C27">
        <w:t>°</w:t>
      </w:r>
    </w:p>
    <w:p w14:paraId="70344090" w14:textId="77777777" w:rsidR="00AA2122" w:rsidRPr="00FF7C27" w:rsidRDefault="00AA2122" w:rsidP="00AA2122">
      <w:pPr>
        <w:pStyle w:val="NormalCenter12a"/>
      </w:pPr>
      <w:r w:rsidRPr="00FF7C27">
        <w:t>°</w:t>
      </w:r>
      <w:r w:rsidRPr="00FF7C27">
        <w:tab/>
        <w:t>°</w:t>
      </w:r>
    </w:p>
    <w:p w14:paraId="1F9DD305" w14:textId="5AD34413" w:rsidR="00D90F6A" w:rsidRPr="00FF7C27" w:rsidRDefault="00A250F2" w:rsidP="00D90F6A">
      <w:pPr>
        <w:pStyle w:val="NormalHanging12a"/>
      </w:pPr>
      <w:r w:rsidRPr="00FF7C27">
        <w:t>35</w:t>
      </w:r>
      <w:r w:rsidR="00AA2122" w:rsidRPr="00FF7C27">
        <w:t>.</w:t>
      </w:r>
      <w:r w:rsidR="00AA2122" w:rsidRPr="00FF7C27">
        <w:tab/>
        <w:t>poveruje svoju predsedníčku, aby postúpila toto uznesenie Rade a Komisii.</w:t>
      </w:r>
    </w:p>
    <w:p w14:paraId="0E8E7B7A" w14:textId="47456D62" w:rsidR="00E365E1" w:rsidRPr="00FF7C27" w:rsidRDefault="00E365E1" w:rsidP="003A4517"/>
    <w:sectPr w:rsidR="00E365E1" w:rsidRPr="00FF7C27" w:rsidSect="00D90F6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B0867" w14:textId="77777777" w:rsidR="003A4517" w:rsidRPr="00D90F6A" w:rsidRDefault="003A4517">
      <w:r w:rsidRPr="00D90F6A">
        <w:separator/>
      </w:r>
    </w:p>
  </w:endnote>
  <w:endnote w:type="continuationSeparator" w:id="0">
    <w:p w14:paraId="651B36E5" w14:textId="77777777" w:rsidR="003A4517" w:rsidRPr="00D90F6A" w:rsidRDefault="003A4517">
      <w:r w:rsidRPr="00D90F6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0B0E2" w14:textId="77777777" w:rsidR="00064002" w:rsidRPr="00D90F6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2E1E9" w14:textId="77777777" w:rsidR="00064002" w:rsidRPr="00D90F6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E1590" w14:textId="77777777" w:rsidR="00064002" w:rsidRPr="00D90F6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506C3" w14:textId="77777777" w:rsidR="003A4517" w:rsidRPr="00D90F6A" w:rsidRDefault="003A4517">
      <w:r w:rsidRPr="00D90F6A">
        <w:separator/>
      </w:r>
    </w:p>
  </w:footnote>
  <w:footnote w:type="continuationSeparator" w:id="0">
    <w:p w14:paraId="58623ECE" w14:textId="77777777" w:rsidR="003A4517" w:rsidRPr="00D90F6A" w:rsidRDefault="003A4517">
      <w:r w:rsidRPr="00D90F6A">
        <w:continuationSeparator/>
      </w:r>
    </w:p>
  </w:footnote>
  <w:footnote w:id="1">
    <w:p w14:paraId="0A2EBB5B" w14:textId="60022E8E" w:rsidR="00E158E5" w:rsidRPr="00D90F6A" w:rsidRDefault="00E158E5" w:rsidP="00D90F6A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</w:rPr>
        <w:footnoteRef/>
      </w:r>
      <w:r w:rsidRPr="00D90F6A">
        <w:rPr>
          <w:sz w:val="24"/>
          <w:lang w:val="sk-SK"/>
        </w:rPr>
        <w:t xml:space="preserve"> </w:t>
      </w:r>
      <w:r w:rsidRPr="00D90F6A">
        <w:rPr>
          <w:sz w:val="24"/>
          <w:lang w:val="sk-SK"/>
        </w:rPr>
        <w:tab/>
        <w:t xml:space="preserve">Ú. v. EÚ L 150, 9.6.2023, s. 40, ELI: </w:t>
      </w:r>
      <w:hyperlink r:id="rId1" w:tgtFrame="http://data.europa.eu/eli/reg/2023/1114/oj" w:history="1">
        <w:r w:rsidRPr="00D90F6A">
          <w:rPr>
            <w:rStyle w:val="Hyperlink"/>
            <w:sz w:val="24"/>
            <w:lang w:val="sk-SK"/>
          </w:rPr>
          <w:t>http://data.europa.eu/eli/reg/2023/1114/oj</w:t>
        </w:r>
      </w:hyperlink>
      <w:r w:rsidRPr="00D90F6A">
        <w:rPr>
          <w:sz w:val="24"/>
          <w:lang w:val="sk-SK"/>
        </w:rPr>
        <w:t>.</w:t>
      </w:r>
    </w:p>
  </w:footnote>
  <w:footnote w:id="2">
    <w:p w14:paraId="23820635" w14:textId="65F612FC" w:rsidR="00E158E5" w:rsidRPr="00D90F6A" w:rsidRDefault="00E158E5" w:rsidP="00D90F6A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</w:rPr>
        <w:footnoteRef/>
      </w:r>
      <w:r w:rsidRPr="00D90F6A">
        <w:rPr>
          <w:sz w:val="24"/>
          <w:lang w:val="sk-SK"/>
        </w:rPr>
        <w:t xml:space="preserve"> </w:t>
      </w:r>
      <w:r w:rsidRPr="00D90F6A">
        <w:rPr>
          <w:sz w:val="24"/>
          <w:lang w:val="sk-SK"/>
        </w:rPr>
        <w:tab/>
      </w:r>
      <w:r w:rsidRPr="00D90F6A">
        <w:rPr>
          <w:sz w:val="24"/>
          <w:lang w:val="sk-SK"/>
        </w:rPr>
        <w:t xml:space="preserve">Ú. v. EÚ L 424,15.12.2020, s. 1, ELI: </w:t>
      </w:r>
      <w:hyperlink r:id="rId2" w:tgtFrame="http://data.europa.eu/eli/dec/2020/2053/oj" w:history="1">
        <w:r w:rsidRPr="00D90F6A">
          <w:rPr>
            <w:rStyle w:val="Hyperlink"/>
            <w:sz w:val="24"/>
            <w:lang w:val="sk-SK"/>
          </w:rPr>
          <w:t>http://data.europa.eu/eli/dec/2020/2053/oj</w:t>
        </w:r>
      </w:hyperlink>
      <w:r w:rsidRPr="00D90F6A">
        <w:rPr>
          <w:sz w:val="24"/>
          <w:lang w:val="sk-SK"/>
        </w:rPr>
        <w:t>.</w:t>
      </w:r>
    </w:p>
  </w:footnote>
  <w:footnote w:id="3">
    <w:p w14:paraId="1C7C2588" w14:textId="2968A701" w:rsidR="00E158E5" w:rsidRPr="00D90F6A" w:rsidRDefault="00E158E5" w:rsidP="00D90F6A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</w:rPr>
        <w:footnoteRef/>
      </w:r>
      <w:r w:rsidRPr="00D90F6A">
        <w:rPr>
          <w:sz w:val="24"/>
          <w:lang w:val="sk-SK"/>
        </w:rPr>
        <w:t xml:space="preserve"> </w:t>
      </w:r>
      <w:r w:rsidRPr="00D90F6A">
        <w:rPr>
          <w:sz w:val="24"/>
          <w:lang w:val="sk-SK"/>
        </w:rPr>
        <w:tab/>
      </w:r>
      <w:r w:rsidRPr="00D90F6A">
        <w:rPr>
          <w:sz w:val="24"/>
          <w:lang w:val="sk-SK"/>
        </w:rPr>
        <w:t xml:space="preserve">Štúdia – </w:t>
      </w:r>
      <w:proofErr w:type="spellStart"/>
      <w:r w:rsidRPr="00D90F6A">
        <w:rPr>
          <w:sz w:val="24"/>
          <w:lang w:val="sk-SK"/>
        </w:rPr>
        <w:t>The</w:t>
      </w:r>
      <w:proofErr w:type="spellEnd"/>
      <w:r w:rsidRPr="00D90F6A">
        <w:rPr>
          <w:sz w:val="24"/>
          <w:lang w:val="sk-SK"/>
        </w:rPr>
        <w:t xml:space="preserve"> </w:t>
      </w:r>
      <w:proofErr w:type="spellStart"/>
      <w:r w:rsidRPr="00D90F6A">
        <w:rPr>
          <w:sz w:val="24"/>
          <w:lang w:val="sk-SK"/>
        </w:rPr>
        <w:t>taxation</w:t>
      </w:r>
      <w:proofErr w:type="spellEnd"/>
      <w:r w:rsidRPr="00D90F6A">
        <w:rPr>
          <w:sz w:val="24"/>
          <w:lang w:val="sk-SK"/>
        </w:rPr>
        <w:t xml:space="preserve"> of </w:t>
      </w:r>
      <w:proofErr w:type="spellStart"/>
      <w:r w:rsidRPr="00D90F6A">
        <w:rPr>
          <w:sz w:val="24"/>
          <w:lang w:val="sk-SK"/>
        </w:rPr>
        <w:t>the</w:t>
      </w:r>
      <w:proofErr w:type="spellEnd"/>
      <w:r w:rsidRPr="00D90F6A">
        <w:rPr>
          <w:sz w:val="24"/>
          <w:lang w:val="sk-SK"/>
        </w:rPr>
        <w:t xml:space="preserve"> </w:t>
      </w:r>
      <w:proofErr w:type="spellStart"/>
      <w:r w:rsidRPr="00D90F6A">
        <w:rPr>
          <w:sz w:val="24"/>
          <w:lang w:val="sk-SK"/>
        </w:rPr>
        <w:t>EU’s</w:t>
      </w:r>
      <w:proofErr w:type="spellEnd"/>
      <w:r w:rsidRPr="00D90F6A">
        <w:rPr>
          <w:sz w:val="24"/>
          <w:lang w:val="sk-SK"/>
        </w:rPr>
        <w:t xml:space="preserve"> </w:t>
      </w:r>
      <w:proofErr w:type="spellStart"/>
      <w:r w:rsidRPr="00D90F6A">
        <w:rPr>
          <w:sz w:val="24"/>
          <w:lang w:val="sk-SK"/>
        </w:rPr>
        <w:t>financial</w:t>
      </w:r>
      <w:proofErr w:type="spellEnd"/>
      <w:r w:rsidRPr="00D90F6A">
        <w:rPr>
          <w:sz w:val="24"/>
          <w:lang w:val="sk-SK"/>
        </w:rPr>
        <w:t xml:space="preserve"> </w:t>
      </w:r>
      <w:proofErr w:type="spellStart"/>
      <w:r w:rsidRPr="00D90F6A">
        <w:rPr>
          <w:sz w:val="24"/>
          <w:lang w:val="sk-SK"/>
        </w:rPr>
        <w:t>sector</w:t>
      </w:r>
      <w:proofErr w:type="spellEnd"/>
      <w:r w:rsidRPr="00D90F6A">
        <w:rPr>
          <w:sz w:val="24"/>
          <w:lang w:val="sk-SK"/>
        </w:rPr>
        <w:t xml:space="preserve"> (Zdaňovanie finančného sektora EÚ), Európsky parlament, generálne riaditeľstvo pre hospodárstvo, transformáciu a priemysel, tematická sekcia pre hospodárstvo a rast, jún 2025.</w:t>
      </w:r>
    </w:p>
  </w:footnote>
  <w:footnote w:id="4">
    <w:p w14:paraId="0E791FC2" w14:textId="79346953" w:rsidR="00E158E5" w:rsidRPr="00D90F6A" w:rsidRDefault="00E158E5" w:rsidP="00D90F6A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</w:rPr>
        <w:footnoteRef/>
      </w:r>
      <w:r w:rsidRPr="00D90F6A">
        <w:rPr>
          <w:sz w:val="24"/>
          <w:lang w:val="sk-SK"/>
        </w:rPr>
        <w:t xml:space="preserve"> </w:t>
      </w:r>
      <w:r w:rsidRPr="00D90F6A">
        <w:rPr>
          <w:sz w:val="24"/>
          <w:lang w:val="sk-SK"/>
        </w:rPr>
        <w:tab/>
      </w:r>
      <w:r w:rsidRPr="00D90F6A">
        <w:rPr>
          <w:sz w:val="24"/>
          <w:lang w:val="sk-SK"/>
        </w:rPr>
        <w:t xml:space="preserve">Ú. v. EÚ L 433 I, 22.12.2020, s. 28. ELI: </w:t>
      </w:r>
      <w:hyperlink r:id="rId3" w:tgtFrame="http://data.europa.eu/eli/agree_interinstit/2020/1222/oj" w:history="1">
        <w:r w:rsidRPr="00D90F6A">
          <w:rPr>
            <w:rStyle w:val="Hyperlink"/>
            <w:sz w:val="24"/>
            <w:lang w:val="sk-SK"/>
          </w:rPr>
          <w:t>http://data.europa.eu/eli/agree_interinstit/2020/1222/oj</w:t>
        </w:r>
      </w:hyperlink>
      <w:r w:rsidRPr="00D90F6A">
        <w:rPr>
          <w:sz w:val="24"/>
          <w:lang w:val="sk-SK"/>
        </w:rPr>
        <w:t>.</w:t>
      </w:r>
    </w:p>
  </w:footnote>
  <w:footnote w:id="5">
    <w:p w14:paraId="435C26D7" w14:textId="3CC53004" w:rsidR="00E158E5" w:rsidRPr="00D90F6A" w:rsidRDefault="00E158E5" w:rsidP="00D90F6A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</w:rPr>
        <w:footnoteRef/>
      </w:r>
      <w:r w:rsidRPr="00D90F6A">
        <w:rPr>
          <w:sz w:val="24"/>
          <w:lang w:val="sk-SK"/>
        </w:rPr>
        <w:t xml:space="preserve"> </w:t>
      </w:r>
      <w:r w:rsidRPr="00D90F6A">
        <w:rPr>
          <w:sz w:val="24"/>
          <w:lang w:val="sk-SK"/>
        </w:rPr>
        <w:tab/>
      </w:r>
      <w:r w:rsidRPr="00D90F6A">
        <w:rPr>
          <w:sz w:val="24"/>
          <w:lang w:val="sk-SK"/>
        </w:rPr>
        <w:t>Ú. v. EÚ C, C/2023/1067, 15.12.2023, ELI: http://data.europa.eu/eli/C/2023/1067/oj.</w:t>
      </w:r>
    </w:p>
  </w:footnote>
  <w:footnote w:id="6">
    <w:p w14:paraId="3110821C" w14:textId="04C2A745" w:rsidR="00E158E5" w:rsidRPr="00D90F6A" w:rsidRDefault="00E158E5" w:rsidP="00D90F6A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</w:rPr>
        <w:footnoteRef/>
      </w:r>
      <w:r w:rsidRPr="00D90F6A">
        <w:rPr>
          <w:sz w:val="24"/>
          <w:lang w:val="sk-SK"/>
        </w:rPr>
        <w:t xml:space="preserve"> </w:t>
      </w:r>
      <w:r w:rsidRPr="00D90F6A">
        <w:rPr>
          <w:sz w:val="24"/>
          <w:lang w:val="sk-SK"/>
        </w:rPr>
        <w:tab/>
      </w:r>
      <w:r w:rsidRPr="00D90F6A">
        <w:rPr>
          <w:sz w:val="24"/>
          <w:lang w:val="sk-SK"/>
        </w:rPr>
        <w:t xml:space="preserve">Ú. v. EÚ L, 2025/2029, 8.10.2025, ELI: </w:t>
      </w:r>
      <w:hyperlink r:id="rId4" w:tgtFrame="http://data.europa.eu/eli/reco/2025/2029/oj" w:history="1">
        <w:r w:rsidRPr="00D90F6A">
          <w:rPr>
            <w:rStyle w:val="Hyperlink"/>
            <w:sz w:val="24"/>
            <w:lang w:val="sk-SK"/>
          </w:rPr>
          <w:t>http://data.europa.eu/eli/reco/2025/2029/oj</w:t>
        </w:r>
      </w:hyperlink>
      <w:r w:rsidRPr="00D90F6A">
        <w:rPr>
          <w:sz w:val="24"/>
          <w:lang w:val="sk-SK"/>
        </w:rPr>
        <w:t>.</w:t>
      </w:r>
    </w:p>
  </w:footnote>
  <w:footnote w:id="7">
    <w:p w14:paraId="56ECDB34" w14:textId="2D86CB20" w:rsidR="00E158E5" w:rsidRPr="00D90F6A" w:rsidRDefault="00E158E5" w:rsidP="00D90F6A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</w:rPr>
        <w:footnoteRef/>
      </w:r>
      <w:r w:rsidRPr="00D90F6A">
        <w:rPr>
          <w:sz w:val="24"/>
          <w:lang w:val="sk-SK"/>
        </w:rPr>
        <w:t xml:space="preserve"> </w:t>
      </w:r>
      <w:r w:rsidRPr="00D90F6A">
        <w:rPr>
          <w:sz w:val="24"/>
          <w:lang w:val="sk-SK"/>
        </w:rPr>
        <w:tab/>
      </w:r>
      <w:r w:rsidRPr="00D90F6A">
        <w:rPr>
          <w:sz w:val="24"/>
          <w:lang w:val="sk-SK"/>
        </w:rPr>
        <w:t xml:space="preserve">Ú. v. EÚ L, 2025/50, 10.1.2025, ELI: </w:t>
      </w:r>
      <w:hyperlink r:id="rId5" w:tgtFrame="http://data.europa.eu/eli/dir/2025/50/oj" w:history="1">
        <w:r w:rsidRPr="00D90F6A">
          <w:rPr>
            <w:rStyle w:val="Hyperlink"/>
            <w:sz w:val="24"/>
            <w:lang w:val="sk-SK"/>
          </w:rPr>
          <w:t>http://data.europa.eu/eli/dir/2025/50/oj</w:t>
        </w:r>
      </w:hyperlink>
      <w:r w:rsidRPr="00D90F6A">
        <w:rPr>
          <w:sz w:val="24"/>
          <w:lang w:val="sk-SK"/>
        </w:rPr>
        <w:t>.</w:t>
      </w:r>
    </w:p>
  </w:footnote>
  <w:footnote w:id="8">
    <w:p w14:paraId="332B5745" w14:textId="0B0E79A9" w:rsidR="00E158E5" w:rsidRPr="00D90F6A" w:rsidRDefault="00E158E5" w:rsidP="00D90F6A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</w:rPr>
        <w:footnoteRef/>
      </w:r>
      <w:r w:rsidRPr="00D90F6A">
        <w:rPr>
          <w:sz w:val="24"/>
          <w:lang w:val="sk-SK"/>
        </w:rPr>
        <w:t xml:space="preserve"> </w:t>
      </w:r>
      <w:r w:rsidRPr="00D90F6A">
        <w:rPr>
          <w:sz w:val="24"/>
          <w:lang w:val="sk-SK"/>
        </w:rPr>
        <w:tab/>
      </w:r>
      <w:r w:rsidRPr="00D90F6A">
        <w:rPr>
          <w:sz w:val="24"/>
          <w:lang w:val="sk-SK"/>
        </w:rPr>
        <w:t xml:space="preserve">Legislatívne uznesenie Európskeho parlamentu z 10. apríla 2024 o návrhu smernice Rady, ktorou sa ustanovuje daňový systém ústredia pre </w:t>
      </w:r>
      <w:proofErr w:type="spellStart"/>
      <w:r w:rsidRPr="00D90F6A">
        <w:rPr>
          <w:sz w:val="24"/>
          <w:lang w:val="sk-SK"/>
        </w:rPr>
        <w:t>mikropodniky</w:t>
      </w:r>
      <w:proofErr w:type="spellEnd"/>
      <w:r w:rsidRPr="00D90F6A">
        <w:rPr>
          <w:sz w:val="24"/>
          <w:lang w:val="sk-SK"/>
        </w:rPr>
        <w:t xml:space="preserve">, malé a stredné podniky a mení smernica 2011/16/EÚ (Ú. v. EÚ C, C/2025/1326, 13.3.2025, ELI: </w:t>
      </w:r>
      <w:hyperlink r:id="rId6" w:tgtFrame="http://data.europa.eu/eli/C/2025/1326/oj" w:history="1">
        <w:r w:rsidRPr="00D90F6A">
          <w:rPr>
            <w:rStyle w:val="Hyperlink"/>
            <w:sz w:val="24"/>
            <w:lang w:val="sk-SK"/>
          </w:rPr>
          <w:t>http://data.europa.eu/eli/C/2025/1326/oj</w:t>
        </w:r>
      </w:hyperlink>
      <w:r w:rsidRPr="00D90F6A">
        <w:rPr>
          <w:sz w:val="24"/>
          <w:lang w:val="sk-SK"/>
        </w:rPr>
        <w:t>).</w:t>
      </w:r>
    </w:p>
  </w:footnote>
  <w:footnote w:id="9">
    <w:p w14:paraId="424CC848" w14:textId="7B3B5820" w:rsidR="00E158E5" w:rsidRPr="00D90F6A" w:rsidRDefault="00E158E5" w:rsidP="00D90F6A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</w:rPr>
        <w:footnoteRef/>
      </w:r>
      <w:r w:rsidRPr="00D90F6A">
        <w:rPr>
          <w:sz w:val="24"/>
          <w:lang w:val="sk-SK"/>
        </w:rPr>
        <w:t xml:space="preserve"> </w:t>
      </w:r>
      <w:r w:rsidRPr="00D90F6A">
        <w:rPr>
          <w:sz w:val="24"/>
          <w:lang w:val="sk-SK"/>
        </w:rPr>
        <w:tab/>
      </w:r>
      <w:r w:rsidRPr="00D90F6A">
        <w:rPr>
          <w:sz w:val="24"/>
          <w:lang w:val="sk-SK"/>
        </w:rPr>
        <w:t>Európska komisia, Európska makroekonomická správa za rok 2026, november 2025.</w:t>
      </w:r>
    </w:p>
  </w:footnote>
  <w:footnote w:id="10">
    <w:p w14:paraId="7878FEAD" w14:textId="455C9716" w:rsidR="00E158E5" w:rsidRPr="00D90F6A" w:rsidRDefault="00E158E5" w:rsidP="00D90F6A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</w:rPr>
        <w:footnoteRef/>
      </w:r>
      <w:r w:rsidRPr="00D90F6A">
        <w:rPr>
          <w:sz w:val="24"/>
          <w:lang w:val="sk-SK"/>
        </w:rPr>
        <w:t xml:space="preserve"> </w:t>
      </w:r>
      <w:r w:rsidRPr="00D90F6A">
        <w:rPr>
          <w:sz w:val="24"/>
          <w:lang w:val="sk-SK"/>
        </w:rPr>
        <w:tab/>
      </w:r>
      <w:r w:rsidRPr="00D90F6A">
        <w:rPr>
          <w:sz w:val="24"/>
          <w:lang w:val="sk-SK"/>
        </w:rPr>
        <w:t xml:space="preserve">Smernica Rady 2006/112/ES z 28. novembra 2006 o spoločnom systéme dane z pridanej hodnoty (Ú. v. EÚ L 347, 11.12.2006, s. 1, ELI: </w:t>
      </w:r>
      <w:hyperlink r:id="rId7" w:tgtFrame="http://data.europa.eu/eli/dir/2006/112/oj" w:history="1">
        <w:r w:rsidRPr="00D90F6A">
          <w:rPr>
            <w:rStyle w:val="Hyperlink"/>
            <w:sz w:val="24"/>
            <w:lang w:val="sk-SK"/>
          </w:rPr>
          <w:t>http://data.europa.eu/eli/dir/2006/112/oj</w:t>
        </w:r>
      </w:hyperlink>
      <w:r w:rsidRPr="00D90F6A">
        <w:rPr>
          <w:sz w:val="24"/>
          <w:lang w:val="sk-S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72FF9" w14:textId="77777777" w:rsidR="00064002" w:rsidRPr="00D90F6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670E7" w14:textId="77777777" w:rsidR="00064002" w:rsidRPr="00D90F6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CCD9A" w14:textId="77777777" w:rsidR="00064002" w:rsidRPr="00D90F6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30609601">
    <w:abstractNumId w:val="9"/>
  </w:num>
  <w:num w:numId="2" w16cid:durableId="1018431160">
    <w:abstractNumId w:val="9"/>
  </w:num>
  <w:num w:numId="3" w16cid:durableId="1240169255">
    <w:abstractNumId w:val="7"/>
  </w:num>
  <w:num w:numId="4" w16cid:durableId="958686152">
    <w:abstractNumId w:val="7"/>
  </w:num>
  <w:num w:numId="5" w16cid:durableId="1136070725">
    <w:abstractNumId w:val="6"/>
  </w:num>
  <w:num w:numId="6" w16cid:durableId="335040127">
    <w:abstractNumId w:val="6"/>
  </w:num>
  <w:num w:numId="7" w16cid:durableId="2037198666">
    <w:abstractNumId w:val="5"/>
  </w:num>
  <w:num w:numId="8" w16cid:durableId="847913287">
    <w:abstractNumId w:val="5"/>
  </w:num>
  <w:num w:numId="9" w16cid:durableId="1657955902">
    <w:abstractNumId w:val="4"/>
  </w:num>
  <w:num w:numId="10" w16cid:durableId="780757603">
    <w:abstractNumId w:val="4"/>
  </w:num>
  <w:num w:numId="11" w16cid:durableId="850220184">
    <w:abstractNumId w:val="8"/>
  </w:num>
  <w:num w:numId="12" w16cid:durableId="1147212427">
    <w:abstractNumId w:val="8"/>
  </w:num>
  <w:num w:numId="13" w16cid:durableId="1846431085">
    <w:abstractNumId w:val="3"/>
  </w:num>
  <w:num w:numId="14" w16cid:durableId="749425153">
    <w:abstractNumId w:val="3"/>
  </w:num>
  <w:num w:numId="15" w16cid:durableId="1668052328">
    <w:abstractNumId w:val="2"/>
  </w:num>
  <w:num w:numId="16" w16cid:durableId="1458328944">
    <w:abstractNumId w:val="2"/>
  </w:num>
  <w:num w:numId="17" w16cid:durableId="879783934">
    <w:abstractNumId w:val="1"/>
  </w:num>
  <w:num w:numId="18" w16cid:durableId="22829938">
    <w:abstractNumId w:val="1"/>
  </w:num>
  <w:num w:numId="19" w16cid:durableId="732849442">
    <w:abstractNumId w:val="0"/>
  </w:num>
  <w:num w:numId="20" w16cid:durableId="753472402">
    <w:abstractNumId w:val="0"/>
  </w:num>
  <w:num w:numId="21" w16cid:durableId="1839693076">
    <w:abstractNumId w:val="9"/>
  </w:num>
  <w:num w:numId="22" w16cid:durableId="1687751386">
    <w:abstractNumId w:val="7"/>
  </w:num>
  <w:num w:numId="23" w16cid:durableId="1735204840">
    <w:abstractNumId w:val="6"/>
  </w:num>
  <w:num w:numId="24" w16cid:durableId="363752200">
    <w:abstractNumId w:val="5"/>
  </w:num>
  <w:num w:numId="25" w16cid:durableId="1918514451">
    <w:abstractNumId w:val="4"/>
  </w:num>
  <w:num w:numId="26" w16cid:durableId="1538853820">
    <w:abstractNumId w:val="8"/>
  </w:num>
  <w:num w:numId="27" w16cid:durableId="173545008">
    <w:abstractNumId w:val="3"/>
  </w:num>
  <w:num w:numId="28" w16cid:durableId="803544363">
    <w:abstractNumId w:val="2"/>
  </w:num>
  <w:num w:numId="29" w16cid:durableId="1338652813">
    <w:abstractNumId w:val="1"/>
  </w:num>
  <w:num w:numId="30" w16cid:durableId="1061639240">
    <w:abstractNumId w:val="0"/>
  </w:num>
  <w:num w:numId="31" w16cid:durableId="372079206">
    <w:abstractNumId w:val="9"/>
  </w:num>
  <w:num w:numId="32" w16cid:durableId="1457214910">
    <w:abstractNumId w:val="7"/>
  </w:num>
  <w:num w:numId="33" w16cid:durableId="592975206">
    <w:abstractNumId w:val="6"/>
  </w:num>
  <w:num w:numId="34" w16cid:durableId="1332369149">
    <w:abstractNumId w:val="5"/>
  </w:num>
  <w:num w:numId="35" w16cid:durableId="1125537562">
    <w:abstractNumId w:val="4"/>
  </w:num>
  <w:num w:numId="36" w16cid:durableId="781800946">
    <w:abstractNumId w:val="8"/>
  </w:num>
  <w:num w:numId="37" w16cid:durableId="1305546622">
    <w:abstractNumId w:val="3"/>
  </w:num>
  <w:num w:numId="38" w16cid:durableId="1414429993">
    <w:abstractNumId w:val="2"/>
  </w:num>
  <w:num w:numId="39" w16cid:durableId="1751542516">
    <w:abstractNumId w:val="1"/>
  </w:num>
  <w:num w:numId="40" w16cid:durableId="238752277">
    <w:abstractNumId w:val="0"/>
  </w:num>
  <w:num w:numId="41" w16cid:durableId="1199702032">
    <w:abstractNumId w:val="10"/>
  </w:num>
  <w:num w:numId="42" w16cid:durableId="1793818296">
    <w:abstractNumId w:val="10"/>
  </w:num>
  <w:num w:numId="43" w16cid:durableId="1444425044">
    <w:abstractNumId w:val="10"/>
  </w:num>
  <w:num w:numId="44" w16cid:durableId="5292207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69/2026"/>
    <w:docVar w:name="dvlangue" w:val="SK"/>
    <w:docVar w:name="dvnumam" w:val="0"/>
    <w:docVar w:name="dvpe" w:val="779.360"/>
    <w:docVar w:name="dvrapporteur" w:val="Spravodajca: "/>
    <w:docVar w:name="dvtitre" w:val="Uznesenie Európskeho parlamentu z/zo xx. xxx 2026 o ucelenom daňovom rámci pre finančný sektor EÚ(2024/2117(INI))"/>
  </w:docVars>
  <w:rsids>
    <w:rsidRoot w:val="003A4517"/>
    <w:rsid w:val="00002272"/>
    <w:rsid w:val="0001671F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73347"/>
    <w:rsid w:val="00395FA1"/>
    <w:rsid w:val="003A4517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100FB"/>
    <w:rsid w:val="006631B6"/>
    <w:rsid w:val="00680577"/>
    <w:rsid w:val="006F74FA"/>
    <w:rsid w:val="00700B80"/>
    <w:rsid w:val="00731ADD"/>
    <w:rsid w:val="00734777"/>
    <w:rsid w:val="00747932"/>
    <w:rsid w:val="00751A4A"/>
    <w:rsid w:val="00756632"/>
    <w:rsid w:val="00762C74"/>
    <w:rsid w:val="00786EC0"/>
    <w:rsid w:val="007D1690"/>
    <w:rsid w:val="007D62BD"/>
    <w:rsid w:val="007E22AD"/>
    <w:rsid w:val="00817416"/>
    <w:rsid w:val="00842779"/>
    <w:rsid w:val="00865F67"/>
    <w:rsid w:val="00881A7B"/>
    <w:rsid w:val="008840E5"/>
    <w:rsid w:val="00887B3E"/>
    <w:rsid w:val="008C2AC6"/>
    <w:rsid w:val="0090221B"/>
    <w:rsid w:val="00930C23"/>
    <w:rsid w:val="0093193B"/>
    <w:rsid w:val="009461C5"/>
    <w:rsid w:val="009509D8"/>
    <w:rsid w:val="00950B64"/>
    <w:rsid w:val="00981893"/>
    <w:rsid w:val="00A1687D"/>
    <w:rsid w:val="00A250F2"/>
    <w:rsid w:val="00A43E52"/>
    <w:rsid w:val="00A4678D"/>
    <w:rsid w:val="00A72DE2"/>
    <w:rsid w:val="00A778C7"/>
    <w:rsid w:val="00AA2122"/>
    <w:rsid w:val="00AB441E"/>
    <w:rsid w:val="00AB6293"/>
    <w:rsid w:val="00AE0928"/>
    <w:rsid w:val="00AF3B82"/>
    <w:rsid w:val="00B12E95"/>
    <w:rsid w:val="00B22876"/>
    <w:rsid w:val="00B27C80"/>
    <w:rsid w:val="00B558F0"/>
    <w:rsid w:val="00BD48FE"/>
    <w:rsid w:val="00BD7BD8"/>
    <w:rsid w:val="00BE6ADC"/>
    <w:rsid w:val="00C011E0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0F6A"/>
    <w:rsid w:val="00D91E21"/>
    <w:rsid w:val="00DA7FCD"/>
    <w:rsid w:val="00E158E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7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CE22F0"/>
  <w15:chartTrackingRefBased/>
  <w15:docId w15:val="{E05FA3AC-0CF7-40BD-9699-096F06BFE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AA2122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AA2122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AA2122"/>
    <w:pPr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AA2122"/>
    <w:pPr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AA2122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AA2122"/>
    <w:rPr>
      <w:color w:val="0000FF"/>
      <w:u w:val="single"/>
    </w:rPr>
  </w:style>
  <w:style w:type="paragraph" w:styleId="Revision">
    <w:name w:val="Revision"/>
    <w:hidden/>
    <w:uiPriority w:val="99"/>
    <w:semiHidden/>
    <w:rsid w:val="00E158E5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agree_interinstit/2020/1222/oj" TargetMode="External"/><Relationship Id="rId7" Type="http://schemas.openxmlformats.org/officeDocument/2006/relationships/hyperlink" Target="http://data.europa.eu/eli/dir/2006/112/oj" TargetMode="External"/><Relationship Id="rId2" Type="http://schemas.openxmlformats.org/officeDocument/2006/relationships/hyperlink" Target="http://data.europa.eu/eli/dec/2020/2053/oj" TargetMode="External"/><Relationship Id="rId1" Type="http://schemas.openxmlformats.org/officeDocument/2006/relationships/hyperlink" Target="http://data.europa.eu/eli/reg/2023/1114/oj" TargetMode="External"/><Relationship Id="rId6" Type="http://schemas.openxmlformats.org/officeDocument/2006/relationships/hyperlink" Target="http://data.europa.eu/eli/C/2025/1326/oj" TargetMode="External"/><Relationship Id="rId5" Type="http://schemas.openxmlformats.org/officeDocument/2006/relationships/hyperlink" Target="http://data.europa.eu/eli/dir/2025/50/oj" TargetMode="External"/><Relationship Id="rId4" Type="http://schemas.openxmlformats.org/officeDocument/2006/relationships/hyperlink" Target="http://data.europa.eu/eli/reco/2025/20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3383</Words>
  <Characters>21245</Characters>
  <Application>Microsoft Office Word</Application>
  <DocSecurity>0</DocSecurity>
  <Lines>177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2026-07-07T14:47:00Z</dcterms:created>
  <dcterms:modified xsi:type="dcterms:W3CDTF">2026-07-07T14:47:00Z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A10-0169/2026</vt:lpwstr>
  </property>
  <property fmtid="{D5CDD505-2E9C-101B-9397-08002B2CF9AE}" pid="4" name="&lt;Type&gt;">
    <vt:lpwstr>RR</vt:lpwstr>
  </property>
</Properties>
</file>