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734" w14:paraId="1E2E71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CEDA72" w14:textId="19AD6A08" w:rsidR="00751A4A" w:rsidRPr="005B7734" w:rsidRDefault="00875EB9" w:rsidP="0010095E">
            <w:pPr>
              <w:pStyle w:val="EPName"/>
            </w:pPr>
            <w:r w:rsidRPr="005B7734">
              <w:t>Европейски</w:t>
            </w:r>
            <w:r w:rsidR="00D42D80" w:rsidRPr="005B7734">
              <w:t xml:space="preserve"> парламент</w:t>
            </w:r>
          </w:p>
          <w:p w14:paraId="469F0FA5" w14:textId="7CAB4356" w:rsidR="00751A4A" w:rsidRPr="005B77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7734">
              <w:t>2024</w:t>
            </w:r>
            <w:r w:rsidR="00875EB9">
              <w:t> – </w:t>
            </w:r>
            <w:r w:rsidR="00817416" w:rsidRPr="005B7734">
              <w:t>202</w:t>
            </w:r>
            <w:r w:rsidRPr="005B7734">
              <w:t>9</w:t>
            </w:r>
          </w:p>
        </w:tc>
        <w:tc>
          <w:tcPr>
            <w:tcW w:w="2268" w:type="dxa"/>
            <w:shd w:val="clear" w:color="auto" w:fill="auto"/>
          </w:tcPr>
          <w:p w14:paraId="5F280AAD" w14:textId="77777777" w:rsidR="00751A4A" w:rsidRPr="005B7734" w:rsidRDefault="00187494" w:rsidP="0010095E">
            <w:pPr>
              <w:pStyle w:val="EPLogo"/>
            </w:pPr>
            <w:r w:rsidRPr="005B7734">
              <w:rPr>
                <w:noProof/>
                <w:lang w:eastAsia="ja-JP"/>
              </w:rPr>
              <w:drawing>
                <wp:inline distT="0" distB="0" distL="0" distR="0" wp14:anchorId="34E583A2" wp14:editId="63F7A6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90A37" w14:textId="77777777" w:rsidR="00D058B8" w:rsidRPr="005B7734" w:rsidRDefault="00D058B8" w:rsidP="004C5D52">
      <w:pPr>
        <w:pStyle w:val="LineTop"/>
      </w:pPr>
    </w:p>
    <w:p w14:paraId="1999E80E" w14:textId="77777777" w:rsidR="00680577" w:rsidRPr="005B7734" w:rsidRDefault="00D42D80" w:rsidP="00680577">
      <w:pPr>
        <w:pStyle w:val="EPBodyTA1"/>
      </w:pPr>
      <w:r w:rsidRPr="005B7734">
        <w:t>ПРИЕТИ ТЕКСТОВЕ</w:t>
      </w:r>
    </w:p>
    <w:p w14:paraId="40680F2B" w14:textId="77777777" w:rsidR="00D058B8" w:rsidRPr="005B7734" w:rsidRDefault="00D058B8" w:rsidP="00D058B8">
      <w:pPr>
        <w:pStyle w:val="LineBottom"/>
      </w:pPr>
    </w:p>
    <w:p w14:paraId="731AB34B" w14:textId="7C077488" w:rsidR="00D42D80" w:rsidRPr="005B7734" w:rsidRDefault="00D42D80" w:rsidP="00D42D80">
      <w:pPr>
        <w:pStyle w:val="ATHeading1"/>
      </w:pPr>
      <w:bookmarkStart w:id="0" w:name="TANumber"/>
      <w:r w:rsidRPr="005B7734">
        <w:t>P10_TA(2026)0</w:t>
      </w:r>
      <w:r w:rsidR="00EC1500">
        <w:t>249</w:t>
      </w:r>
      <w:bookmarkEnd w:id="0"/>
    </w:p>
    <w:p w14:paraId="625D39CF" w14:textId="77777777" w:rsidR="00D42D80" w:rsidRPr="005B7734" w:rsidRDefault="00D42D80" w:rsidP="00D42D80">
      <w:pPr>
        <w:pStyle w:val="ATHeading2"/>
      </w:pPr>
      <w:bookmarkStart w:id="1" w:name="title"/>
      <w:r w:rsidRPr="005B7734">
        <w:t>Нова стратегия за медийна грамотност и цифрово обучение</w:t>
      </w:r>
      <w:bookmarkEnd w:id="1"/>
    </w:p>
    <w:p w14:paraId="2D7F93E4" w14:textId="77777777" w:rsidR="00D42D80" w:rsidRPr="005B7734" w:rsidRDefault="00D42D80" w:rsidP="00D42D80">
      <w:pPr>
        <w:rPr>
          <w:i/>
          <w:vanish/>
        </w:rPr>
      </w:pPr>
      <w:r w:rsidRPr="005B7734">
        <w:rPr>
          <w:i/>
        </w:rPr>
        <w:fldChar w:fldCharType="begin"/>
      </w:r>
      <w:r w:rsidRPr="005B7734">
        <w:rPr>
          <w:i/>
        </w:rPr>
        <w:instrText xml:space="preserve"> TC"(</w:instrText>
      </w:r>
      <w:bookmarkStart w:id="2" w:name="DocNumber"/>
      <w:r w:rsidRPr="005B7734">
        <w:rPr>
          <w:i/>
        </w:rPr>
        <w:instrText>A10-0173/2026</w:instrText>
      </w:r>
      <w:bookmarkEnd w:id="2"/>
      <w:r w:rsidRPr="005B7734">
        <w:rPr>
          <w:i/>
        </w:rPr>
        <w:instrText xml:space="preserve"> - Докладчик: Маркос Рос </w:instrText>
      </w:r>
      <w:proofErr w:type="spellStart"/>
      <w:r w:rsidRPr="005B7734">
        <w:rPr>
          <w:i/>
        </w:rPr>
        <w:instrText>Семпере</w:instrText>
      </w:r>
      <w:proofErr w:type="spellEnd"/>
      <w:r w:rsidRPr="005B7734">
        <w:rPr>
          <w:i/>
        </w:rPr>
        <w:instrText xml:space="preserve">)"\l3 \n&gt; \* MERGEFORMAT </w:instrText>
      </w:r>
      <w:r w:rsidRPr="005B7734">
        <w:rPr>
          <w:i/>
        </w:rPr>
        <w:fldChar w:fldCharType="end"/>
      </w:r>
    </w:p>
    <w:p w14:paraId="12595591" w14:textId="77777777" w:rsidR="00D42D80" w:rsidRPr="005B7734" w:rsidRDefault="00D42D80" w:rsidP="00D42D80">
      <w:pPr>
        <w:rPr>
          <w:vanish/>
        </w:rPr>
      </w:pPr>
      <w:bookmarkStart w:id="3" w:name="Commission"/>
      <w:r w:rsidRPr="005B7734">
        <w:rPr>
          <w:vanish/>
        </w:rPr>
        <w:t>Комисия по култура и образование</w:t>
      </w:r>
      <w:bookmarkEnd w:id="3"/>
    </w:p>
    <w:p w14:paraId="083456F3" w14:textId="77777777" w:rsidR="00D42D80" w:rsidRPr="005B7734" w:rsidRDefault="00D42D80" w:rsidP="00D42D80">
      <w:pPr>
        <w:rPr>
          <w:vanish/>
        </w:rPr>
      </w:pPr>
      <w:bookmarkStart w:id="4" w:name="PE"/>
      <w:r w:rsidRPr="005B7734">
        <w:rPr>
          <w:vanish/>
        </w:rPr>
        <w:t>PE784.483</w:t>
      </w:r>
      <w:bookmarkEnd w:id="4"/>
    </w:p>
    <w:p w14:paraId="5AF84F63" w14:textId="40CF4B10" w:rsidR="00D42D80" w:rsidRPr="005B7734" w:rsidRDefault="00D42D80" w:rsidP="00D42D80">
      <w:pPr>
        <w:pStyle w:val="ATHeading3"/>
      </w:pPr>
      <w:bookmarkStart w:id="5" w:name="Sujet"/>
      <w:r w:rsidRPr="005B7734">
        <w:t xml:space="preserve">Резолюция на Европейския парламент от </w:t>
      </w:r>
      <w:r w:rsidR="00875EB9">
        <w:t>7 юли</w:t>
      </w:r>
      <w:r w:rsidR="00875EB9" w:rsidRPr="005B7734">
        <w:t xml:space="preserve"> </w:t>
      </w:r>
      <w:r w:rsidRPr="005B7734">
        <w:t>2026 г. относно нова стратегия за медийна грамотност и цифрово обучение</w:t>
      </w:r>
      <w:bookmarkEnd w:id="5"/>
      <w:r w:rsidRPr="005B7734">
        <w:t xml:space="preserve"> </w:t>
      </w:r>
      <w:bookmarkStart w:id="6" w:name="References"/>
      <w:r w:rsidRPr="005B7734">
        <w:t>(2025/2181(INI))</w:t>
      </w:r>
      <w:bookmarkEnd w:id="6"/>
    </w:p>
    <w:p w14:paraId="3987B392" w14:textId="77777777" w:rsidR="00EC1E3F" w:rsidRPr="005B7734" w:rsidRDefault="00EC1E3F" w:rsidP="00EC1E3F">
      <w:pPr>
        <w:pStyle w:val="Normal12"/>
      </w:pPr>
      <w:r w:rsidRPr="005B7734">
        <w:rPr>
          <w:i/>
        </w:rPr>
        <w:t>Европейският парламент</w:t>
      </w:r>
      <w:r w:rsidRPr="005B7734">
        <w:t>,</w:t>
      </w:r>
    </w:p>
    <w:p w14:paraId="2600B511" w14:textId="299CD0ED" w:rsidR="00EC1E3F" w:rsidRPr="005B7734" w:rsidRDefault="00EC1E3F" w:rsidP="00EC1E3F">
      <w:pPr>
        <w:pStyle w:val="NormalHanging"/>
      </w:pPr>
      <w:r w:rsidRPr="005B7734">
        <w:t>–</w:t>
      </w:r>
      <w:r w:rsidRPr="005B7734">
        <w:tab/>
        <w:t>като взе предвид Директива (ЕС) 2018/1808 на Европейския парламент и на Съвета от 14 ноември 2018 г. за изменение на Директива 2010/13/ЕС за координирането на някои разпоредби, установени в закони, подзаконови и административни актове на държавите членки, отнасящи се до предоставянето на аудиовизуални медийни услуги (Директива за аудиовизуалните медийни услуги), с оглед на променящите се пазарни условия</w:t>
      </w:r>
      <w:r w:rsidR="00875EB9">
        <w:rPr>
          <w:rStyle w:val="FootnoteReference"/>
        </w:rPr>
        <w:footnoteReference w:id="1"/>
      </w:r>
      <w:r w:rsidRPr="005B7734">
        <w:t>,</w:t>
      </w:r>
    </w:p>
    <w:p w14:paraId="042F1C87" w14:textId="77777777" w:rsidR="00EC1E3F" w:rsidRPr="005B7734" w:rsidRDefault="00EC1E3F" w:rsidP="00EC1E3F">
      <w:pPr>
        <w:pStyle w:val="NormalHanging12a"/>
      </w:pPr>
      <w:r w:rsidRPr="005B7734">
        <w:t>–</w:t>
      </w:r>
      <w:r w:rsidRPr="005B7734">
        <w:tab/>
        <w:t>като взе предвид Регламент (ЕС) 2024/1083 на Европейския парламент и на Съвета от 11 април 2024 г. за създаване на обща рамка за медийните услуги на вътрешния пазар и за изменение на Директива 2010/13/ЕС (Европейски акт за свободата на медиите)</w:t>
      </w:r>
      <w:r w:rsidRPr="005B7734">
        <w:rPr>
          <w:rStyle w:val="FootnoteReference"/>
        </w:rPr>
        <w:footnoteReference w:id="2"/>
      </w:r>
      <w:r w:rsidRPr="005B7734">
        <w:t>,</w:t>
      </w:r>
    </w:p>
    <w:p w14:paraId="1E66283C" w14:textId="77777777" w:rsidR="00EC1E3F" w:rsidRPr="005B7734" w:rsidRDefault="00EC1E3F" w:rsidP="00EC1E3F">
      <w:pPr>
        <w:pStyle w:val="NormalHanging12a"/>
      </w:pPr>
      <w:r w:rsidRPr="005B7734">
        <w:t>–</w:t>
      </w:r>
      <w:r w:rsidRPr="005B7734">
        <w:tab/>
        <w:t>като взе предвид Регламент (ЕС) 2022/2065 на Европейския парламент и на Съвета от 19 октомври 2022 г. относно единния пазар на цифрови услуги и за изменение на Директива 2000/31/ЕО (Акт за цифровите услуги)</w:t>
      </w:r>
      <w:r w:rsidRPr="005B7734">
        <w:rPr>
          <w:vertAlign w:val="superscript"/>
        </w:rPr>
        <w:footnoteReference w:id="3"/>
      </w:r>
      <w:r w:rsidRPr="005B7734">
        <w:t>,</w:t>
      </w:r>
    </w:p>
    <w:p w14:paraId="50223A52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i/>
        </w:rPr>
        <w:tab/>
      </w:r>
      <w:r w:rsidRPr="005B7734">
        <w:t>като взе предвид Регламент (ЕС) 2024/1689 на Европейския парламент и на Съвета от 13 юни 2024 г. за установяване на хармонизирани правила относно изкуствения интелект и за изменение на регламенти (ЕО) № 300/2008, (ЕС) № 167/2013, (ЕС) № 168/2013, (ЕС) 2018/858, (ЕС) 2018/1139 и (ЕС) 2019/2144 и директиви 2014/90/ЕС, (ЕС) 2016/797 и (ЕС) 2020/1828 (Акт за изкуствения интелект)</w:t>
      </w:r>
      <w:r w:rsidRPr="005B7734">
        <w:rPr>
          <w:rStyle w:val="FootnoteReference"/>
          <w:bCs/>
          <w:iCs/>
        </w:rPr>
        <w:footnoteReference w:id="4"/>
      </w:r>
      <w:r w:rsidRPr="005B7734">
        <w:t>,</w:t>
      </w:r>
    </w:p>
    <w:p w14:paraId="4C24424A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lastRenderedPageBreak/>
        <w:t>–</w:t>
      </w:r>
      <w:r w:rsidRPr="005B7734">
        <w:rPr>
          <w:b/>
          <w:i/>
        </w:rPr>
        <w:tab/>
      </w:r>
      <w:r w:rsidRPr="005B7734">
        <w:t>като взе предвид своята резолюция от 25 март 2021 г. относно определянето на политика в областта на цифровото образование</w:t>
      </w:r>
      <w:r w:rsidRPr="005B7734">
        <w:rPr>
          <w:rStyle w:val="FootnoteReference"/>
          <w:bCs/>
          <w:iCs/>
        </w:rPr>
        <w:footnoteReference w:id="5"/>
      </w:r>
      <w:r w:rsidRPr="005B7734">
        <w:t>,</w:t>
      </w:r>
    </w:p>
    <w:p w14:paraId="260FFD4E" w14:textId="77777777" w:rsidR="00EC1E3F" w:rsidRPr="005B7734" w:rsidRDefault="00EC1E3F" w:rsidP="00EC1E3F">
      <w:pPr>
        <w:pStyle w:val="NormalHanging"/>
      </w:pPr>
      <w:r w:rsidRPr="005B7734">
        <w:t>–</w:t>
      </w:r>
      <w:r w:rsidRPr="005B7734">
        <w:tab/>
        <w:t>като взе предвид съобщението на Комисията от 11 май 2022 г., озаглавено „Цифрово десетилетие за децата и младежите: новата европейска стратегия за по-добър интернет за децата (BIK +)“ (COM (2022) 0212),</w:t>
      </w:r>
    </w:p>
    <w:p w14:paraId="4E756CCE" w14:textId="77777777" w:rsidR="00EC1E3F" w:rsidRPr="005B7734" w:rsidRDefault="00EC1E3F" w:rsidP="00EC1E3F">
      <w:pPr>
        <w:pStyle w:val="NormalHanging12a"/>
      </w:pPr>
      <w:r w:rsidRPr="005B7734">
        <w:t>–</w:t>
      </w:r>
      <w:r w:rsidRPr="005B7734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ноември 2025 г., озаглавено „Европейски щит за демокрацията: създаване на възможности за силни и устойчиви демокрации“ (JOIN(2025) 791),</w:t>
      </w:r>
    </w:p>
    <w:p w14:paraId="09DC0204" w14:textId="77777777" w:rsidR="00EC1E3F" w:rsidRPr="005B7734" w:rsidRDefault="00EC1E3F" w:rsidP="00EC1E3F">
      <w:pPr>
        <w:pStyle w:val="NormalHanging"/>
      </w:pPr>
      <w:r w:rsidRPr="005B7734">
        <w:t>–</w:t>
      </w:r>
      <w:r w:rsidRPr="005B7734">
        <w:tab/>
        <w:t>като взе предвид съобщението на Комисията от 5 март 2025 г. относно Плана за действие за основните умения (COM(2025)0088),</w:t>
      </w:r>
    </w:p>
    <w:p w14:paraId="58460B80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съобщението на Комисията от 3 декември 2020 г., озаглавено „Европейските медии в цифровото десетилетие: План за действие в подкрепа на възстановяването и трансформацията“ (COM(2020)0784),</w:t>
      </w:r>
    </w:p>
    <w:p w14:paraId="1234023F" w14:textId="77777777" w:rsidR="00EC1E3F" w:rsidRPr="005B7734" w:rsidRDefault="00EC1E3F" w:rsidP="00EC1E3F">
      <w:pPr>
        <w:pStyle w:val="NormalHanging"/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съобщението на Комисията от 10 февруари 2026 г., озаглавено „План за действие срещу кибертормоза – „По-безопасна онлайн среда, по-силни заедно“ (COM(2026)0071),</w:t>
      </w:r>
    </w:p>
    <w:p w14:paraId="7046EF12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съобщението на Комисията от 5 март 2026 г., озаглавено „Стратегия за справедливост между поколенията“ (COM(2026) 110),</w:t>
      </w:r>
    </w:p>
    <w:p w14:paraId="6C4E6A9D" w14:textId="77777777" w:rsidR="00EC1E3F" w:rsidRPr="005B7734" w:rsidRDefault="00EC1E3F" w:rsidP="00EC1E3F">
      <w:pPr>
        <w:pStyle w:val="NormalHanging"/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своята резолюция от 26 ноември 2025 г. относно защитата на малолетните и непълнолетните лица онлайн</w:t>
      </w:r>
      <w:r w:rsidRPr="005B7734">
        <w:rPr>
          <w:rStyle w:val="FootnoteReference"/>
        </w:rPr>
        <w:footnoteReference w:id="6"/>
      </w:r>
      <w:r w:rsidRPr="005B7734">
        <w:t>,</w:t>
      </w:r>
    </w:p>
    <w:p w14:paraId="175D0A97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rPr>
          <w:b/>
          <w:i/>
        </w:rPr>
        <w:t>–</w:t>
      </w:r>
      <w:r w:rsidRPr="005B7734">
        <w:tab/>
        <w:t>като взе предвид Пакта за бъдещето на Организацията на обединените нации от 22 септември 2024 г.,</w:t>
      </w:r>
    </w:p>
    <w:p w14:paraId="676BF894" w14:textId="77777777" w:rsidR="00EC1E3F" w:rsidRPr="005B7734" w:rsidRDefault="00EC1E3F" w:rsidP="00EC1E3F">
      <w:pPr>
        <w:pStyle w:val="NormalHanging"/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резолюцията на Съвета на Европейския съюз и на представителите на правителствата на държавите членки, заседаващи в рамките на Съвета, относно рамка за европейско сътрудничество по въпросите на младежта, озаглавена „Стратегия на Европейския съюз за младежта за периода 2019 – 2027 г.“</w:t>
      </w:r>
      <w:r w:rsidRPr="005B7734">
        <w:rPr>
          <w:rStyle w:val="FootnoteReference"/>
        </w:rPr>
        <w:footnoteReference w:id="7"/>
      </w:r>
      <w:r w:rsidRPr="005B7734">
        <w:t>,</w:t>
      </w:r>
    </w:p>
    <w:p w14:paraId="342C28AC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публикацията на Комисията, озаглавена „Насоки относно етичното използване на изкуствен интелект и данни в преподаването и ученето за преподаватели“, публикувана през 2026 г.,</w:t>
      </w:r>
    </w:p>
    <w:p w14:paraId="1D211F56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tab/>
        <w:t>като взе предвид публикацията на Комисията, озаглавена „Насоки за преподаване на информатика: практически стратегии за европейските класни стаи“, публикувана през 2026 г.,</w:t>
      </w:r>
    </w:p>
    <w:p w14:paraId="1ABBD959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lastRenderedPageBreak/>
        <w:t>–</w:t>
      </w:r>
      <w:r w:rsidRPr="005B7734">
        <w:rPr>
          <w:b/>
          <w:i/>
        </w:rPr>
        <w:tab/>
      </w:r>
      <w:r w:rsidRPr="005B7734">
        <w:t>като взе предвид публикацията на Комисията, озаглавена „Благосъстояние и психично здраве в училище – насоки за създателите на политики в областта на образованието“, публикувана през 2024 г.,</w:t>
      </w:r>
    </w:p>
    <w:p w14:paraId="338DDA2A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публикацията на Съвместния изследователски център, озаглавена „Използване на социалните медии и психично здраве на подрастващите в ЕС“, публикувана през 2025 г.,</w:t>
      </w:r>
    </w:p>
    <w:p w14:paraId="63F744E3" w14:textId="77777777" w:rsidR="00EC1E3F" w:rsidRPr="005B7734" w:rsidRDefault="00EC1E3F" w:rsidP="00EC1E3F">
      <w:pPr>
        <w:pStyle w:val="NormalHanging"/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 xml:space="preserve">като взе предвид докладите на ЮНЕСКО, и по-специално доклада, озаглавен „Медийна и информационна грамотност за всички: преодоляване на пропуските: глобален анализ на актуалното състояние на медийната и информационната грамотност“ (‘Media </w:t>
      </w:r>
      <w:proofErr w:type="spellStart"/>
      <w:r w:rsidRPr="005B7734">
        <w:t>and</w:t>
      </w:r>
      <w:proofErr w:type="spellEnd"/>
      <w:r w:rsidRPr="005B7734">
        <w:t xml:space="preserve"> </w:t>
      </w:r>
      <w:proofErr w:type="spellStart"/>
      <w:r w:rsidRPr="005B7734">
        <w:t>information</w:t>
      </w:r>
      <w:proofErr w:type="spellEnd"/>
      <w:r w:rsidRPr="005B7734">
        <w:t xml:space="preserve"> </w:t>
      </w:r>
      <w:proofErr w:type="spellStart"/>
      <w:r w:rsidRPr="005B7734">
        <w:t>literacy</w:t>
      </w:r>
      <w:proofErr w:type="spellEnd"/>
      <w:r w:rsidRPr="005B7734">
        <w:t xml:space="preserve"> </w:t>
      </w:r>
      <w:proofErr w:type="spellStart"/>
      <w:r w:rsidRPr="005B7734">
        <w:t>for</w:t>
      </w:r>
      <w:proofErr w:type="spellEnd"/>
      <w:r w:rsidRPr="005B7734">
        <w:t xml:space="preserve"> </w:t>
      </w:r>
      <w:proofErr w:type="spellStart"/>
      <w:r w:rsidRPr="005B7734">
        <w:t>all</w:t>
      </w:r>
      <w:proofErr w:type="spellEnd"/>
      <w:r w:rsidRPr="005B7734">
        <w:t xml:space="preserve">: </w:t>
      </w:r>
      <w:proofErr w:type="spellStart"/>
      <w:r w:rsidRPr="005B7734">
        <w:t>closing</w:t>
      </w:r>
      <w:proofErr w:type="spellEnd"/>
      <w:r w:rsidRPr="005B7734">
        <w:t xml:space="preserve"> </w:t>
      </w:r>
      <w:proofErr w:type="spellStart"/>
      <w:r w:rsidRPr="005B7734">
        <w:t>the</w:t>
      </w:r>
      <w:proofErr w:type="spellEnd"/>
      <w:r w:rsidRPr="005B7734">
        <w:t xml:space="preserve"> </w:t>
      </w:r>
      <w:proofErr w:type="spellStart"/>
      <w:r w:rsidRPr="005B7734">
        <w:t>gaps</w:t>
      </w:r>
      <w:proofErr w:type="spellEnd"/>
      <w:r w:rsidRPr="005B7734">
        <w:t xml:space="preserve">: </w:t>
      </w:r>
      <w:proofErr w:type="spellStart"/>
      <w:r w:rsidRPr="005B7734">
        <w:t>global</w:t>
      </w:r>
      <w:proofErr w:type="spellEnd"/>
      <w:r w:rsidRPr="005B7734">
        <w:t xml:space="preserve"> </w:t>
      </w:r>
      <w:proofErr w:type="spellStart"/>
      <w:r w:rsidRPr="005B7734">
        <w:t>analysis</w:t>
      </w:r>
      <w:proofErr w:type="spellEnd"/>
      <w:r w:rsidRPr="005B7734">
        <w:t xml:space="preserve"> </w:t>
      </w:r>
      <w:proofErr w:type="spellStart"/>
      <w:r w:rsidRPr="005B7734">
        <w:t>of</w:t>
      </w:r>
      <w:proofErr w:type="spellEnd"/>
      <w:r w:rsidRPr="005B7734">
        <w:t xml:space="preserve"> </w:t>
      </w:r>
      <w:proofErr w:type="spellStart"/>
      <w:r w:rsidRPr="005B7734">
        <w:t>the</w:t>
      </w:r>
      <w:proofErr w:type="spellEnd"/>
      <w:r w:rsidRPr="005B7734">
        <w:t xml:space="preserve"> </w:t>
      </w:r>
      <w:proofErr w:type="spellStart"/>
      <w:r w:rsidRPr="005B7734">
        <w:t>current</w:t>
      </w:r>
      <w:proofErr w:type="spellEnd"/>
      <w:r w:rsidRPr="005B7734">
        <w:t xml:space="preserve"> </w:t>
      </w:r>
      <w:proofErr w:type="spellStart"/>
      <w:r w:rsidRPr="005B7734">
        <w:t>state</w:t>
      </w:r>
      <w:proofErr w:type="spellEnd"/>
      <w:r w:rsidRPr="005B7734">
        <w:t xml:space="preserve"> </w:t>
      </w:r>
      <w:proofErr w:type="spellStart"/>
      <w:r w:rsidRPr="005B7734">
        <w:t>of</w:t>
      </w:r>
      <w:proofErr w:type="spellEnd"/>
      <w:r w:rsidRPr="005B7734">
        <w:t xml:space="preserve"> </w:t>
      </w:r>
      <w:proofErr w:type="spellStart"/>
      <w:r w:rsidRPr="005B7734">
        <w:t>play</w:t>
      </w:r>
      <w:proofErr w:type="spellEnd"/>
      <w:r w:rsidRPr="005B7734">
        <w:t xml:space="preserve"> </w:t>
      </w:r>
      <w:proofErr w:type="spellStart"/>
      <w:r w:rsidRPr="005B7734">
        <w:t>of</w:t>
      </w:r>
      <w:proofErr w:type="spellEnd"/>
      <w:r w:rsidRPr="005B7734">
        <w:t xml:space="preserve"> </w:t>
      </w:r>
      <w:proofErr w:type="spellStart"/>
      <w:r w:rsidRPr="005B7734">
        <w:t>media</w:t>
      </w:r>
      <w:proofErr w:type="spellEnd"/>
      <w:r w:rsidRPr="005B7734">
        <w:t xml:space="preserve"> </w:t>
      </w:r>
      <w:proofErr w:type="spellStart"/>
      <w:r w:rsidRPr="005B7734">
        <w:t>and</w:t>
      </w:r>
      <w:proofErr w:type="spellEnd"/>
      <w:r w:rsidRPr="005B7734">
        <w:t xml:space="preserve"> </w:t>
      </w:r>
      <w:proofErr w:type="spellStart"/>
      <w:r w:rsidRPr="005B7734">
        <w:t>information</w:t>
      </w:r>
      <w:proofErr w:type="spellEnd"/>
      <w:r w:rsidRPr="005B7734">
        <w:t xml:space="preserve"> </w:t>
      </w:r>
      <w:proofErr w:type="spellStart"/>
      <w:r w:rsidRPr="005B7734">
        <w:t>literacy</w:t>
      </w:r>
      <w:proofErr w:type="spellEnd"/>
      <w:r w:rsidRPr="005B7734">
        <w:t>’), публикуван през 2025 г.,</w:t>
      </w:r>
    </w:p>
    <w:p w14:paraId="201AAB2F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 xml:space="preserve">като взе предвид публикацията на ОИСР, озаглавена „Резултати от Пиза за 2022 г. (том II): </w:t>
      </w:r>
      <w:proofErr w:type="spellStart"/>
      <w:r w:rsidRPr="005B7734">
        <w:t>Learning</w:t>
      </w:r>
      <w:proofErr w:type="spellEnd"/>
      <w:r w:rsidRPr="005B7734">
        <w:t xml:space="preserve"> </w:t>
      </w:r>
      <w:proofErr w:type="spellStart"/>
      <w:r w:rsidRPr="005B7734">
        <w:t>During</w:t>
      </w:r>
      <w:proofErr w:type="spellEnd"/>
      <w:r w:rsidRPr="005B7734">
        <w:t xml:space="preserve"> — </w:t>
      </w:r>
      <w:proofErr w:type="spellStart"/>
      <w:r w:rsidRPr="005B7734">
        <w:t>and</w:t>
      </w:r>
      <w:proofErr w:type="spellEnd"/>
      <w:r w:rsidRPr="005B7734">
        <w:t xml:space="preserve"> </w:t>
      </w:r>
      <w:proofErr w:type="spellStart"/>
      <w:r w:rsidRPr="005B7734">
        <w:t>From</w:t>
      </w:r>
      <w:proofErr w:type="spellEnd"/>
      <w:r w:rsidRPr="005B7734">
        <w:t xml:space="preserve"> — </w:t>
      </w:r>
      <w:proofErr w:type="spellStart"/>
      <w:r w:rsidRPr="005B7734">
        <w:t>Disruption</w:t>
      </w:r>
      <w:proofErr w:type="spellEnd"/>
      <w:r w:rsidRPr="005B7734">
        <w:t xml:space="preserve"> (Учене по време на — и от — прекъсване), публикувани през 2023 г.,</w:t>
      </w:r>
    </w:p>
    <w:p w14:paraId="3A25E113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съобщението на Комисията от 10 октомври 2025 г., озаглавено „Насоки относно мерките за гарантиране на високо равнище на неприкосновеност на личния живот, безопасност и сигурност за малолетните и непълнолетните лица онлайн съгласно член 28, параграф 4 от Регламент (ЕС) 2022/2065“</w:t>
      </w:r>
      <w:r w:rsidRPr="005B7734">
        <w:rPr>
          <w:rStyle w:val="FootnoteReference"/>
          <w:bCs/>
          <w:iCs/>
        </w:rPr>
        <w:footnoteReference w:id="8"/>
      </w:r>
      <w:r w:rsidRPr="005B7734">
        <w:t>,</w:t>
      </w:r>
    </w:p>
    <w:p w14:paraId="5A3855D1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tab/>
        <w:t>като взе предвид Конвенцията на ООН за правата на детето от 20 ноември 1989 г. и Общия коментар № 25 от 2021 г. към нея относно правата на детето във връзка с цифровата среда,</w:t>
      </w:r>
    </w:p>
    <w:p w14:paraId="3E410A71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публикацията на ОИСР, озаглавена „Препоръка на Съвета относно децата в цифровата среда“, публикувана през 2025 г.,</w:t>
      </w:r>
    </w:p>
    <w:p w14:paraId="603A70E2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насоките на Съвета на Европа за зачитане, защита и упражняване на правата на детето в цифровата среда, публикувани през 2018 г.,</w:t>
      </w:r>
    </w:p>
    <w:p w14:paraId="3D097428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доклада на Съвета на Европа, озаглавен „Медийна грамотност за всички: подкрепа за маргинализираните групи чрез общностни медии“, публикуван през 2020 г.,</w:t>
      </w:r>
    </w:p>
    <w:p w14:paraId="2EB9E525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документа за политиката на Управителния комитет на Съвета на Европа за медиите и информационното общество (CDMSI), озаглавен „Национални стратегии за медийна и информационна грамотност:  Практически стъпки и показатели“, публикуван през декември 2025 г.,</w:t>
      </w:r>
    </w:p>
    <w:p w14:paraId="2C988247" w14:textId="77777777" w:rsidR="00EC1E3F" w:rsidRPr="005B7734" w:rsidRDefault="00EC1E3F" w:rsidP="00EC1E3F">
      <w:pPr>
        <w:pStyle w:val="NormalHanging"/>
      </w:pPr>
      <w:r w:rsidRPr="005B7734">
        <w:rPr>
          <w:b/>
          <w:i/>
        </w:rPr>
        <w:t>–</w:t>
      </w:r>
      <w:r w:rsidRPr="005B7734">
        <w:rPr>
          <w:b/>
          <w:i/>
        </w:rPr>
        <w:tab/>
      </w:r>
      <w:r w:rsidRPr="005B7734">
        <w:t>като взе предвид член 55 от своя Правилник за дейността,</w:t>
      </w:r>
    </w:p>
    <w:p w14:paraId="71CA9C5B" w14:textId="77777777" w:rsidR="00EC1E3F" w:rsidRPr="005B7734" w:rsidRDefault="00EC1E3F" w:rsidP="00EC1E3F">
      <w:pPr>
        <w:pStyle w:val="NormalHanging"/>
      </w:pPr>
      <w:r w:rsidRPr="005B7734">
        <w:t>–</w:t>
      </w:r>
      <w:r w:rsidRPr="005B7734">
        <w:tab/>
        <w:t>като взе предвид доклада на комисията по култура и образование (A10-0173/2026),</w:t>
      </w:r>
    </w:p>
    <w:p w14:paraId="04DD429A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t>A.</w:t>
      </w:r>
      <w:r w:rsidRPr="005B7734">
        <w:rPr>
          <w:b/>
          <w:i/>
        </w:rPr>
        <w:tab/>
      </w:r>
      <w:r w:rsidRPr="005B7734">
        <w:t xml:space="preserve">като има предвид, че медийната грамотност и цифровото обучение са от съществено значение за овластяването на гражданите с критичните умения, </w:t>
      </w:r>
      <w:r w:rsidRPr="005B7734">
        <w:lastRenderedPageBreak/>
        <w:t>необходими за самостоятелно и отговорно оценяване, проверка, създаване и споделяне на информация и медийно съдържание в традиционните и онлайн платформите, както и за вземането на информирани решения в постоянно развиваща се информационна среда;  като има предвид, че тези умения укрепват гражданското участие, социалното приобщаване и демократичната устойчивост;</w:t>
      </w:r>
    </w:p>
    <w:p w14:paraId="3750C505" w14:textId="77777777" w:rsidR="00EC1E3F" w:rsidRPr="005B7734" w:rsidRDefault="00EC1E3F" w:rsidP="00EC1E3F">
      <w:pPr>
        <w:pStyle w:val="NormalHanging12a"/>
      </w:pPr>
      <w:r w:rsidRPr="005B7734">
        <w:t>B.</w:t>
      </w:r>
      <w:r w:rsidRPr="005B7734">
        <w:tab/>
        <w:t xml:space="preserve">като има предвид, че медийната грамотност и цифровото обучение предоставят основни умения в съвременното общество и са от решаващо значение за справяне с разпространението на дезинформация, намаляването на доверието в медиите и въздействието на онлайн платформите, новите медийни участници, като например </w:t>
      </w:r>
      <w:proofErr w:type="spellStart"/>
      <w:r w:rsidRPr="005B7734">
        <w:t>инфлуенсъри</w:t>
      </w:r>
      <w:proofErr w:type="spellEnd"/>
      <w:r w:rsidRPr="005B7734">
        <w:t xml:space="preserve"> и създатели на съдържание, и изкуствения интелект; като има предвид, че медийната грамотност и цифровото обучение са необходими в контекста на променените модели на потребление на информация, подкрепени от „културата на превъртане“ (‘</w:t>
      </w:r>
      <w:proofErr w:type="spellStart"/>
      <w:r w:rsidRPr="005B7734">
        <w:t>scrolling</w:t>
      </w:r>
      <w:proofErr w:type="spellEnd"/>
      <w:r w:rsidRPr="005B7734">
        <w:t xml:space="preserve"> </w:t>
      </w:r>
      <w:proofErr w:type="spellStart"/>
      <w:r w:rsidRPr="005B7734">
        <w:t>culture</w:t>
      </w:r>
      <w:proofErr w:type="spellEnd"/>
      <w:r w:rsidRPr="005B7734">
        <w:t>’);</w:t>
      </w:r>
    </w:p>
    <w:p w14:paraId="30A317B3" w14:textId="77777777" w:rsidR="00EC1E3F" w:rsidRPr="005B7734" w:rsidRDefault="00EC1E3F" w:rsidP="00EC1E3F">
      <w:pPr>
        <w:pStyle w:val="NormalHanging12a"/>
      </w:pPr>
      <w:r w:rsidRPr="005B7734">
        <w:t>C.</w:t>
      </w:r>
      <w:r w:rsidRPr="005B7734">
        <w:tab/>
        <w:t>като има предвид, че медийната грамотност и цифровото обучение са абсолютно необходими за гарантиране на цифровото благосъстояние на потребителите;</w:t>
      </w:r>
    </w:p>
    <w:p w14:paraId="7BD1016B" w14:textId="77777777" w:rsidR="00EC1E3F" w:rsidRPr="005B7734" w:rsidRDefault="00EC1E3F" w:rsidP="00EC1E3F">
      <w:pPr>
        <w:pStyle w:val="NormalHanging12a"/>
      </w:pPr>
      <w:r w:rsidRPr="005B7734">
        <w:t>D.</w:t>
      </w:r>
      <w:r w:rsidRPr="005B7734">
        <w:tab/>
        <w:t xml:space="preserve">като има предвид, че начините за достъп до медиите и цифровото съдържание се промениха значително, като ползвателите, особено малолетните и непълнолетните лица и младите хора, все по-често избират адаптирано съдържание на платформите на социалните медии, следят отблизо дейностите на </w:t>
      </w:r>
      <w:proofErr w:type="spellStart"/>
      <w:r w:rsidRPr="005B7734">
        <w:t>инфлуенсърите</w:t>
      </w:r>
      <w:proofErr w:type="spellEnd"/>
      <w:r w:rsidRPr="005B7734">
        <w:t xml:space="preserve">, разчитат в голяма степен на алгоритмични препоръки и често имат по-кратък период на внимание, отколкото когато използват традиционни медии; като има предвид, че социалните медии могат бързо да персонализират своите потоци от съдържание, като излагат ползвателите, особено малолетните и непълнолетните лица, възрастните хора и други уязвими ползватели, на рискове от увеличаване на вредното съдържание или от попадането им в информационни балони; </w:t>
      </w:r>
    </w:p>
    <w:p w14:paraId="1C306C72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E.</w:t>
      </w:r>
      <w:r w:rsidRPr="005B7734">
        <w:tab/>
        <w:t>като има предвид, че някои проектни характеристики на цифровите платформи, включително алгоритмичните системи за препоръчване, могат да повлияят на подбора и видимостта на съдържанието и могат да допринесат за рискове, свързани с благосъстоянието на ползвателите и излагането им на вредно съдържание;</w:t>
      </w:r>
    </w:p>
    <w:p w14:paraId="08BD0D96" w14:textId="77777777" w:rsidR="00EC1E3F" w:rsidRPr="005B7734" w:rsidRDefault="00EC1E3F" w:rsidP="00EC1E3F">
      <w:pPr>
        <w:pStyle w:val="NormalHanging12a"/>
      </w:pPr>
      <w:r w:rsidRPr="005B7734">
        <w:t>F.</w:t>
      </w:r>
      <w:r w:rsidRPr="005B7734">
        <w:tab/>
        <w:t>като има предвид, че в настоящата геополитическа ситуация хората в ЕС следва да разполагат с широк набор от когнитивни, технически и социални умения за ефективен достъп и анализ на медийно съдържание и по този начин да останат устойчиви на потенциални манипулативни действия или хибридни атаки, които имат за цел да дестабилизират гражданския дискурс и демократичните процеси;</w:t>
      </w:r>
    </w:p>
    <w:p w14:paraId="57BEE17F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t>G.</w:t>
      </w:r>
      <w:r w:rsidRPr="005B7734">
        <w:rPr>
          <w:b/>
          <w:i/>
        </w:rPr>
        <w:tab/>
      </w:r>
      <w:r w:rsidRPr="005B7734">
        <w:t>като има предвид, че висококачествената, независима и плуралистична журналистика е крайъгълният камък на демократичните общества и играе ключова роля за укрепването на медийната грамотност, борбата с дезинформацията и повишаването на доверието на гражданите в информационната екосистема, с положително въздействие върху икономическата устойчивост на медийния сектор; като има предвид, че обществените медии играят ключова роля за постигането на тези цели и изискват подходящо и устойчиво финансиране;</w:t>
      </w:r>
    </w:p>
    <w:p w14:paraId="50DDB335" w14:textId="77777777" w:rsidR="00EC1E3F" w:rsidRPr="005B7734" w:rsidRDefault="00EC1E3F" w:rsidP="00EC1E3F">
      <w:pPr>
        <w:pStyle w:val="NormalHanging12a"/>
      </w:pPr>
      <w:r w:rsidRPr="005B7734">
        <w:lastRenderedPageBreak/>
        <w:t>H.</w:t>
      </w:r>
      <w:r w:rsidRPr="005B7734">
        <w:tab/>
        <w:t xml:space="preserve">като има предвид, че медийната грамотност и цифровото образование трябва да се разглеждат като неразделна част от всеобхватна стратегия за учене през целия живот, която следва да обхваща специфичните нужди на учащите се и на заинтересованите страни в образователната и информационната екосистема, включително родителите, лицата, полагащи грижи, преподавателите, медиите, журналистите, библиотеките, организациите на гражданското общество и новите медийни участници, като например </w:t>
      </w:r>
      <w:proofErr w:type="spellStart"/>
      <w:r w:rsidRPr="005B7734">
        <w:t>инфлуенсърите</w:t>
      </w:r>
      <w:proofErr w:type="spellEnd"/>
      <w:r w:rsidRPr="005B7734">
        <w:t xml:space="preserve"> и създателите на съдържание;  като има предвид, че стратегията за справедливост между поколенията признава ученето през целия живот, цифровите умения, медийната грамотност и активното участие на всички възрастови групи като ключови условия за справедливост между поколенията и устойчивост на демократичните общества;</w:t>
      </w:r>
    </w:p>
    <w:p w14:paraId="6430CB93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I.</w:t>
      </w:r>
      <w:r w:rsidRPr="005B7734">
        <w:tab/>
        <w:t xml:space="preserve">като има предвид, че ефективната медийна грамотност и цифровото обучение изискват равни възможности за достъп до образование и плуралистична информационна среда; </w:t>
      </w:r>
    </w:p>
    <w:p w14:paraId="3EFE9FA4" w14:textId="77777777" w:rsidR="00EC1E3F" w:rsidRPr="005B7734" w:rsidRDefault="00EC1E3F" w:rsidP="00EC1E3F">
      <w:pPr>
        <w:pStyle w:val="NormalHanging12a"/>
      </w:pPr>
      <w:r w:rsidRPr="005B7734">
        <w:t>J.</w:t>
      </w:r>
      <w:r w:rsidRPr="005B7734">
        <w:tab/>
        <w:t>като има предвид, че децата имат достъп до социалните медии на все по-ранна възраст, като 97 % от младите хора в ЕС използват ежедневно интернет, а платформите на социалните медии се превръщат в основен източник на информация за младите хора на възраст между 15 и 24 години</w:t>
      </w:r>
      <w:r w:rsidRPr="005B7734">
        <w:rPr>
          <w:vertAlign w:val="superscript"/>
        </w:rPr>
        <w:footnoteReference w:id="9"/>
      </w:r>
      <w:r w:rsidRPr="005B7734">
        <w:t>;</w:t>
      </w:r>
    </w:p>
    <w:p w14:paraId="493F3D3B" w14:textId="77777777" w:rsidR="00EC1E3F" w:rsidRPr="005B7734" w:rsidRDefault="00EC1E3F" w:rsidP="00EC1E3F">
      <w:pPr>
        <w:pStyle w:val="NormalHanging12a"/>
      </w:pPr>
      <w:r w:rsidRPr="005B7734">
        <w:t>K.</w:t>
      </w:r>
      <w:r w:rsidRPr="005B7734">
        <w:tab/>
        <w:t>като има предвид, че подходите към медийната грамотност и цифровото обучение се различават в рамките на ЕС, със значителни различия по отношение на включването им в учебните програми и в равнището на финансова или административна подкрепа, предоставяна за свързани действия или програми, както и по отношение на компетентните органи или служби и сътрудничеството между тях;</w:t>
      </w:r>
    </w:p>
    <w:p w14:paraId="1A1CD46E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L.</w:t>
      </w:r>
      <w:r w:rsidRPr="005B7734">
        <w:tab/>
        <w:t xml:space="preserve">като има предвид, че в Общ коментар № 25 относно правата на децата във връзка с цифровата среда, приет от Комитета на ООН по правата на детето през 2021 г., се посочва, че правата на детето трябва да се зачитат, защитават и изпълняват в цифровата среда и че при предоставянето на своите продукти и услуги на децата доставчиците на цифрови услуги трябва да спазват най-високите стандарти за етика, неприкосновеност на личния живот и безопасност, както и за възрастова адекватност; </w:t>
      </w:r>
    </w:p>
    <w:p w14:paraId="5F0E4B30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M.</w:t>
      </w:r>
      <w:r w:rsidRPr="005B7734">
        <w:tab/>
        <w:t xml:space="preserve">като има предвид, че медийната грамотност и цифровите умения за учене следва да се развиват от ранна възраст, като тяхното въвеждане в началното образование допринася за по-добрата подготовка на децата за предизвикателствата на цифровата среда по начин, подходящ за тяхната възраст и развитие; като има предвид, че тези умения са еднакво важни през целия живот на хората, което изисква подход за учене през целия живот; </w:t>
      </w:r>
    </w:p>
    <w:p w14:paraId="4267585D" w14:textId="77777777" w:rsidR="00EC1E3F" w:rsidRPr="005B7734" w:rsidRDefault="00EC1E3F" w:rsidP="00EC1E3F">
      <w:pPr>
        <w:pStyle w:val="NormalHanging12a"/>
      </w:pPr>
      <w:r w:rsidRPr="005B7734">
        <w:t>N.</w:t>
      </w:r>
      <w:r w:rsidRPr="005B7734">
        <w:tab/>
        <w:t xml:space="preserve">като има предвид, че преждевременното въвеждане на цифрови инструменти или технологии за малолетните и непълнолетните лица преди разработването на основни умения за медийна грамотност и критично мислене с аналогови </w:t>
      </w:r>
      <w:r w:rsidRPr="005B7734">
        <w:lastRenderedPageBreak/>
        <w:t>инструменти ги излага на множество цифрови рискове и онлайн вреди, които те може все още да не са подготвени да разпознават или управляват;</w:t>
      </w:r>
    </w:p>
    <w:p w14:paraId="11B5BF28" w14:textId="77777777" w:rsidR="00EC1E3F" w:rsidRPr="005B7734" w:rsidRDefault="00EC1E3F" w:rsidP="00EC1E3F">
      <w:pPr>
        <w:pStyle w:val="NormalHanging12a"/>
      </w:pPr>
      <w:r w:rsidRPr="005B7734">
        <w:t>O.</w:t>
      </w:r>
      <w:r w:rsidRPr="005B7734">
        <w:tab/>
        <w:t xml:space="preserve">като има предвид, че цялото население, особено малолетните и непълнолетните лица, младите хора, възрастните хора, хората с увреждания и хората в селските или отдалечените райони с ограничена цифрова инфраструктура, продължават да бъдат изложени на по-висок риск от експлоатация в цифровата среда; като има предвид, че гражданите от всички възрасти, особено малолетните и непълнолетните лица, чиито когнитивни способности все още се развиват, са уязвими на рискове, свързани с генерирано от ИИ съдържание и </w:t>
      </w:r>
      <w:proofErr w:type="spellStart"/>
      <w:r w:rsidRPr="005B7734">
        <w:t>чатботове</w:t>
      </w:r>
      <w:proofErr w:type="spellEnd"/>
      <w:r w:rsidRPr="005B7734">
        <w:t>;</w:t>
      </w:r>
    </w:p>
    <w:p w14:paraId="04730D12" w14:textId="77777777" w:rsidR="00EC1E3F" w:rsidRPr="005B7734" w:rsidRDefault="00EC1E3F" w:rsidP="00EC1E3F">
      <w:pPr>
        <w:pStyle w:val="NormalHanging12a"/>
      </w:pPr>
      <w:r w:rsidRPr="005B7734">
        <w:t>P.</w:t>
      </w:r>
      <w:r w:rsidRPr="005B7734">
        <w:tab/>
        <w:t>като има предвид, че въвеждането на минимална възраст за защита на малолетните и непълнолетните лица при използването на онлайн платформи, включително дискусии относно минималната възраст, проверката на възрастта и родителския контрол, беше обсъдено от създателите на политики както на национално равнище, така и на равнището на ЕС;</w:t>
      </w:r>
    </w:p>
    <w:p w14:paraId="4CC90D1B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Q.</w:t>
      </w:r>
      <w:r w:rsidRPr="005B7734">
        <w:tab/>
        <w:t xml:space="preserve">като има предвид, че през март 2026 г. Комисията създаде специална експертна група по въпросите на безопасността на децата онлайн, натоварена със задачата да разработи препоръки за по-добра защита и овластяване на децата в цифровата среда; като има предвид, че панелът също така разглежда значението на медийната грамотност и цифровото обучение за децата, родителите и преподавателите; </w:t>
      </w:r>
    </w:p>
    <w:p w14:paraId="5808AD08" w14:textId="77777777" w:rsidR="00EC1E3F" w:rsidRPr="005B7734" w:rsidRDefault="00EC1E3F" w:rsidP="00EC1E3F">
      <w:pPr>
        <w:pStyle w:val="NormalHanging12a"/>
      </w:pPr>
      <w:r w:rsidRPr="005B7734">
        <w:t>R.</w:t>
      </w:r>
      <w:r w:rsidRPr="005B7734">
        <w:tab/>
        <w:t>като има предвид, че аудио-визуалното и медийното законодателство на ЕС дава определение и признава значението на медийната грамотност, по-специално чрез член 2, параграф 21 от Европейския законодателен акт за свободата на медиите (EMFA) и задълженията за медийна грамотност съгласно Директивата за аудио-визуалните медийни услуги (ДАВМУ); като има предвид, че член 13 от EMFA възлага на Европейския съвет за медийни услуги да обменя най-добри практики в областта на медийната грамотност;</w:t>
      </w:r>
    </w:p>
    <w:p w14:paraId="5FE2FF25" w14:textId="77777777" w:rsidR="00EC1E3F" w:rsidRPr="005B7734" w:rsidRDefault="00EC1E3F" w:rsidP="00EC1E3F">
      <w:pPr>
        <w:pStyle w:val="Normal12a"/>
        <w:rPr>
          <w:i/>
          <w:iCs/>
        </w:rPr>
      </w:pPr>
      <w:r w:rsidRPr="005B7734">
        <w:rPr>
          <w:b/>
          <w:i/>
        </w:rPr>
        <w:t>Основни елементи на новия подход към медийната грамотност и цифровото обучение</w:t>
      </w:r>
    </w:p>
    <w:p w14:paraId="22631638" w14:textId="77777777" w:rsidR="00EC1E3F" w:rsidRPr="005B7734" w:rsidRDefault="00EC1E3F" w:rsidP="00EC1E3F">
      <w:pPr>
        <w:pStyle w:val="NormalHanging12a"/>
      </w:pPr>
      <w:r w:rsidRPr="005B7734">
        <w:t>1.</w:t>
      </w:r>
      <w:r w:rsidRPr="005B7734">
        <w:tab/>
        <w:t>подчертава, че един ориентиран към бъдещето подход към медийната грамотност и цифровото обучение следва да има за цел да даде възможност на хората от всички възрасти, с основни умения, които биха им позволили да се възползват в пълна степен от цифровата среда, да повишават творческите си умения, да се възползват от излагане на различни източници и да избягват рисковете, свързани с използването и проектирането на онлайн платформи;</w:t>
      </w:r>
    </w:p>
    <w:p w14:paraId="4E582BC6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2.</w:t>
      </w:r>
      <w:r w:rsidRPr="005B7734">
        <w:tab/>
        <w:t>подчертава ролята на медийната грамотност за предоставянето на хората на умения за критично мислене, които допринасят за информирано и автономно вземане на решения в демократичните процеси и повишават гражданската отговорност за борба с дезинформацията, поляризацията и чуждестранното манипулиране на информация и вмешателство, особено в контекста на избори;</w:t>
      </w:r>
    </w:p>
    <w:p w14:paraId="27942512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3.</w:t>
      </w:r>
      <w:r w:rsidRPr="005B7734">
        <w:tab/>
        <w:t xml:space="preserve">подчертава, че медийната грамотност и цифровото обучение следва да бъдат отразени в по-широки инициативи на ЕС, насочени към защита на </w:t>
      </w:r>
      <w:r w:rsidRPr="005B7734">
        <w:lastRenderedPageBreak/>
        <w:t>демократичните процеси, включително в контекста на Щита на ЕС за демокрацията;</w:t>
      </w:r>
    </w:p>
    <w:p w14:paraId="795EEAB8" w14:textId="77777777" w:rsidR="00EC1E3F" w:rsidRPr="005B7734" w:rsidRDefault="00EC1E3F" w:rsidP="00EC1E3F">
      <w:pPr>
        <w:pStyle w:val="NormalHanging12a"/>
      </w:pPr>
      <w:r w:rsidRPr="005B7734">
        <w:t>4.</w:t>
      </w:r>
      <w:r w:rsidRPr="005B7734">
        <w:tab/>
        <w:t>признава, че подходите към преподаването на медийна грамотност и цифрово обучение трябва да бъдат иновативни, предназначени за всички групи от населението и адаптирани към нуждите на учащите, особено на уязвимите потребители, които са в неравностойно положение поради географски, социални, културни и икономически фактори;</w:t>
      </w:r>
    </w:p>
    <w:p w14:paraId="495F841D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5.</w:t>
      </w:r>
      <w:r w:rsidRPr="005B7734">
        <w:tab/>
        <w:t>признава значението на партньорското образование, осъществявано от центровете за по-безопасен интернет и организациите на гражданското общество, като ефективен инструмент за достигане до децата и юношите чрез послания за безопасно използване на интернет, допълващи формалното образование;</w:t>
      </w:r>
    </w:p>
    <w:p w14:paraId="705C1C55" w14:textId="77777777" w:rsidR="00EC1E3F" w:rsidRPr="005B7734" w:rsidRDefault="00EC1E3F" w:rsidP="00EC1E3F">
      <w:pPr>
        <w:pStyle w:val="NormalHanging12a"/>
      </w:pPr>
      <w:r w:rsidRPr="005B7734">
        <w:t>6.</w:t>
      </w:r>
      <w:r w:rsidRPr="005B7734">
        <w:tab/>
        <w:t>подчертава ключовите роли, които медийната грамотност и цифровото обучение играят за предоставянето на възможност на потребителите да се ориентират безопасно в цифровата среда, включително в борбата с кибертормоза и други форми на онлайн вреди; подчертава по-специално, че предоставянето на медийна грамотност и цифрови умения за учене по целия образователен път и в рамките на дейностите за учене през целия живот е от решаващо значение за развитието и укрепването на критичното мислене, самосъзнанието и отговорното поведение онлайн;</w:t>
      </w:r>
    </w:p>
    <w:p w14:paraId="18B7D3E1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7.</w:t>
      </w:r>
      <w:r w:rsidRPr="005B7734">
        <w:tab/>
        <w:t>подчертава, че политиките за медийна грамотност следва да повишават осведомеността относно начина, по който цифровата среда и проектирането на платформи влияят върху начина, по който се осъществява достъпът до информация, включително способността за разбиране на функционирането на алгоритмите и за разпознаване на проектирането, предизвикващо пристрастяване, и емоционално манипулативното съдържание;</w:t>
      </w:r>
    </w:p>
    <w:p w14:paraId="5F4820E6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8.</w:t>
      </w:r>
      <w:r w:rsidRPr="005B7734">
        <w:tab/>
        <w:t>подчертава нарастващото въздействие на цифровата среда върху психичното здраве и благосъстояние на ползвателите; призовава Комисията и държавите членки да включат в програмите за медийна грамотност и цифрово обучение развитието на цифрова съпричастност, отговорно поведение онлайн и разбиране на въздействието на цифровата среда върху психичното здраве и благосъстояние като важни елементи в предотвратяването на кибертормоза и насърчаването на цифровото благосъстояние;</w:t>
      </w:r>
    </w:p>
    <w:p w14:paraId="6D23004D" w14:textId="77777777" w:rsidR="00EC1E3F" w:rsidRPr="005B7734" w:rsidRDefault="00EC1E3F" w:rsidP="00EC1E3F">
      <w:pPr>
        <w:pStyle w:val="NormalHanging12a"/>
      </w:pPr>
      <w:r w:rsidRPr="005B7734">
        <w:t>9.</w:t>
      </w:r>
      <w:r w:rsidRPr="005B7734">
        <w:tab/>
        <w:t>подчертава, че е важно да се използват всички съответни налични регулаторни инструменти и да се насърчава сътрудничеството между всички съответни участници, когато е необходимо, за да се постигне подход на ЕС към медийната грамотност и цифровото обучение;</w:t>
      </w:r>
    </w:p>
    <w:p w14:paraId="72CF87A0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10.</w:t>
      </w:r>
      <w:r w:rsidRPr="005B7734">
        <w:tab/>
        <w:t>подчертава значението на засилването на сътрудничеството между публичните и частните заинтересовани страни с цел насърчаване на медийната грамотност в целия ЕС; подчертава важната роля на организациите на гражданското общество, общностните инициативи, доброволците и културните дейци за изграждането на доверие, като по този начин се насърчава диалогът в обществения дебат;</w:t>
      </w:r>
    </w:p>
    <w:p w14:paraId="1E92F67E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11.</w:t>
      </w:r>
      <w:r w:rsidRPr="005B7734">
        <w:tab/>
        <w:t xml:space="preserve">приветства работата на експертната група по медийна грамотност и Европейската обсерватория за цифрови медии (EDMO) и тяхната важна роля за обединяването </w:t>
      </w:r>
      <w:r w:rsidRPr="005B7734">
        <w:lastRenderedPageBreak/>
        <w:t>на създателите на политики, изследователите и практикуващите специалисти с цел изграждане на мултидисциплинарна общност от експерти, обмен на най-добри практики и повишаване на осведомеността;  призовава за засилване на техните дейности в областта на медийната грамотност в подкрепа на сътрудничеството между държавите членки;</w:t>
      </w:r>
    </w:p>
    <w:p w14:paraId="070712DF" w14:textId="77777777" w:rsidR="00EC1E3F" w:rsidRPr="005B7734" w:rsidRDefault="00EC1E3F" w:rsidP="00EC1E3F">
      <w:pPr>
        <w:pStyle w:val="NormalHanging12a"/>
      </w:pPr>
      <w:r w:rsidRPr="005B7734">
        <w:t>12.</w:t>
      </w:r>
      <w:r w:rsidRPr="005B7734">
        <w:tab/>
        <w:t xml:space="preserve">подчертава значението на въвеждането на медийна грамотност и цифрово обучение в училищните програми по време на целия процес на формалното образование, както и необходимостта от разработване на основан на факти и цялостен подход към използването на цифрови технологии в училищата; </w:t>
      </w:r>
    </w:p>
    <w:p w14:paraId="356BB959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13.</w:t>
      </w:r>
      <w:r w:rsidRPr="005B7734">
        <w:tab/>
        <w:t>подчертава значението на насърчаването на медийната грамотност и цифровото обучение отвъд формалното образование и на работното място, като се гарантира учене през целия живот и подход, обхващащ цялото общество, с участието на правителствата, образователните институции, гражданското общество, медийните организации, технологичните платформи и семействата;</w:t>
      </w:r>
    </w:p>
    <w:p w14:paraId="00B257FD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14.</w:t>
      </w:r>
      <w:r w:rsidRPr="005B7734">
        <w:tab/>
        <w:t>призовава Комисията, в сътрудничество с държавите членки, да създаде структурирана рамка за мониторинг и оценка на националните действия в областта на медийната грамотност, включително измерими показатели за оценка на знанията, поведенческите резултати, развитието на критично мислене и устойчивостта на дезинформация, включително чрез надлъжни проучвания и оценка на съобразени с възрастта подходи и програми за подкрепа на родителите;</w:t>
      </w:r>
    </w:p>
    <w:p w14:paraId="54E6316B" w14:textId="77777777" w:rsidR="00EC1E3F" w:rsidRPr="005B7734" w:rsidRDefault="00EC1E3F" w:rsidP="00EC1E3F">
      <w:pPr>
        <w:pStyle w:val="Normal12a"/>
        <w:rPr>
          <w:b/>
          <w:bCs/>
          <w:i/>
          <w:iCs/>
        </w:rPr>
      </w:pPr>
      <w:r w:rsidRPr="005B7734">
        <w:rPr>
          <w:b/>
          <w:i/>
        </w:rPr>
        <w:t>Медийна грамотност и цифрово обучение: укрепване на стълбовете на съвременната медийна екосистема</w:t>
      </w:r>
    </w:p>
    <w:p w14:paraId="1E02ABAB" w14:textId="77777777" w:rsidR="00EC1E3F" w:rsidRPr="005B7734" w:rsidRDefault="00EC1E3F" w:rsidP="00EC1E3F">
      <w:pPr>
        <w:pStyle w:val="NormalHanging12a"/>
      </w:pPr>
      <w:r w:rsidRPr="005B7734">
        <w:t>15.</w:t>
      </w:r>
      <w:r w:rsidRPr="005B7734">
        <w:tab/>
        <w:t>призовава институциите на ЕС и държавите членки да си сътрудничат за установяване на координиран подход на ЕС към медийната грамотност и цифровото обучение;</w:t>
      </w:r>
    </w:p>
    <w:p w14:paraId="67807D3C" w14:textId="77777777" w:rsidR="00EC1E3F" w:rsidRPr="005B7734" w:rsidRDefault="00EC1E3F" w:rsidP="00EC1E3F">
      <w:pPr>
        <w:pStyle w:val="NormalHanging12a"/>
      </w:pPr>
      <w:r w:rsidRPr="005B7734">
        <w:t>16.</w:t>
      </w:r>
      <w:r w:rsidRPr="005B7734">
        <w:tab/>
        <w:t>призовава Комисията да направи оценка и когато е целесъобразно, да предложи ясен общ подход на ЕС по отношение на съобразения с възрастта достъп до онлайн платформи, по-специално платформи на социалните медии, като следва подход, основан на защитата на благосъстоянието на децата, признаване на нуждите на когнитивното и емоционалното развитие на малолетните и непълнолетните лица и необходимостта да се гарантира безопасна и съобразена с възрастта цифрова среда, при пълно зачитане на основните права и различията в националните подходи;</w:t>
      </w:r>
    </w:p>
    <w:p w14:paraId="475156E4" w14:textId="77777777" w:rsidR="00EC1E3F" w:rsidRPr="005B7734" w:rsidRDefault="00EC1E3F" w:rsidP="00EC1E3F">
      <w:pPr>
        <w:pStyle w:val="NormalHanging12a"/>
      </w:pPr>
      <w:r w:rsidRPr="005B7734">
        <w:t>17.</w:t>
      </w:r>
      <w:r w:rsidRPr="005B7734">
        <w:tab/>
        <w:t xml:space="preserve">призовава Комисията да направи оценка на съответните разпоредби на ДАВМУ, да гарантира нейното прилагане и да предложи целенасочени изменения за по-нататъшно повишаване на равнищата на защита на потребителите на платформите за споделяне на видеоклипове, по-специално на малолетните и непълнолетните лица, да разшири правилата за медийното съдържание, така че да обхванат </w:t>
      </w:r>
      <w:proofErr w:type="spellStart"/>
      <w:r w:rsidRPr="005B7734">
        <w:t>инфлуенсърите</w:t>
      </w:r>
      <w:proofErr w:type="spellEnd"/>
      <w:r w:rsidRPr="005B7734">
        <w:t xml:space="preserve"> и създателите на съдържание, и да гарантира ефективно етикетиране на генерирано, манипулирано с ИИ и спонсорирано с търговска цел съдържание, без да се разчита единствено на етикети или автоматизирани показатели;</w:t>
      </w:r>
    </w:p>
    <w:p w14:paraId="167F387B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lastRenderedPageBreak/>
        <w:t>18.</w:t>
      </w:r>
      <w:r w:rsidRPr="005B7734">
        <w:tab/>
        <w:t xml:space="preserve">призовава за разработването и насърчаването на кодекси за поведение и ясни насоки за </w:t>
      </w:r>
      <w:proofErr w:type="spellStart"/>
      <w:r w:rsidRPr="005B7734">
        <w:t>инфлуенсърите</w:t>
      </w:r>
      <w:proofErr w:type="spellEnd"/>
      <w:r w:rsidRPr="005B7734">
        <w:t xml:space="preserve"> и създателите на съдържание относно интегрирането на принципите за медийна грамотност и цифрово обучение в тяхното съдържание, с оглед на тяхната значителна роля за оформянето на моделите на потребление на информация, особено сред младите хора; насърчава онлайн платформите да дават по-голяма видимост, включително чрез системи за препоръчване, на съдържание, което активно насърчава медийната грамотност, критичното мислене и онлайн безопасността;</w:t>
      </w:r>
    </w:p>
    <w:p w14:paraId="29A67D62" w14:textId="77777777" w:rsidR="00EC1E3F" w:rsidRPr="005B7734" w:rsidRDefault="00EC1E3F" w:rsidP="00EC1E3F">
      <w:pPr>
        <w:pStyle w:val="NormalHanging12a"/>
      </w:pPr>
      <w:r w:rsidRPr="005B7734">
        <w:t>19.</w:t>
      </w:r>
      <w:r w:rsidRPr="005B7734">
        <w:tab/>
        <w:t>призовава държавите членки да осигурят ефективен надзор и да гарантират, че платформите за споделяне на видеоклипове спазват задължението си да предоставят ефективни мерки и инструменти за медийна грамотност и да повишават осведомеността на потребителите относно тези мерки и инструменти, както е предвидено в член 28, буква б), точка 3 от ДАВМУ; призовава националните регулаторни органи и служби да използват механизма за сътрудничество, създаден съгласно член 15 от Европейския акт за свободата на медиите, за да гарантират ефективното прилагане на това задължение в целия ЕС;</w:t>
      </w:r>
    </w:p>
    <w:p w14:paraId="7324E301" w14:textId="77777777" w:rsidR="00EC1E3F" w:rsidRPr="005B7734" w:rsidRDefault="00EC1E3F" w:rsidP="00EC1E3F">
      <w:pPr>
        <w:pStyle w:val="NormalHanging12a"/>
      </w:pPr>
      <w:r w:rsidRPr="005B7734">
        <w:t>20.</w:t>
      </w:r>
      <w:r w:rsidRPr="005B7734">
        <w:tab/>
        <w:t>припомня, че съгласно член 33, буква а) от ДАВМУ държавите членки са задължени да насърчават и предприемат мерки за развитието на умения за медийна грамотност и да докладват на Комисията относно прилагането на тези мерки; насърчава националните медийни регулатори да се консултират с представители на всички групи от населението при разработването на такива мерки и да възприемат индивидуализиран подход, който отговаря на нуждите на всички възрасти, когато прилагат такива мерки; призовава държавите членки да гарантират, че тези органи разполагат със стабилно и специално финансиране за насърчаване и прилагане на мерки за медийна грамотност;</w:t>
      </w:r>
    </w:p>
    <w:p w14:paraId="6925855D" w14:textId="77777777" w:rsidR="00EC1E3F" w:rsidRPr="005B7734" w:rsidRDefault="00EC1E3F" w:rsidP="00EC1E3F">
      <w:pPr>
        <w:pStyle w:val="NormalHanging12a"/>
      </w:pPr>
      <w:r w:rsidRPr="005B7734">
        <w:t>21.</w:t>
      </w:r>
      <w:r w:rsidRPr="005B7734">
        <w:tab/>
        <w:t>настоятелно призовава много големите онлайн платформи да въведат разумни, пропорционални и ефективни мерки за смекчаване на системните рискове, произтичащи от експлоатирането на недостатъчна медийна грамотност и цифрови учебни умения на ползвателите, особено на малолетните и непълнолетните лица, както се изисква от Акта за цифровите услуги;  призовава много големите онлайн платформи да извършват оценки на медийната грамотност и въздействието на цифровото обучение, за да определят проактивно как разработването на техните услуги може да засегне способността на потребителите да имат достъп, създават и използват съдържание;</w:t>
      </w:r>
    </w:p>
    <w:p w14:paraId="5F7A1F1E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22.</w:t>
      </w:r>
      <w:r w:rsidRPr="005B7734">
        <w:tab/>
        <w:t>подчертава, че тези оценки на въздействието следва също така да вземат предвид въздействието върху благосъстоянието на ползвателите и когнитивното и социално-емоционалното развитие и психичното здраве, както и рисковете, свързани с обусловени от ангажираността или потенциално водещи до пристрастяване характеристики на дизайна; призовава тези оценки да бъдат прозрачни, независими и публично достъпни;</w:t>
      </w:r>
    </w:p>
    <w:p w14:paraId="6B08B609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t>23.</w:t>
      </w:r>
      <w:r w:rsidRPr="005B7734">
        <w:tab/>
        <w:t>призовава Комисията да гарантира, че ангажиментите за медийна грамотност се изпълняват ефективно съгласно Кодекса за поведение във връзка с дезинформацията на Акта за цифровите услуги;</w:t>
      </w:r>
    </w:p>
    <w:p w14:paraId="483C65F0" w14:textId="77777777" w:rsidR="00EC1E3F" w:rsidRPr="005B7734" w:rsidRDefault="00EC1E3F" w:rsidP="00EC1E3F">
      <w:pPr>
        <w:pStyle w:val="NormalHanging12a"/>
      </w:pPr>
      <w:r w:rsidRPr="005B7734">
        <w:t>24.</w:t>
      </w:r>
      <w:r w:rsidRPr="005B7734">
        <w:tab/>
        <w:t xml:space="preserve">призовава Комисията да обхване медийната грамотност и цифровото обучение, в прегледа на насоките на Акта за цифровите услуги относно мерките за </w:t>
      </w:r>
      <w:r w:rsidRPr="005B7734">
        <w:lastRenderedPageBreak/>
        <w:t>гарантиране на високо равнище на неприкосновеност на личния живот, безопасност и сигурност за малолетните и непълнолетните лица онлайн, по-специално по отношение на медийната грамотност и мерките за цифрово обучение, които биха могли да бъдат предприети от онлайн платформите, за да се гарантира съобразен с възрастта опит за малолетните и непълнолетните лица онлайн;</w:t>
      </w:r>
    </w:p>
    <w:p w14:paraId="501F8CF7" w14:textId="77777777" w:rsidR="00EC1E3F" w:rsidRPr="005B7734" w:rsidRDefault="00EC1E3F" w:rsidP="00EC1E3F">
      <w:pPr>
        <w:pStyle w:val="NormalHanging12a"/>
      </w:pPr>
      <w:r w:rsidRPr="005B7734">
        <w:t>25.</w:t>
      </w:r>
      <w:r w:rsidRPr="005B7734">
        <w:tab/>
        <w:t>приканва Европейския съвет за медийни услуги да използва структурирания диалог съгласно член 19 от EMFA, за да наблюдава действията, предприети от много големите онлайн платформи в областта на медийната грамотност, и да засили диалога между доставчиците на медийни услуги относно насърчаването на медийната грамотност и цифровото обучение и видимостта на реномираните медии онлайн;</w:t>
      </w:r>
    </w:p>
    <w:p w14:paraId="656FC555" w14:textId="77777777" w:rsidR="00EC1E3F" w:rsidRPr="005B7734" w:rsidRDefault="00EC1E3F" w:rsidP="00EC1E3F">
      <w:pPr>
        <w:pStyle w:val="NormalHanging12a"/>
        <w:rPr>
          <w:b/>
          <w:i/>
        </w:rPr>
      </w:pPr>
      <w:r w:rsidRPr="005B7734">
        <w:t>26.</w:t>
      </w:r>
      <w:r w:rsidRPr="005B7734">
        <w:tab/>
        <w:t>подчертава, че политиките за медийна грамотност трябва изцяло да зачитат свободата на изразяване и медийния плурализъм и следва да овластяват потребителите, без да ограничават достъпа до различни източници на информация;</w:t>
      </w:r>
    </w:p>
    <w:p w14:paraId="0BF23369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27.</w:t>
      </w:r>
      <w:r w:rsidRPr="005B7734">
        <w:tab/>
        <w:t>подчертава, че медийната грамотност зависи не само от способността на потребителите да оценяват критично информацията, но и от наличието на силна, независима и висококачествена журналистика, предоставяща надеждна, проверена и плуралистична информация; призовава Комисията да засили подкрепата за традиционните медии на европейско, национално, регионално и местно равнище, като се има предвид тяхната съществена роля за информирането на гражданите, включително чрез насърчаване на справедливо възнаграждение за журналистическо съдържание и осигуряване на устойчиво финансиране, по-специално чрез програми като бъдещата програма „</w:t>
      </w:r>
      <w:proofErr w:type="spellStart"/>
      <w:r w:rsidRPr="005B7734">
        <w:t>АгораЕС</w:t>
      </w:r>
      <w:proofErr w:type="spellEnd"/>
      <w:r w:rsidRPr="005B7734">
        <w:t xml:space="preserve">“; </w:t>
      </w:r>
    </w:p>
    <w:p w14:paraId="65AAFB57" w14:textId="77777777" w:rsidR="00EC1E3F" w:rsidRPr="005B7734" w:rsidRDefault="00EC1E3F" w:rsidP="00EC1E3F">
      <w:pPr>
        <w:pStyle w:val="NormalHanging12a"/>
      </w:pPr>
      <w:r w:rsidRPr="005B7734">
        <w:t>28.</w:t>
      </w:r>
      <w:r w:rsidRPr="005B7734">
        <w:tab/>
        <w:t>изисква от Комисията да даде приоритет на действията в областта на медийната грамотност в рамките на програмата за устойчивост на медиите и да гарантира, че тези действия достигат до всички възрастови категории (млади хора, възрастни и възрастни хора) в селските, отдалечените и градските райони;</w:t>
      </w:r>
    </w:p>
    <w:p w14:paraId="6B791B49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29.</w:t>
      </w:r>
      <w:r w:rsidRPr="005B7734">
        <w:tab/>
        <w:t xml:space="preserve">призовава държавите членки да гарантират, че националните мерки за медийна грамотност включват специфични информационни стратегии за групите в неравностойно социално-икономическо положение, хората с увреждания, хората, живеещи в отдалечени райони, и тези с по-ниски равнища на цифрови умения, за да се предотврати засилването на по-широките неравенства от страна на медийната грамотност и пропуските в цифровото обучение; </w:t>
      </w:r>
    </w:p>
    <w:p w14:paraId="2018A1D4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30.</w:t>
      </w:r>
      <w:r w:rsidRPr="005B7734">
        <w:tab/>
        <w:t>подчертава необходимостта от осигуряване на стабилно и дългосрочно финансиране от ЕС за медийна грамотност и цифрово обучение; призовава Комисията да даде приоритет на инициативите за медийна грамотност в рамките на съответните програми на ЕС, включително бъдещата програма „</w:t>
      </w:r>
      <w:proofErr w:type="spellStart"/>
      <w:r w:rsidRPr="005B7734">
        <w:t>АгораЕС</w:t>
      </w:r>
      <w:proofErr w:type="spellEnd"/>
      <w:r w:rsidRPr="005B7734">
        <w:t>“, с акцент върху критичното мислене, устойчивостта на дезинформация и медийния плурализъм;</w:t>
      </w:r>
    </w:p>
    <w:p w14:paraId="6C05017A" w14:textId="77777777" w:rsidR="00EC1E3F" w:rsidRPr="005B7734" w:rsidRDefault="00EC1E3F" w:rsidP="00EC1E3F">
      <w:pPr>
        <w:pStyle w:val="NormalHanging12a"/>
      </w:pPr>
      <w:r w:rsidRPr="005B7734">
        <w:t>31.</w:t>
      </w:r>
      <w:r w:rsidRPr="005B7734">
        <w:tab/>
        <w:t xml:space="preserve">призовава експертната група по медийна грамотност на Комисията, Европейския съвет за медийни услуги и Европейския съвет за цифровите услуги да си сътрудничат тясно по въпроси, свързани с медийната грамотност и цифровото </w:t>
      </w:r>
      <w:r w:rsidRPr="005B7734">
        <w:lastRenderedPageBreak/>
        <w:t>обучение, и да предоставят допълнителни насоки относно практическите действия, които биха могли да бъдат предприети на национално равнище;</w:t>
      </w:r>
    </w:p>
    <w:p w14:paraId="17169FC2" w14:textId="77777777" w:rsidR="00EC1E3F" w:rsidRPr="005B7734" w:rsidRDefault="00EC1E3F" w:rsidP="00EC1E3F">
      <w:pPr>
        <w:pStyle w:val="NormalHanging12a"/>
      </w:pPr>
      <w:r w:rsidRPr="005B7734">
        <w:t>32.</w:t>
      </w:r>
      <w:r w:rsidRPr="005B7734">
        <w:tab/>
        <w:t>изисква от Комисията да използва Европейската седмица на медийната грамотност като водеща ежегодна проява, за да покаже примери за най-добри практики и да предостави приобщаващ форум за обсъждане и изграждане на капацитет, както и да насърчи широк кръг от заинтересовани страни и институции, включително бюрата за връзка на Европейския парламент в държавите членки и международните организации, да участват активно в насърчаването на медийната грамотност и цифровото обучение, като гарантират, че тези прояви представляват множество гледни точки;</w:t>
      </w:r>
    </w:p>
    <w:p w14:paraId="59FB8175" w14:textId="77777777" w:rsidR="00EC1E3F" w:rsidRPr="005B7734" w:rsidRDefault="00EC1E3F" w:rsidP="00EC1E3F">
      <w:pPr>
        <w:pStyle w:val="Normal12a"/>
        <w:rPr>
          <w:b/>
          <w:i/>
          <w:iCs/>
        </w:rPr>
      </w:pPr>
      <w:r w:rsidRPr="005B7734">
        <w:rPr>
          <w:b/>
          <w:i/>
        </w:rPr>
        <w:t xml:space="preserve">Медийна грамотност и цифрово обучение: насърчаване на цялостна и ориентирана към бъдещето образователна система </w:t>
      </w:r>
    </w:p>
    <w:p w14:paraId="20A2573F" w14:textId="77777777" w:rsidR="00EC1E3F" w:rsidRPr="005B7734" w:rsidRDefault="00EC1E3F" w:rsidP="00EC1E3F">
      <w:pPr>
        <w:pStyle w:val="NormalHanging12a"/>
      </w:pPr>
      <w:r w:rsidRPr="005B7734">
        <w:t>33.</w:t>
      </w:r>
      <w:r w:rsidRPr="005B7734">
        <w:tab/>
        <w:t>призовава Комисията да признае медийната грамотност и цифровото образование като основни умения за всички граждани; призовава държавите членки да включат медийната грамотност и цифровото обучение в образователните си програми по подходящ за възрастта начин; подчертава, че аналоговите инструменти могат да се използват за насърчаване на медийната грамотност;</w:t>
      </w:r>
    </w:p>
    <w:p w14:paraId="0EF9DB64" w14:textId="77777777" w:rsidR="00EC1E3F" w:rsidRPr="005B7734" w:rsidRDefault="00EC1E3F" w:rsidP="00EC1E3F">
      <w:pPr>
        <w:pStyle w:val="NormalHanging12a"/>
      </w:pPr>
      <w:r w:rsidRPr="005B7734">
        <w:t>34.</w:t>
      </w:r>
      <w:r w:rsidRPr="005B7734">
        <w:tab/>
        <w:t>призовава Комисията да обърне специално внимание на медийната грамотност в пътната карта от 2030 г. относно бъдещето на цифровото образование и умения, както и на укрепването на цифровите компетентности, предотвратяването на кибертормоза и насърчаването на цифровото благосъстояние;</w:t>
      </w:r>
    </w:p>
    <w:p w14:paraId="22623417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35.</w:t>
      </w:r>
      <w:r w:rsidRPr="005B7734">
        <w:tab/>
        <w:t>призовава Комисията, в сътрудничество с държавите членки, да предостави европейски наръчник и други образователни материали относно медийната грамотност, съобразени с всички възрастови групи и образователни равнища, и да организира редовни семинари, насочени към критичното мислене, проверката на източниците на информация, медийния плурализъм, отговорното участие на медиите и ролята на организациите за проверка на фактите, журналистическите органи за саморегулиране и общностните медии, както и насоки за родителите и лицата, полагащи грижи, относно съобразеното с възрастта използване на медиите, онлайн рисковете и инструментите с ИИ;</w:t>
      </w:r>
    </w:p>
    <w:p w14:paraId="2C752901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36.</w:t>
      </w:r>
      <w:r w:rsidRPr="005B7734">
        <w:tab/>
        <w:t>насърчава държавите членки да се консултират и да си сътрудничат с преподавателите, изследователите, академичните среди, организациите на гражданското общество, родителите, лицата, полагащи грижи, и младежките организации при разработването и оценката на инициативи за медийна грамотност и цифрово обучение, за да се гарантира, че те отговарят на нуждите на учащите и преподавателите;</w:t>
      </w:r>
    </w:p>
    <w:p w14:paraId="25B2CC41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37.</w:t>
      </w:r>
      <w:r w:rsidRPr="005B7734">
        <w:tab/>
        <w:t xml:space="preserve">призовава държавите членки и Комисията да гарантират, че внедряването на цифрови инструменти за обучение в образованието не е обект на неправомерно търговско влияние; подчертава, че сътрудничеството с участници от частния сектор следва да бъде прозрачно, ориентирано към образованието и в обществен интерес; </w:t>
      </w:r>
    </w:p>
    <w:p w14:paraId="575298A0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38.</w:t>
      </w:r>
      <w:r w:rsidRPr="005B7734">
        <w:tab/>
        <w:t xml:space="preserve">призовава държавите членки да засилят медийната грамотност и програмите за цифрово обучение, за да се даде възможност на потребителите да правят </w:t>
      </w:r>
      <w:r w:rsidRPr="005B7734">
        <w:lastRenderedPageBreak/>
        <w:t>разграничение между редакционно, търговско и синтетично съдържание и да идентифицират убедителни техники; подчертава необходимостта от интегриране на грамотността в областта на ИИ в тези програми, за да се даде възможност за разпознаване на генерирано от ИИ съдържание и свързаните с него рискове от манипулиране и невярна информация;</w:t>
      </w:r>
    </w:p>
    <w:p w14:paraId="16B6291D" w14:textId="77777777" w:rsidR="00EC1E3F" w:rsidRPr="005B7734" w:rsidRDefault="00EC1E3F" w:rsidP="00EC1E3F">
      <w:pPr>
        <w:pStyle w:val="NormalHanging12a"/>
      </w:pPr>
      <w:r w:rsidRPr="005B7734">
        <w:t>39.</w:t>
      </w:r>
      <w:r w:rsidRPr="005B7734">
        <w:tab/>
        <w:t>призовава Комисията, в тясно сътрудничество с държавите членки, спешно и всеобхватно да оцени въздействието на цифровите устройства и услуги, включително инструментите с ИИ, в образователната среда върху резултатите от ученето, когнитивното развитие, благосъстоянието, психичното здраве и обхвата на вниманието, за да подкрепи отговорното им използване в училищата; настоятелно призовава Комисията да предложи, когато е необходимо, политически мерки, които биха могли да предвиждат целенасочени ограничения или забрани, особено в образованието в ранна детска възраст, за да се гарантира, че използването на цифрови технологии в образованието е строго обосновано от педагогическа гледна точка, съобразено с възрастта, пропорционално и основано на независими научни доказателства, така че тези инструменти да подкрепят процесите на учене, а не да ги заменят;</w:t>
      </w:r>
    </w:p>
    <w:p w14:paraId="65540218" w14:textId="77777777" w:rsidR="00EC1E3F" w:rsidRPr="005B7734" w:rsidRDefault="00EC1E3F" w:rsidP="00EC1E3F">
      <w:pPr>
        <w:pStyle w:val="NormalHanging12a"/>
      </w:pPr>
      <w:r w:rsidRPr="005B7734">
        <w:t>40.</w:t>
      </w:r>
      <w:r w:rsidRPr="005B7734">
        <w:tab/>
        <w:t>насърчава държавите членки да гарантират непрекъснато обучение както за преподавателите — независимо дали във формалното, неформалното или самостоятелното образование — така и за библиотекарите в медийното и цифровото образование, подкрепено с подходящо финансиране; призовава Комисията да засили обучението за медийна грамотност чрез центровете за по-безопасен интернет, платформата „По-добър интернет за децата“ и съответните платформи на ЕС;</w:t>
      </w:r>
    </w:p>
    <w:p w14:paraId="62E13446" w14:textId="77777777" w:rsidR="00EC1E3F" w:rsidRPr="005B7734" w:rsidRDefault="00EC1E3F" w:rsidP="00EC1E3F">
      <w:pPr>
        <w:pStyle w:val="NormalHanging12a"/>
      </w:pPr>
      <w:r w:rsidRPr="005B7734">
        <w:t>41.</w:t>
      </w:r>
      <w:r w:rsidRPr="005B7734">
        <w:tab/>
        <w:t>призовава Комисията и съответните национални регулаторни органи или служби да провеждат образователни кампании и кампании за повишаване на обществената осведоменост относно медийната грамотност и цифровото обучение, за да се повиши осведомеността относно начина, по който цифровата среда оформя поведението онлайн, и относно наличните мерки за родителски контрол, съществуващите правни задължения на онлайн платформите и наличните механизми за подкрепа, включително организациите, предоставящи достъпна подкрепа за психичното здраве;</w:t>
      </w:r>
    </w:p>
    <w:p w14:paraId="749F4E4C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42.</w:t>
      </w:r>
      <w:r w:rsidRPr="005B7734">
        <w:tab/>
        <w:t>призовава Комисията и държавите членки да насърчават медийната грамотност и цифровото обучение през целия живот за всички граждани, насочени към възрастните хора, възрастните хора и уязвимите групи от населението;</w:t>
      </w:r>
    </w:p>
    <w:p w14:paraId="1E8BB6E4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43.</w:t>
      </w:r>
      <w:r w:rsidRPr="005B7734">
        <w:tab/>
        <w:t xml:space="preserve">признава ролята на обществените библиотеки, читалищата и организациите на гражданското общество като надеждни, достъпни и приобщаващи центрове за медийна грамотност и цифрово обучение, които допринасят за социалното приобщаване, демократичното участие и равния достъп до знания, култура и информация; призовава държавите членки да засилят партньорствата и инвестициите в тези ключови местни инфраструктури чрез подходящо финансиране, обучение на персонала и достъп до актуални цифрови инструменти и ресурси; </w:t>
      </w:r>
    </w:p>
    <w:p w14:paraId="70F41746" w14:textId="77777777" w:rsidR="00EC1E3F" w:rsidRPr="005B7734" w:rsidRDefault="00EC1E3F" w:rsidP="00EC1E3F">
      <w:pPr>
        <w:pStyle w:val="NormalHanging12a"/>
        <w:rPr>
          <w:bCs/>
          <w:iCs/>
        </w:rPr>
      </w:pPr>
      <w:r w:rsidRPr="005B7734">
        <w:t>44.</w:t>
      </w:r>
      <w:r w:rsidRPr="005B7734">
        <w:tab/>
        <w:t xml:space="preserve">призовава Комисията и държавите членки да подкрепят, в сътрудничество с участниците от обществен интерес и съответните заинтересовани страни, </w:t>
      </w:r>
      <w:r w:rsidRPr="005B7734">
        <w:lastRenderedPageBreak/>
        <w:t>развитието на устойчиви и надеждни цифрови екосистеми, които укрепват цифровата устойчивост на Европа, медийния плурализъм и достъпа на гражданите до точна и надеждна информация;</w:t>
      </w:r>
    </w:p>
    <w:p w14:paraId="67AEA1DC" w14:textId="2CC96AB5" w:rsidR="00EC1E3F" w:rsidRDefault="00EC1E3F" w:rsidP="00875EB9">
      <w:pPr>
        <w:pStyle w:val="NormalHanging12a"/>
      </w:pPr>
      <w:r w:rsidRPr="005B7734">
        <w:t>45.</w:t>
      </w:r>
      <w:r w:rsidRPr="005B7734">
        <w:tab/>
        <w:t>призовава държавите членки и техните регионални и местни органи да насърчават медийната грамотност и цифровото образование по иновативен и творчески начин в градската среда, както физическа, така и цифрова, с цел насърчаване на демократичното участие и гражданската ангажираност; подчертава, че градовете играят решаваща роля за гарантиране на безопасността и сигурността на обществените пространства, които са все по-засегнати от информационната среда;</w:t>
      </w:r>
    </w:p>
    <w:p w14:paraId="57ACAE6E" w14:textId="16AC8BCE" w:rsidR="00875EB9" w:rsidRDefault="00875EB9" w:rsidP="00875EB9">
      <w:pPr>
        <w:pStyle w:val="NormalHanging12a"/>
        <w:ind w:left="0" w:firstLine="0"/>
        <w:jc w:val="center"/>
      </w:pPr>
      <w:r>
        <w:t>°</w:t>
      </w:r>
    </w:p>
    <w:p w14:paraId="5577A9D4" w14:textId="6ABB1EAD" w:rsidR="00875EB9" w:rsidRDefault="00875EB9" w:rsidP="00875EB9">
      <w:pPr>
        <w:pStyle w:val="NormalHanging12a"/>
        <w:ind w:left="0" w:firstLine="0"/>
        <w:jc w:val="center"/>
      </w:pPr>
      <w:r>
        <w:t>°     °</w:t>
      </w:r>
    </w:p>
    <w:p w14:paraId="31845D26" w14:textId="13B32C87" w:rsidR="005B7734" w:rsidRPr="005B7734" w:rsidRDefault="00EC1E3F" w:rsidP="005B7734">
      <w:pPr>
        <w:pStyle w:val="NormalHanging12a"/>
      </w:pPr>
      <w:r w:rsidRPr="005B7734">
        <w:t>46.</w:t>
      </w:r>
      <w:r w:rsidRPr="005B7734">
        <w:tab/>
        <w:t>възлага на своя председател да предаде настоящата резолюция съответно на Съвета и Комисията.</w:t>
      </w:r>
    </w:p>
    <w:p w14:paraId="30991CEB" w14:textId="47DE6722" w:rsidR="00E365E1" w:rsidRPr="005B7734" w:rsidRDefault="00E365E1" w:rsidP="00D42D80"/>
    <w:sectPr w:rsidR="00E365E1" w:rsidRPr="005B7734" w:rsidSect="005B77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25A1" w14:textId="77777777" w:rsidR="00D42D80" w:rsidRPr="005B7734" w:rsidRDefault="00D42D80">
      <w:r w:rsidRPr="005B7734">
        <w:separator/>
      </w:r>
    </w:p>
  </w:endnote>
  <w:endnote w:type="continuationSeparator" w:id="0">
    <w:p w14:paraId="1958C46F" w14:textId="77777777" w:rsidR="00D42D80" w:rsidRPr="005B7734" w:rsidRDefault="00D42D80">
      <w:r w:rsidRPr="005B77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8EB0" w14:textId="77777777" w:rsidR="00064002" w:rsidRPr="005B77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11FE" w14:textId="77777777" w:rsidR="00064002" w:rsidRPr="005B77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D4CB" w14:textId="77777777" w:rsidR="00064002" w:rsidRPr="005B77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6F88E" w14:textId="77777777" w:rsidR="00D42D80" w:rsidRPr="005B7734" w:rsidRDefault="00D42D80">
      <w:r w:rsidRPr="005B7734">
        <w:separator/>
      </w:r>
    </w:p>
  </w:footnote>
  <w:footnote w:type="continuationSeparator" w:id="0">
    <w:p w14:paraId="751B5BCE" w14:textId="77777777" w:rsidR="00D42D80" w:rsidRPr="005B7734" w:rsidRDefault="00D42D80">
      <w:r w:rsidRPr="005B7734">
        <w:continuationSeparator/>
      </w:r>
    </w:p>
  </w:footnote>
  <w:footnote w:id="1">
    <w:p w14:paraId="5D01D031" w14:textId="4A570C56" w:rsidR="00875EB9" w:rsidRPr="005B7734" w:rsidRDefault="00875EB9" w:rsidP="005B7734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5B7734">
        <w:rPr>
          <w:sz w:val="24"/>
          <w:vertAlign w:val="superscript"/>
          <w:lang w:val="bg-BG"/>
        </w:rPr>
        <w:t xml:space="preserve"> </w:t>
      </w:r>
      <w:r w:rsidRPr="005B7734">
        <w:rPr>
          <w:sz w:val="24"/>
          <w:vertAlign w:val="superscript"/>
          <w:lang w:val="bg-BG"/>
        </w:rPr>
        <w:tab/>
      </w:r>
      <w:r w:rsidRPr="005B7734">
        <w:rPr>
          <w:sz w:val="24"/>
          <w:lang w:val="bg-BG"/>
        </w:rPr>
        <w:t xml:space="preserve">ОВ L 303, 28.11.2018 г., стр. 69, ELI: </w:t>
      </w:r>
      <w:hyperlink r:id="rId1" w:tgtFrame="http://data.europa.eu/eli/dir/2018/1808/oj" w:history="1">
        <w:r w:rsidRPr="005B7734">
          <w:rPr>
            <w:rStyle w:val="Hyperlink"/>
            <w:sz w:val="24"/>
            <w:lang w:val="bg-BG"/>
          </w:rPr>
          <w:t>http://data.europa.eu/eli/dir/2018/1808/oj</w:t>
        </w:r>
      </w:hyperlink>
      <w:r w:rsidRPr="005B7734">
        <w:rPr>
          <w:sz w:val="24"/>
          <w:lang w:val="bg-BG"/>
        </w:rPr>
        <w:t>.</w:t>
      </w:r>
    </w:p>
  </w:footnote>
  <w:footnote w:id="2">
    <w:p w14:paraId="33404457" w14:textId="60E9707F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ОВ L, 2024/1083, 17.4.2024 г., ELI: </w:t>
      </w:r>
      <w:hyperlink r:id="rId2" w:tgtFrame="_blank" w:tooltip="Достъп до този документ чрез неговия идентификатор ELI URI." w:history="1">
        <w:r w:rsidRPr="005B7734">
          <w:rPr>
            <w:rStyle w:val="Hyperlink"/>
            <w:sz w:val="24"/>
            <w:lang w:val="bg-BG"/>
          </w:rPr>
          <w:t>http://data.europa.eu/eli/reg/2024/1083/oj</w:t>
        </w:r>
      </w:hyperlink>
      <w:r w:rsidRPr="005B7734">
        <w:rPr>
          <w:sz w:val="24"/>
          <w:lang w:val="bg-BG"/>
        </w:rPr>
        <w:t>.</w:t>
      </w:r>
    </w:p>
  </w:footnote>
  <w:footnote w:id="3">
    <w:p w14:paraId="438A97BF" w14:textId="324AFCCB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ОВ L 277, 27.10.2022 г., стр. 1, ELI: </w:t>
      </w:r>
      <w:hyperlink r:id="rId3" w:tooltip="Достъп до този документ чрез неговия идентификатор ELI URI." w:history="1">
        <w:r w:rsidRPr="005B7734">
          <w:rPr>
            <w:rStyle w:val="Hyperlink"/>
            <w:sz w:val="24"/>
            <w:lang w:val="bg-BG"/>
          </w:rPr>
          <w:t>http://data.europa.eu/eli/reg/2022/2065/oj</w:t>
        </w:r>
      </w:hyperlink>
      <w:r w:rsidRPr="005B7734">
        <w:rPr>
          <w:sz w:val="24"/>
          <w:lang w:val="bg-BG"/>
        </w:rPr>
        <w:t>.</w:t>
      </w:r>
    </w:p>
  </w:footnote>
  <w:footnote w:id="4">
    <w:p w14:paraId="36EC4192" w14:textId="3FFD1C15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ОВ L, 2024/1689, 12.7.2024 г., ELI: </w:t>
      </w:r>
      <w:hyperlink r:id="rId4" w:tgtFrame="_blank" w:tooltip="Достъп до този документ чрез неговия идентификатор ELI URI." w:history="1">
        <w:r w:rsidRPr="005B7734">
          <w:rPr>
            <w:rStyle w:val="Hyperlink"/>
            <w:sz w:val="24"/>
            <w:lang w:val="bg-BG"/>
          </w:rPr>
          <w:t>http://data.europa.eu/eli/reg/2024/1689/oj</w:t>
        </w:r>
      </w:hyperlink>
      <w:r w:rsidRPr="005B7734">
        <w:rPr>
          <w:sz w:val="24"/>
          <w:lang w:val="bg-BG"/>
        </w:rPr>
        <w:t>.</w:t>
      </w:r>
    </w:p>
  </w:footnote>
  <w:footnote w:id="5">
    <w:p w14:paraId="209C46F2" w14:textId="4F2403C9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 xml:space="preserve">ОВ C 494, 8.12.2021 г., стр. 2. </w:t>
      </w:r>
    </w:p>
  </w:footnote>
  <w:footnote w:id="6">
    <w:p w14:paraId="265A81A4" w14:textId="33B216E7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ОВ C, C/2026/1708, 24.4.2026 г., ELI: </w:t>
      </w:r>
      <w:hyperlink r:id="rId5" w:tgtFrame="_blank" w:tooltip="Достъп до този документ чрез неговия идентификатор ELI URI." w:history="1">
        <w:r w:rsidRPr="005B7734">
          <w:rPr>
            <w:rStyle w:val="Hyperlink"/>
            <w:sz w:val="24"/>
            <w:lang w:val="bg-BG"/>
          </w:rPr>
          <w:t>http://data.europa.eu/eli/C/2026/1708/oj</w:t>
        </w:r>
      </w:hyperlink>
      <w:r w:rsidRPr="005B7734">
        <w:rPr>
          <w:sz w:val="24"/>
          <w:lang w:val="bg-BG"/>
        </w:rPr>
        <w:t>.</w:t>
      </w:r>
    </w:p>
  </w:footnote>
  <w:footnote w:id="7">
    <w:p w14:paraId="792C2E3E" w14:textId="2572ED6B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ОВ С 456, 18.12.2018 г</w:t>
      </w:r>
      <w:r w:rsidR="00875EB9">
        <w:rPr>
          <w:sz w:val="24"/>
          <w:lang w:val="bg-BG"/>
        </w:rPr>
        <w:t>.</w:t>
      </w:r>
      <w:r w:rsidRPr="005B7734">
        <w:rPr>
          <w:sz w:val="24"/>
          <w:lang w:val="bg-BG"/>
        </w:rPr>
        <w:t>, стр. 1.</w:t>
      </w:r>
    </w:p>
  </w:footnote>
  <w:footnote w:id="8">
    <w:p w14:paraId="2EF6ED2C" w14:textId="71A3D9FE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r w:rsidRPr="005B7734">
        <w:rPr>
          <w:sz w:val="24"/>
          <w:lang w:val="bg-BG"/>
        </w:rPr>
        <w:t>OВ C, C/2025/5519, 10.10.2025 г., ELI: </w:t>
      </w:r>
      <w:hyperlink r:id="rId6" w:tgtFrame="_blank" w:tooltip="Достъп до този документ чрез неговия идентификатор ELI URI." w:history="1">
        <w:r w:rsidRPr="005B7734">
          <w:rPr>
            <w:rStyle w:val="Hyperlink"/>
            <w:sz w:val="24"/>
            <w:lang w:val="bg-BG"/>
          </w:rPr>
          <w:t>http://data.europa.eu/eli/C/2025/5519/oj</w:t>
        </w:r>
      </w:hyperlink>
      <w:r w:rsidRPr="005B7734">
        <w:rPr>
          <w:sz w:val="24"/>
          <w:lang w:val="bg-BG"/>
        </w:rPr>
        <w:t>.</w:t>
      </w:r>
    </w:p>
  </w:footnote>
  <w:footnote w:id="9">
    <w:p w14:paraId="51F57325" w14:textId="25BD1F70" w:rsidR="00EC1E3F" w:rsidRPr="005B7734" w:rsidRDefault="00EC1E3F" w:rsidP="005B7734">
      <w:pPr>
        <w:pStyle w:val="FootnoteText"/>
        <w:ind w:left="567" w:hanging="567"/>
        <w:rPr>
          <w:sz w:val="24"/>
          <w:lang w:val="bg-BG"/>
        </w:rPr>
      </w:pPr>
      <w:r w:rsidRPr="005B7734">
        <w:rPr>
          <w:rStyle w:val="FootnoteReference"/>
          <w:sz w:val="24"/>
          <w:lang w:val="bg-BG"/>
        </w:rPr>
        <w:footnoteRef/>
      </w:r>
      <w:r w:rsidR="005B7734" w:rsidRPr="005B7734">
        <w:rPr>
          <w:sz w:val="24"/>
          <w:lang w:val="bg-BG"/>
        </w:rPr>
        <w:t xml:space="preserve"> </w:t>
      </w:r>
      <w:r w:rsidR="005B7734" w:rsidRPr="005B7734">
        <w:rPr>
          <w:sz w:val="24"/>
          <w:lang w:val="bg-BG"/>
        </w:rPr>
        <w:tab/>
      </w:r>
      <w:proofErr w:type="spellStart"/>
      <w:r w:rsidRPr="005B7734">
        <w:rPr>
          <w:sz w:val="24"/>
          <w:lang w:val="bg-BG"/>
        </w:rPr>
        <w:t>Maza</w:t>
      </w:r>
      <w:proofErr w:type="spellEnd"/>
      <w:r w:rsidRPr="005B7734">
        <w:rPr>
          <w:sz w:val="24"/>
          <w:lang w:val="bg-BG"/>
        </w:rPr>
        <w:t xml:space="preserve">, M.T. </w:t>
      </w:r>
      <w:proofErr w:type="spellStart"/>
      <w:r w:rsidRPr="005B7734">
        <w:rPr>
          <w:sz w:val="24"/>
          <w:lang w:val="bg-BG"/>
        </w:rPr>
        <w:t>et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al</w:t>
      </w:r>
      <w:proofErr w:type="spellEnd"/>
      <w:r w:rsidRPr="005B7734">
        <w:rPr>
          <w:sz w:val="24"/>
          <w:lang w:val="bg-BG"/>
        </w:rPr>
        <w:t>., ‘</w:t>
      </w:r>
      <w:proofErr w:type="spellStart"/>
      <w:r w:rsidRPr="005B7734">
        <w:rPr>
          <w:sz w:val="24"/>
          <w:lang w:val="bg-BG"/>
        </w:rPr>
        <w:t>Association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of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habitual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checking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behaviors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on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social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media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with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longitudinal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functional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brain</w:t>
      </w:r>
      <w:proofErr w:type="spellEnd"/>
      <w:r w:rsidRPr="005B7734">
        <w:rPr>
          <w:sz w:val="24"/>
          <w:lang w:val="bg-BG"/>
        </w:rPr>
        <w:t xml:space="preserve"> </w:t>
      </w:r>
      <w:proofErr w:type="spellStart"/>
      <w:r w:rsidRPr="005B7734">
        <w:rPr>
          <w:sz w:val="24"/>
          <w:lang w:val="bg-BG"/>
        </w:rPr>
        <w:t>development</w:t>
      </w:r>
      <w:proofErr w:type="spellEnd"/>
      <w:r w:rsidRPr="005B7734">
        <w:rPr>
          <w:sz w:val="24"/>
          <w:lang w:val="bg-BG"/>
        </w:rPr>
        <w:t xml:space="preserve">’ (Връзка между привичното поведение на проверка на социалните мрежи и надлъжното функционално развитие на мозъка), </w:t>
      </w:r>
      <w:r w:rsidRPr="005B7734">
        <w:rPr>
          <w:i/>
          <w:sz w:val="24"/>
          <w:lang w:val="bg-BG"/>
        </w:rPr>
        <w:t xml:space="preserve">JAMA </w:t>
      </w:r>
      <w:proofErr w:type="spellStart"/>
      <w:r w:rsidRPr="005B7734">
        <w:rPr>
          <w:i/>
          <w:sz w:val="24"/>
          <w:lang w:val="bg-BG"/>
        </w:rPr>
        <w:t>Pediatrics</w:t>
      </w:r>
      <w:proofErr w:type="spellEnd"/>
      <w:r w:rsidRPr="005B7734">
        <w:rPr>
          <w:sz w:val="24"/>
          <w:lang w:val="bg-BG"/>
        </w:rPr>
        <w:t xml:space="preserve">, том 177, бр. 2, 2023 г., стр. 160-167.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F1EA" w14:textId="77777777" w:rsidR="00064002" w:rsidRPr="005B77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E280" w14:textId="77777777" w:rsidR="00064002" w:rsidRPr="005B77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481C" w14:textId="77777777" w:rsidR="00064002" w:rsidRPr="005B77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774911">
    <w:abstractNumId w:val="9"/>
  </w:num>
  <w:num w:numId="2" w16cid:durableId="1715887007">
    <w:abstractNumId w:val="9"/>
  </w:num>
  <w:num w:numId="3" w16cid:durableId="2136945866">
    <w:abstractNumId w:val="7"/>
  </w:num>
  <w:num w:numId="4" w16cid:durableId="100759411">
    <w:abstractNumId w:val="7"/>
  </w:num>
  <w:num w:numId="5" w16cid:durableId="505562961">
    <w:abstractNumId w:val="6"/>
  </w:num>
  <w:num w:numId="6" w16cid:durableId="2054648186">
    <w:abstractNumId w:val="6"/>
  </w:num>
  <w:num w:numId="7" w16cid:durableId="1364861070">
    <w:abstractNumId w:val="5"/>
  </w:num>
  <w:num w:numId="8" w16cid:durableId="1870876410">
    <w:abstractNumId w:val="5"/>
  </w:num>
  <w:num w:numId="9" w16cid:durableId="1486512648">
    <w:abstractNumId w:val="4"/>
  </w:num>
  <w:num w:numId="10" w16cid:durableId="1063912583">
    <w:abstractNumId w:val="4"/>
  </w:num>
  <w:num w:numId="11" w16cid:durableId="1018847092">
    <w:abstractNumId w:val="8"/>
  </w:num>
  <w:num w:numId="12" w16cid:durableId="1232619536">
    <w:abstractNumId w:val="8"/>
  </w:num>
  <w:num w:numId="13" w16cid:durableId="389353988">
    <w:abstractNumId w:val="3"/>
  </w:num>
  <w:num w:numId="14" w16cid:durableId="1391491509">
    <w:abstractNumId w:val="3"/>
  </w:num>
  <w:num w:numId="15" w16cid:durableId="761145907">
    <w:abstractNumId w:val="2"/>
  </w:num>
  <w:num w:numId="16" w16cid:durableId="2051687263">
    <w:abstractNumId w:val="2"/>
  </w:num>
  <w:num w:numId="17" w16cid:durableId="1335646396">
    <w:abstractNumId w:val="1"/>
  </w:num>
  <w:num w:numId="18" w16cid:durableId="293104598">
    <w:abstractNumId w:val="1"/>
  </w:num>
  <w:num w:numId="19" w16cid:durableId="1718704486">
    <w:abstractNumId w:val="0"/>
  </w:num>
  <w:num w:numId="20" w16cid:durableId="73430727">
    <w:abstractNumId w:val="0"/>
  </w:num>
  <w:num w:numId="21" w16cid:durableId="1406956865">
    <w:abstractNumId w:val="9"/>
  </w:num>
  <w:num w:numId="22" w16cid:durableId="840925113">
    <w:abstractNumId w:val="7"/>
  </w:num>
  <w:num w:numId="23" w16cid:durableId="1514951674">
    <w:abstractNumId w:val="6"/>
  </w:num>
  <w:num w:numId="24" w16cid:durableId="1285890059">
    <w:abstractNumId w:val="5"/>
  </w:num>
  <w:num w:numId="25" w16cid:durableId="668170123">
    <w:abstractNumId w:val="4"/>
  </w:num>
  <w:num w:numId="26" w16cid:durableId="1645349210">
    <w:abstractNumId w:val="8"/>
  </w:num>
  <w:num w:numId="27" w16cid:durableId="209417753">
    <w:abstractNumId w:val="3"/>
  </w:num>
  <w:num w:numId="28" w16cid:durableId="74859602">
    <w:abstractNumId w:val="2"/>
  </w:num>
  <w:num w:numId="29" w16cid:durableId="566693746">
    <w:abstractNumId w:val="1"/>
  </w:num>
  <w:num w:numId="30" w16cid:durableId="2031907083">
    <w:abstractNumId w:val="0"/>
  </w:num>
  <w:num w:numId="31" w16cid:durableId="12147710">
    <w:abstractNumId w:val="9"/>
  </w:num>
  <w:num w:numId="32" w16cid:durableId="732234241">
    <w:abstractNumId w:val="7"/>
  </w:num>
  <w:num w:numId="33" w16cid:durableId="1724020167">
    <w:abstractNumId w:val="6"/>
  </w:num>
  <w:num w:numId="34" w16cid:durableId="1367363514">
    <w:abstractNumId w:val="5"/>
  </w:num>
  <w:num w:numId="35" w16cid:durableId="355934317">
    <w:abstractNumId w:val="4"/>
  </w:num>
  <w:num w:numId="36" w16cid:durableId="1896308655">
    <w:abstractNumId w:val="8"/>
  </w:num>
  <w:num w:numId="37" w16cid:durableId="1926915126">
    <w:abstractNumId w:val="3"/>
  </w:num>
  <w:num w:numId="38" w16cid:durableId="1829906594">
    <w:abstractNumId w:val="2"/>
  </w:num>
  <w:num w:numId="39" w16cid:durableId="2077429396">
    <w:abstractNumId w:val="1"/>
  </w:num>
  <w:num w:numId="40" w16cid:durableId="982345854">
    <w:abstractNumId w:val="0"/>
  </w:num>
  <w:num w:numId="41" w16cid:durableId="102459538">
    <w:abstractNumId w:val="10"/>
  </w:num>
  <w:num w:numId="42" w16cid:durableId="961303428">
    <w:abstractNumId w:val="10"/>
  </w:num>
  <w:num w:numId="43" w16cid:durableId="1849103868">
    <w:abstractNumId w:val="10"/>
  </w:num>
  <w:num w:numId="44" w16cid:durableId="431123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6"/>
    <w:docVar w:name="dvlangue" w:val="BG"/>
    <w:docVar w:name="dvnumam" w:val="0"/>
    <w:docVar w:name="dvpe" w:val="784.483"/>
    <w:docVar w:name="dvrapporteur" w:val="Докладчик: "/>
    <w:docVar w:name="dvtitre" w:val="Резолюция на Европейския парламент от ... 2026 г. относно нова стратегия за медийна грамотност и цифрово обучение(2025/2181(INI))"/>
  </w:docVars>
  <w:rsids>
    <w:rsidRoot w:val="00D42D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734"/>
    <w:rsid w:val="005C2568"/>
    <w:rsid w:val="005F1B17"/>
    <w:rsid w:val="006037C0"/>
    <w:rsid w:val="0064689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60D"/>
    <w:rsid w:val="007E22AD"/>
    <w:rsid w:val="00817416"/>
    <w:rsid w:val="00842779"/>
    <w:rsid w:val="00865F67"/>
    <w:rsid w:val="00875EB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D80"/>
    <w:rsid w:val="00D56C11"/>
    <w:rsid w:val="00D834A0"/>
    <w:rsid w:val="00D872DF"/>
    <w:rsid w:val="00D878A3"/>
    <w:rsid w:val="00D91E21"/>
    <w:rsid w:val="00DA7FCD"/>
    <w:rsid w:val="00E365E1"/>
    <w:rsid w:val="00E820A4"/>
    <w:rsid w:val="00EB006A"/>
    <w:rsid w:val="00EB4772"/>
    <w:rsid w:val="00EC1500"/>
    <w:rsid w:val="00EC1E3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5BE2D"/>
  <w15:chartTrackingRefBased/>
  <w15:docId w15:val="{1FC5AF99-B57E-4DA1-B295-31746D25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C1E3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EC1E3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C1E3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C1E3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C1E3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C1E3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C1E3F"/>
    <w:rPr>
      <w:sz w:val="24"/>
      <w:szCs w:val="24"/>
      <w:lang w:val="bg-BG" w:eastAsia="en-US"/>
    </w:rPr>
  </w:style>
  <w:style w:type="paragraph" w:styleId="Revision">
    <w:name w:val="Revision"/>
    <w:hidden/>
    <w:uiPriority w:val="99"/>
    <w:semiHidden/>
    <w:rsid w:val="00875EB9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4/1083/oj" TargetMode="External"/><Relationship Id="rId1" Type="http://schemas.openxmlformats.org/officeDocument/2006/relationships/hyperlink" Target="http://data.europa.eu/eli/dir/2018/1808/oj" TargetMode="External"/><Relationship Id="rId6" Type="http://schemas.openxmlformats.org/officeDocument/2006/relationships/hyperlink" Target="http://data.europa.eu/eli/C/2025/5519/oj" TargetMode="External"/><Relationship Id="rId5" Type="http://schemas.openxmlformats.org/officeDocument/2006/relationships/hyperlink" Target="http://data.europa.eu/eli/C/2026/17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4636</Words>
  <Characters>28932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2026-07-07T11:16:00Z</dcterms:created>
  <dcterms:modified xsi:type="dcterms:W3CDTF">2026-07-07T11:16:00Z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A10-0173/2026</vt:lpwstr>
  </property>
  <property fmtid="{D5CDD505-2E9C-101B-9397-08002B2CF9AE}" pid="4" name="&lt;Type&gt;">
    <vt:lpwstr>RR</vt:lpwstr>
  </property>
</Properties>
</file>