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77227" w14:paraId="4BE3354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F33FDA2" w14:textId="433AF1E7" w:rsidR="00751A4A" w:rsidRPr="00677227" w:rsidRDefault="00790F44" w:rsidP="0010095E">
            <w:pPr>
              <w:pStyle w:val="EPName"/>
            </w:pPr>
            <w:r w:rsidRPr="00677227">
              <w:t>Evropský parlament</w:t>
            </w:r>
          </w:p>
          <w:p w14:paraId="7895FC5A" w14:textId="77777777" w:rsidR="00751A4A" w:rsidRPr="0067722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77227">
              <w:t>2024</w:t>
            </w:r>
            <w:r w:rsidR="00817416" w:rsidRPr="00677227">
              <w:t>-202</w:t>
            </w:r>
            <w:r w:rsidRPr="00677227">
              <w:t>9</w:t>
            </w:r>
          </w:p>
        </w:tc>
        <w:tc>
          <w:tcPr>
            <w:tcW w:w="2268" w:type="dxa"/>
            <w:shd w:val="clear" w:color="auto" w:fill="auto"/>
          </w:tcPr>
          <w:p w14:paraId="2CFEF3FE" w14:textId="77777777" w:rsidR="00751A4A" w:rsidRPr="00677227" w:rsidRDefault="00187494" w:rsidP="0010095E">
            <w:pPr>
              <w:pStyle w:val="EPLogo"/>
            </w:pPr>
            <w:r w:rsidRPr="00677227">
              <w:rPr>
                <w:noProof/>
                <w:lang w:eastAsia="ja-JP"/>
              </w:rPr>
              <w:drawing>
                <wp:inline distT="0" distB="0" distL="0" distR="0" wp14:anchorId="7208B148" wp14:editId="5286082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80EFF6" w14:textId="77777777" w:rsidR="00D058B8" w:rsidRPr="00677227" w:rsidRDefault="00D058B8" w:rsidP="004C5D52">
      <w:pPr>
        <w:pStyle w:val="LineTop"/>
      </w:pPr>
    </w:p>
    <w:p w14:paraId="7B82AF84" w14:textId="20639963" w:rsidR="00680577" w:rsidRPr="00677227" w:rsidRDefault="00790F44" w:rsidP="00680577">
      <w:pPr>
        <w:pStyle w:val="EPBodyTA1"/>
      </w:pPr>
      <w:r w:rsidRPr="00677227">
        <w:t>PŘIJATÉ TEXTY</w:t>
      </w:r>
    </w:p>
    <w:p w14:paraId="5F946485" w14:textId="77777777" w:rsidR="00D058B8" w:rsidRPr="00677227" w:rsidRDefault="00D058B8" w:rsidP="00D058B8">
      <w:pPr>
        <w:pStyle w:val="LineBottom"/>
      </w:pPr>
    </w:p>
    <w:p w14:paraId="1EFCF56C" w14:textId="3A2E839D" w:rsidR="00790F44" w:rsidRPr="00677227" w:rsidRDefault="00790F44" w:rsidP="00790F44">
      <w:pPr>
        <w:pStyle w:val="ATHeading1"/>
      </w:pPr>
      <w:bookmarkStart w:id="0" w:name="TANumber"/>
      <w:r w:rsidRPr="00677227">
        <w:t>P10_TA(2026)0</w:t>
      </w:r>
      <w:bookmarkEnd w:id="0"/>
      <w:r w:rsidR="0076689B">
        <w:t>249</w:t>
      </w:r>
    </w:p>
    <w:p w14:paraId="2E3B3268" w14:textId="5F9F9AFC" w:rsidR="00790F44" w:rsidRPr="00526D80" w:rsidRDefault="00526D80" w:rsidP="00790F44">
      <w:pPr>
        <w:pStyle w:val="ATHeading2"/>
      </w:pPr>
      <w:r w:rsidRPr="00526D80">
        <w:t>Nová strategie pro mediální gramotnost a digitální učení</w:t>
      </w:r>
    </w:p>
    <w:p w14:paraId="29442BDA" w14:textId="77777777" w:rsidR="00790F44" w:rsidRPr="00677227" w:rsidRDefault="00790F44" w:rsidP="00790F44">
      <w:pPr>
        <w:rPr>
          <w:i/>
          <w:vanish/>
        </w:rPr>
      </w:pPr>
      <w:r w:rsidRPr="00677227">
        <w:rPr>
          <w:i/>
        </w:rPr>
        <w:fldChar w:fldCharType="begin"/>
      </w:r>
      <w:r w:rsidRPr="00677227">
        <w:rPr>
          <w:i/>
        </w:rPr>
        <w:instrText xml:space="preserve"> TC"(</w:instrText>
      </w:r>
      <w:bookmarkStart w:id="1" w:name="DocNumber"/>
      <w:r w:rsidRPr="00677227">
        <w:rPr>
          <w:i/>
        </w:rPr>
        <w:instrText>A10-0173/2026</w:instrText>
      </w:r>
      <w:bookmarkEnd w:id="1"/>
      <w:r w:rsidRPr="00677227">
        <w:rPr>
          <w:i/>
        </w:rPr>
        <w:instrText xml:space="preserve"> - Zpravodaj: Marcos Ros </w:instrText>
      </w:r>
      <w:proofErr w:type="spellStart"/>
      <w:r w:rsidRPr="00677227">
        <w:rPr>
          <w:i/>
        </w:rPr>
        <w:instrText>Sempere</w:instrText>
      </w:r>
      <w:proofErr w:type="spellEnd"/>
      <w:r w:rsidRPr="00677227">
        <w:rPr>
          <w:i/>
        </w:rPr>
        <w:instrText xml:space="preserve">)"\l3 \n&gt; \* MERGEFORMAT </w:instrText>
      </w:r>
      <w:r w:rsidRPr="00677227">
        <w:rPr>
          <w:i/>
        </w:rPr>
        <w:fldChar w:fldCharType="end"/>
      </w:r>
    </w:p>
    <w:p w14:paraId="3B5A622D" w14:textId="77777777" w:rsidR="00790F44" w:rsidRPr="00677227" w:rsidRDefault="00790F44" w:rsidP="00790F44">
      <w:pPr>
        <w:rPr>
          <w:vanish/>
        </w:rPr>
      </w:pPr>
      <w:bookmarkStart w:id="2" w:name="Commission"/>
      <w:r w:rsidRPr="00677227">
        <w:rPr>
          <w:vanish/>
        </w:rPr>
        <w:t>Výbor pro kulturu a vzdělávání</w:t>
      </w:r>
      <w:bookmarkEnd w:id="2"/>
    </w:p>
    <w:p w14:paraId="65B4C1AE" w14:textId="77777777" w:rsidR="00790F44" w:rsidRPr="00677227" w:rsidRDefault="00790F44" w:rsidP="00790F44">
      <w:pPr>
        <w:rPr>
          <w:vanish/>
        </w:rPr>
      </w:pPr>
      <w:bookmarkStart w:id="3" w:name="PE"/>
      <w:r w:rsidRPr="00677227">
        <w:rPr>
          <w:vanish/>
        </w:rPr>
        <w:t>PE784.483</w:t>
      </w:r>
      <w:bookmarkEnd w:id="3"/>
    </w:p>
    <w:p w14:paraId="5FB10C92" w14:textId="616AA30E" w:rsidR="00790F44" w:rsidRPr="00677227" w:rsidRDefault="00790F44" w:rsidP="00790F44">
      <w:pPr>
        <w:pStyle w:val="ATHeading3"/>
      </w:pPr>
      <w:bookmarkStart w:id="4" w:name="Sujet"/>
      <w:r w:rsidRPr="00677227">
        <w:t>Usnesení Evropského parlamentu ze dne</w:t>
      </w:r>
      <w:r w:rsidR="00526D80">
        <w:t xml:space="preserve"> </w:t>
      </w:r>
      <w:r w:rsidR="00634B0C">
        <w:t>7</w:t>
      </w:r>
      <w:r w:rsidR="00526D80">
        <w:t>. července</w:t>
      </w:r>
      <w:r w:rsidRPr="00677227">
        <w:t xml:space="preserve"> 2026 o nové strategii pro mediální gramotnost a digitální učení</w:t>
      </w:r>
      <w:bookmarkEnd w:id="4"/>
      <w:r w:rsidRPr="00677227">
        <w:t xml:space="preserve"> </w:t>
      </w:r>
      <w:bookmarkStart w:id="5" w:name="References"/>
      <w:r w:rsidRPr="00677227">
        <w:t>(2025/2181(INI))</w:t>
      </w:r>
      <w:bookmarkEnd w:id="5"/>
    </w:p>
    <w:p w14:paraId="4E74DC18" w14:textId="77777777" w:rsidR="00861357" w:rsidRPr="00677227" w:rsidRDefault="00861357" w:rsidP="00861357">
      <w:pPr>
        <w:pStyle w:val="Normal12"/>
      </w:pPr>
      <w:r w:rsidRPr="00677227">
        <w:rPr>
          <w:i/>
        </w:rPr>
        <w:t>Evropský parlament</w:t>
      </w:r>
      <w:r w:rsidRPr="00677227">
        <w:t>,</w:t>
      </w:r>
    </w:p>
    <w:p w14:paraId="742C6D51" w14:textId="57BAA754" w:rsidR="00861357" w:rsidRPr="00677227" w:rsidRDefault="00861357" w:rsidP="00861357">
      <w:pPr>
        <w:pStyle w:val="NormalHanging"/>
      </w:pPr>
      <w:r w:rsidRPr="00677227">
        <w:t>–</w:t>
      </w:r>
      <w:r w:rsidRPr="00677227">
        <w:tab/>
        <w:t>s ohledem na směrnici Evropského parlamentu a Rady (EU) 2018/1808 ze dne 14. listopadu 2018, kterou se mění směrnice 2010/13/EU o koordinaci některých právních a správních předpisů členských států upravujících poskytování audiovizuálních mediálních služeb (směrnice o audiovizuálních mediálních službách) s ohledem na měnící se situaci na trhu</w:t>
      </w:r>
      <w:r w:rsidR="00634B0C">
        <w:rPr>
          <w:rStyle w:val="FootnoteReference"/>
        </w:rPr>
        <w:footnoteReference w:id="1"/>
      </w:r>
      <w:r w:rsidRPr="00677227">
        <w:t>,</w:t>
      </w:r>
    </w:p>
    <w:p w14:paraId="676AAC24" w14:textId="77777777" w:rsidR="00861357" w:rsidRPr="00677227" w:rsidRDefault="00861357" w:rsidP="00861357">
      <w:pPr>
        <w:pStyle w:val="NormalHanging12a"/>
      </w:pPr>
      <w:r w:rsidRPr="00677227">
        <w:t>–</w:t>
      </w:r>
      <w:r w:rsidRPr="00677227">
        <w:tab/>
        <w:t>s ohledem na nařízení Evropského parlamentu a Rady (EU) 2024/1083 ze dne 11. dubna 2024, kterým se stanoví společný rámec pro mediální služby na vnitřním trhu a mění směrnice 2010/13/EU (evropský akt o svobodě médií)</w:t>
      </w:r>
      <w:r w:rsidRPr="00677227">
        <w:rPr>
          <w:rStyle w:val="FootnoteReference"/>
        </w:rPr>
        <w:footnoteReference w:id="2"/>
      </w:r>
      <w:r w:rsidRPr="00677227">
        <w:t>,</w:t>
      </w:r>
    </w:p>
    <w:p w14:paraId="025ADAB1" w14:textId="77777777" w:rsidR="00861357" w:rsidRPr="00677227" w:rsidRDefault="00861357" w:rsidP="00861357">
      <w:pPr>
        <w:pStyle w:val="NormalHanging12a"/>
      </w:pPr>
      <w:r w:rsidRPr="00677227">
        <w:t>–</w:t>
      </w:r>
      <w:r w:rsidRPr="00677227">
        <w:tab/>
        <w:t>s ohledem na nařízení Evropského parlamentu a Rady (EU) 2022/2065 ze dne 19. října 2022 o jednotném trhu digitálních služeb a o změně směrnice 2000/31/ES (nařízení o digitálních službách)</w:t>
      </w:r>
      <w:r w:rsidRPr="00677227">
        <w:rPr>
          <w:vertAlign w:val="superscript"/>
        </w:rPr>
        <w:footnoteReference w:id="3"/>
      </w:r>
      <w:r w:rsidRPr="00677227">
        <w:t>,</w:t>
      </w:r>
    </w:p>
    <w:p w14:paraId="72846435" w14:textId="77777777" w:rsidR="00861357" w:rsidRPr="00677227" w:rsidRDefault="00861357" w:rsidP="00861357">
      <w:pPr>
        <w:pStyle w:val="NormalHanging12a"/>
        <w:rPr>
          <w:b/>
          <w:i/>
        </w:rPr>
      </w:pPr>
      <w:r w:rsidRPr="00677227">
        <w:rPr>
          <w:b/>
          <w:i/>
        </w:rPr>
        <w:t>–</w:t>
      </w:r>
      <w:r w:rsidRPr="00677227">
        <w:rPr>
          <w:i/>
        </w:rPr>
        <w:tab/>
      </w:r>
      <w:r w:rsidRPr="00677227">
        <w:t>s ohledem na nařízení Evropského parlamentu a Rady (EU) 2024/1689 ze dne 13. června 2024, kterým se stanoví harmonizovaná pravidla pro umělou inteligenci a mění nařízení (ES) č. 300/2008, (EU) č. 167/2013, (EU) č. 168/2013, (EU) 2018/858, (EU) 2018/1139 a (EU) 2019/2144 a směrnice 2014/90/EU, (EU) 2016/797 a (EU) 2020/1828 (akt o umělé inteligenci)</w:t>
      </w:r>
      <w:r w:rsidRPr="00677227">
        <w:rPr>
          <w:rStyle w:val="FootnoteReference"/>
          <w:bCs/>
          <w:iCs/>
        </w:rPr>
        <w:footnoteReference w:id="4"/>
      </w:r>
      <w:r w:rsidRPr="00677227">
        <w:t>,</w:t>
      </w:r>
    </w:p>
    <w:p w14:paraId="5C053007" w14:textId="77777777" w:rsidR="00861357" w:rsidRPr="00677227" w:rsidRDefault="00861357" w:rsidP="00861357">
      <w:pPr>
        <w:pStyle w:val="NormalHanging12a"/>
        <w:rPr>
          <w:b/>
          <w:i/>
        </w:rPr>
      </w:pPr>
      <w:r w:rsidRPr="00677227">
        <w:rPr>
          <w:b/>
          <w:i/>
        </w:rPr>
        <w:t>–</w:t>
      </w:r>
      <w:r w:rsidRPr="00677227">
        <w:rPr>
          <w:b/>
          <w:i/>
        </w:rPr>
        <w:tab/>
      </w:r>
      <w:r w:rsidRPr="00677227">
        <w:t>s ohledem na své usnesení ze dne 25. března 2021 o utváření politiky digitálního vzdělávání</w:t>
      </w:r>
      <w:r w:rsidRPr="00677227">
        <w:rPr>
          <w:rStyle w:val="FootnoteReference"/>
          <w:bCs/>
          <w:iCs/>
        </w:rPr>
        <w:footnoteReference w:id="5"/>
      </w:r>
      <w:r w:rsidRPr="00677227">
        <w:t>,</w:t>
      </w:r>
    </w:p>
    <w:p w14:paraId="4E10672A" w14:textId="77777777" w:rsidR="00861357" w:rsidRPr="00677227" w:rsidRDefault="00861357" w:rsidP="00861357">
      <w:pPr>
        <w:pStyle w:val="NormalHanging"/>
      </w:pPr>
      <w:r w:rsidRPr="00677227">
        <w:lastRenderedPageBreak/>
        <w:t>–</w:t>
      </w:r>
      <w:r w:rsidRPr="00677227">
        <w:tab/>
        <w:t>s ohledem na sdělení Komise ze dne 11. května 2022 nazvané „Digitální dekáda pro děti a mládež: nová Evropská strategie pro lepší internet pro děti (BIK+)“ (</w:t>
      </w:r>
      <w:proofErr w:type="gramStart"/>
      <w:r w:rsidRPr="00677227">
        <w:t>COM(</w:t>
      </w:r>
      <w:proofErr w:type="gramEnd"/>
      <w:r w:rsidRPr="00677227">
        <w:t>2022)0212),</w:t>
      </w:r>
    </w:p>
    <w:p w14:paraId="6652A24D" w14:textId="77777777" w:rsidR="00861357" w:rsidRPr="00677227" w:rsidRDefault="00861357" w:rsidP="00861357">
      <w:pPr>
        <w:pStyle w:val="NormalHanging12a"/>
      </w:pPr>
      <w:r w:rsidRPr="00677227">
        <w:t>–</w:t>
      </w:r>
      <w:r w:rsidRPr="00677227">
        <w:tab/>
        <w:t>s ohledem na společné sdělení Komise a vysoké představitelky Unie pro zahraniční věci a bezpečnostní politiku ze dne 12. listopadu 2025 nazvané „Evropský štít pro demokracii: podpora silných a odolných demokracií“ (</w:t>
      </w:r>
      <w:proofErr w:type="gramStart"/>
      <w:r w:rsidRPr="00677227">
        <w:t>JOIN(</w:t>
      </w:r>
      <w:proofErr w:type="gramEnd"/>
      <w:r w:rsidRPr="00677227">
        <w:t>2025)0791),</w:t>
      </w:r>
    </w:p>
    <w:p w14:paraId="0B296155" w14:textId="77777777" w:rsidR="00861357" w:rsidRPr="00677227" w:rsidRDefault="00861357" w:rsidP="00861357">
      <w:pPr>
        <w:pStyle w:val="NormalHanging"/>
      </w:pPr>
      <w:r w:rsidRPr="00677227">
        <w:t>–</w:t>
      </w:r>
      <w:r w:rsidRPr="00677227">
        <w:tab/>
        <w:t>s ohledem na sdělení Komise ze dne 5. března 2025 „Akční plán pro základní dovednosti“ (</w:t>
      </w:r>
      <w:proofErr w:type="gramStart"/>
      <w:r w:rsidRPr="00677227">
        <w:t>COM(</w:t>
      </w:r>
      <w:proofErr w:type="gramEnd"/>
      <w:r w:rsidRPr="00677227">
        <w:t>2025)0088),</w:t>
      </w:r>
    </w:p>
    <w:p w14:paraId="4D87A8EF" w14:textId="77777777" w:rsidR="00861357" w:rsidRPr="00677227" w:rsidRDefault="00861357" w:rsidP="00861357">
      <w:pPr>
        <w:pStyle w:val="NormalHanging12a"/>
        <w:rPr>
          <w:b/>
          <w:i/>
        </w:rPr>
      </w:pPr>
      <w:r w:rsidRPr="00677227">
        <w:rPr>
          <w:b/>
          <w:i/>
        </w:rPr>
        <w:t>–</w:t>
      </w:r>
      <w:r w:rsidRPr="00677227">
        <w:rPr>
          <w:b/>
          <w:i/>
        </w:rPr>
        <w:tab/>
      </w:r>
      <w:r w:rsidRPr="00677227">
        <w:t>s ohledem na sdělení Komise ze dne 3. prosince 2020 „Evropská média v digitální dekádě – Akční plán na podporu oživení a transformace“ (</w:t>
      </w:r>
      <w:proofErr w:type="gramStart"/>
      <w:r w:rsidRPr="00677227">
        <w:t>COM(</w:t>
      </w:r>
      <w:proofErr w:type="gramEnd"/>
      <w:r w:rsidRPr="00677227">
        <w:t>2020)0784),</w:t>
      </w:r>
    </w:p>
    <w:p w14:paraId="6868B55C" w14:textId="77777777" w:rsidR="00861357" w:rsidRPr="00677227" w:rsidRDefault="00861357" w:rsidP="00861357">
      <w:pPr>
        <w:pStyle w:val="NormalHanging"/>
      </w:pPr>
      <w:r w:rsidRPr="00677227">
        <w:rPr>
          <w:b/>
          <w:i/>
        </w:rPr>
        <w:t>–</w:t>
      </w:r>
      <w:r w:rsidRPr="00677227">
        <w:rPr>
          <w:b/>
          <w:i/>
        </w:rPr>
        <w:tab/>
      </w:r>
      <w:r w:rsidRPr="00677227">
        <w:t>s ohledem na sdělení Komise ze dne 10. února 2026 nazvané „Akční plán proti kybernetické šikaně – Společně v zájmu bezpečnějšího internetu“ (</w:t>
      </w:r>
      <w:proofErr w:type="gramStart"/>
      <w:r w:rsidRPr="00677227">
        <w:t>COM(</w:t>
      </w:r>
      <w:proofErr w:type="gramEnd"/>
      <w:r w:rsidRPr="00677227">
        <w:t>2026)0071),</w:t>
      </w:r>
    </w:p>
    <w:p w14:paraId="140270C7" w14:textId="77777777" w:rsidR="00861357" w:rsidRPr="00677227" w:rsidRDefault="00861357" w:rsidP="00861357">
      <w:pPr>
        <w:pStyle w:val="NormalHanging12a"/>
        <w:rPr>
          <w:b/>
          <w:i/>
        </w:rPr>
      </w:pPr>
      <w:r w:rsidRPr="00677227">
        <w:rPr>
          <w:b/>
          <w:i/>
        </w:rPr>
        <w:t>–</w:t>
      </w:r>
      <w:r w:rsidRPr="00677227">
        <w:rPr>
          <w:b/>
          <w:i/>
        </w:rPr>
        <w:tab/>
      </w:r>
      <w:r w:rsidRPr="00677227">
        <w:t>s ohledem na sdělení Komise ze dne 5. března 2026 nazvané „Strategie pro mezigenerační spravedlnost“ (</w:t>
      </w:r>
      <w:proofErr w:type="gramStart"/>
      <w:r w:rsidRPr="00677227">
        <w:t>COM(</w:t>
      </w:r>
      <w:proofErr w:type="gramEnd"/>
      <w:r w:rsidRPr="00677227">
        <w:t>2026)0110),</w:t>
      </w:r>
    </w:p>
    <w:p w14:paraId="3CAD3A6A" w14:textId="77777777" w:rsidR="00861357" w:rsidRPr="00677227" w:rsidRDefault="00861357" w:rsidP="00861357">
      <w:pPr>
        <w:pStyle w:val="NormalHanging"/>
      </w:pPr>
      <w:r w:rsidRPr="00677227">
        <w:rPr>
          <w:b/>
          <w:i/>
        </w:rPr>
        <w:t>–</w:t>
      </w:r>
      <w:r w:rsidRPr="00677227">
        <w:rPr>
          <w:b/>
          <w:i/>
        </w:rPr>
        <w:tab/>
      </w:r>
      <w:r w:rsidRPr="00677227">
        <w:t>s ohledem na své usnesení ze dne 26. listopadu 2025 o ochraně nezletilých osob na internetu</w:t>
      </w:r>
      <w:r w:rsidRPr="00677227">
        <w:rPr>
          <w:rStyle w:val="FootnoteReference"/>
        </w:rPr>
        <w:footnoteReference w:id="6"/>
      </w:r>
      <w:r w:rsidRPr="00677227">
        <w:t>,</w:t>
      </w:r>
    </w:p>
    <w:p w14:paraId="5CA6D038" w14:textId="77777777" w:rsidR="00861357" w:rsidRPr="00677227" w:rsidRDefault="00861357" w:rsidP="00861357">
      <w:pPr>
        <w:pStyle w:val="NormalHanging12a"/>
        <w:rPr>
          <w:bCs/>
          <w:iCs/>
        </w:rPr>
      </w:pPr>
      <w:r w:rsidRPr="00677227">
        <w:rPr>
          <w:b/>
          <w:i/>
        </w:rPr>
        <w:t>–</w:t>
      </w:r>
      <w:r w:rsidRPr="00677227">
        <w:tab/>
        <w:t>s ohledem na Pakt OSN pro budoucnost ze dne 22. září 2024,</w:t>
      </w:r>
    </w:p>
    <w:p w14:paraId="068EDAC6" w14:textId="77777777" w:rsidR="00861357" w:rsidRPr="00677227" w:rsidRDefault="00861357" w:rsidP="00861357">
      <w:pPr>
        <w:pStyle w:val="NormalHanging"/>
      </w:pPr>
      <w:r w:rsidRPr="00677227">
        <w:rPr>
          <w:b/>
          <w:i/>
        </w:rPr>
        <w:t>–</w:t>
      </w:r>
      <w:r w:rsidRPr="00677227">
        <w:rPr>
          <w:b/>
          <w:i/>
        </w:rPr>
        <w:tab/>
      </w:r>
      <w:r w:rsidRPr="00677227">
        <w:t>s ohledem na usnesení Rady Evropské unie a zástupců vlád členských států zasedajících v Radě o rámci evropské spolupráce v oblasti mládeže nazvané „Strategie Evropské unie pro mládež na období let 2019–2027“</w:t>
      </w:r>
      <w:r w:rsidRPr="00677227">
        <w:rPr>
          <w:rStyle w:val="FootnoteReference"/>
        </w:rPr>
        <w:footnoteReference w:id="7"/>
      </w:r>
      <w:r w:rsidRPr="00677227">
        <w:t>,</w:t>
      </w:r>
    </w:p>
    <w:p w14:paraId="316B9D05" w14:textId="77777777" w:rsidR="00861357" w:rsidRPr="00677227" w:rsidRDefault="00861357" w:rsidP="00861357">
      <w:pPr>
        <w:pStyle w:val="NormalHanging12a"/>
        <w:rPr>
          <w:b/>
          <w:i/>
        </w:rPr>
      </w:pPr>
      <w:r w:rsidRPr="00677227">
        <w:rPr>
          <w:b/>
          <w:i/>
        </w:rPr>
        <w:t>–</w:t>
      </w:r>
      <w:r w:rsidRPr="00677227">
        <w:rPr>
          <w:b/>
          <w:i/>
        </w:rPr>
        <w:tab/>
      </w:r>
      <w:r w:rsidRPr="00677227">
        <w:t>s ohledem na publikaci Komise „Pokyny pro etické využívání umělé inteligence a dat ve výuce a vzdělávání pro pedagogy“ zveřejněné v roce 2026,</w:t>
      </w:r>
    </w:p>
    <w:p w14:paraId="0873A069" w14:textId="77777777" w:rsidR="00861357" w:rsidRPr="00677227" w:rsidRDefault="00861357" w:rsidP="00861357">
      <w:pPr>
        <w:pStyle w:val="NormalHanging12a"/>
        <w:rPr>
          <w:b/>
          <w:i/>
        </w:rPr>
      </w:pPr>
      <w:r w:rsidRPr="00677227">
        <w:rPr>
          <w:b/>
          <w:i/>
        </w:rPr>
        <w:t>–</w:t>
      </w:r>
      <w:r w:rsidRPr="00677227">
        <w:tab/>
        <w:t>s ohledem na publikaci Komise „Pokyny pro výuku informatiky: praktická strategie pro evropské učebny“ z roku 2026,</w:t>
      </w:r>
    </w:p>
    <w:p w14:paraId="56DD9C95" w14:textId="77777777" w:rsidR="00861357" w:rsidRPr="00677227" w:rsidRDefault="00861357" w:rsidP="00861357">
      <w:pPr>
        <w:pStyle w:val="NormalHanging12a"/>
        <w:rPr>
          <w:b/>
          <w:i/>
        </w:rPr>
      </w:pPr>
      <w:r w:rsidRPr="00677227">
        <w:rPr>
          <w:b/>
          <w:i/>
        </w:rPr>
        <w:t>–</w:t>
      </w:r>
      <w:r w:rsidRPr="00677227">
        <w:rPr>
          <w:b/>
          <w:i/>
        </w:rPr>
        <w:tab/>
      </w:r>
      <w:r w:rsidRPr="00677227">
        <w:t>s ohledem na publikaci Komise „</w:t>
      </w:r>
      <w:proofErr w:type="spellStart"/>
      <w:r w:rsidRPr="00677227">
        <w:t>Wellbeing</w:t>
      </w:r>
      <w:proofErr w:type="spellEnd"/>
      <w:r w:rsidRPr="00677227">
        <w:t xml:space="preserve"> a duševní zdraví ve školách – pokyny pro tvůrce politik v oblasti vzdělávání“, které byly zveřejněny v roce 2024,</w:t>
      </w:r>
    </w:p>
    <w:p w14:paraId="0ECCE210" w14:textId="77777777" w:rsidR="00861357" w:rsidRPr="00677227" w:rsidRDefault="00861357" w:rsidP="00861357">
      <w:pPr>
        <w:pStyle w:val="NormalHanging12a"/>
        <w:rPr>
          <w:b/>
          <w:i/>
        </w:rPr>
      </w:pPr>
      <w:r w:rsidRPr="00677227">
        <w:rPr>
          <w:b/>
          <w:i/>
        </w:rPr>
        <w:t>–</w:t>
      </w:r>
      <w:r w:rsidRPr="00677227">
        <w:rPr>
          <w:b/>
          <w:i/>
        </w:rPr>
        <w:tab/>
      </w:r>
      <w:r w:rsidRPr="00677227">
        <w:t>s ohledem na publikaci Společného výzkumného střediska „Používání sociálních médií a duševní zdraví dospívajících v EU“ z roku 2025,</w:t>
      </w:r>
    </w:p>
    <w:p w14:paraId="650942CC" w14:textId="77777777" w:rsidR="00861357" w:rsidRPr="00677227" w:rsidRDefault="00861357" w:rsidP="00861357">
      <w:pPr>
        <w:pStyle w:val="NormalHanging"/>
      </w:pPr>
      <w:r w:rsidRPr="00677227">
        <w:rPr>
          <w:b/>
          <w:i/>
        </w:rPr>
        <w:t>–</w:t>
      </w:r>
      <w:r w:rsidRPr="00677227">
        <w:rPr>
          <w:b/>
          <w:i/>
        </w:rPr>
        <w:tab/>
      </w:r>
      <w:r w:rsidRPr="00677227">
        <w:t>s ohledem na zprávy organizace UNESCO, zejména na zprávu „Mediální a informační gramotnost pro všechny: jak překlenout nedostatky: globální analýza současného stavu mediální a informační gramotnosti“ zveřejněnou v roce 2025,</w:t>
      </w:r>
    </w:p>
    <w:p w14:paraId="2F5474C9" w14:textId="77777777" w:rsidR="00861357" w:rsidRPr="00677227" w:rsidRDefault="00861357" w:rsidP="00861357">
      <w:pPr>
        <w:pStyle w:val="NormalHanging12a"/>
        <w:rPr>
          <w:b/>
          <w:i/>
        </w:rPr>
      </w:pPr>
      <w:r w:rsidRPr="00677227">
        <w:rPr>
          <w:b/>
          <w:i/>
        </w:rPr>
        <w:t>–</w:t>
      </w:r>
      <w:r w:rsidRPr="00677227">
        <w:rPr>
          <w:b/>
          <w:i/>
        </w:rPr>
        <w:tab/>
      </w:r>
      <w:r w:rsidRPr="00677227">
        <w:t>s ohledem na publikaci OECD „Výsledky šetření Pisa 2022 (svazek II): Co nás naučily zavřené školy?“, která byla zveřejněna v roce 2023,</w:t>
      </w:r>
    </w:p>
    <w:p w14:paraId="56111357" w14:textId="77777777" w:rsidR="00861357" w:rsidRPr="00677227" w:rsidRDefault="00861357" w:rsidP="00861357">
      <w:pPr>
        <w:pStyle w:val="NormalHanging12a"/>
        <w:rPr>
          <w:b/>
          <w:i/>
        </w:rPr>
      </w:pPr>
      <w:r w:rsidRPr="00677227">
        <w:rPr>
          <w:b/>
          <w:i/>
        </w:rPr>
        <w:lastRenderedPageBreak/>
        <w:t>–</w:t>
      </w:r>
      <w:r w:rsidRPr="00677227">
        <w:rPr>
          <w:b/>
          <w:i/>
        </w:rPr>
        <w:tab/>
      </w:r>
      <w:r w:rsidRPr="00677227">
        <w:t>s ohledem na sdělení Komise ze dne 10. října 2025 „Pokyny k opatřením pro zajištění vysoké míry soukromí, bezpečnosti a ochrany nezletilých osob na internetu v souladu s čl. 28 odst. 4 nařízení (EU) 2022/2065“</w:t>
      </w:r>
      <w:r w:rsidRPr="00677227">
        <w:rPr>
          <w:rStyle w:val="FootnoteReference"/>
          <w:bCs/>
          <w:iCs/>
        </w:rPr>
        <w:footnoteReference w:id="8"/>
      </w:r>
      <w:r w:rsidRPr="00677227">
        <w:t>,</w:t>
      </w:r>
    </w:p>
    <w:p w14:paraId="681FE604" w14:textId="77777777" w:rsidR="00861357" w:rsidRPr="00677227" w:rsidRDefault="00861357" w:rsidP="00861357">
      <w:pPr>
        <w:pStyle w:val="NormalHanging12a"/>
        <w:rPr>
          <w:b/>
          <w:i/>
        </w:rPr>
      </w:pPr>
      <w:r w:rsidRPr="00677227">
        <w:rPr>
          <w:b/>
          <w:i/>
        </w:rPr>
        <w:t>–</w:t>
      </w:r>
      <w:r w:rsidRPr="00677227">
        <w:tab/>
        <w:t>s ohledem na Úmluvu OSN o právech dítěte ze dne 20. listopadu 1989 a obecnou připomínku č. 25 k této úmluvě z roku 2021 týkající se práv dětí v souvislosti s digitálním prostředím,</w:t>
      </w:r>
    </w:p>
    <w:p w14:paraId="2AC8197F" w14:textId="77777777" w:rsidR="00861357" w:rsidRPr="00677227" w:rsidRDefault="00861357" w:rsidP="00861357">
      <w:pPr>
        <w:pStyle w:val="NormalHanging12a"/>
        <w:rPr>
          <w:b/>
          <w:i/>
        </w:rPr>
      </w:pPr>
      <w:r w:rsidRPr="00677227">
        <w:rPr>
          <w:b/>
          <w:i/>
        </w:rPr>
        <w:t>–</w:t>
      </w:r>
      <w:r w:rsidRPr="00677227">
        <w:rPr>
          <w:b/>
          <w:i/>
        </w:rPr>
        <w:tab/>
      </w:r>
      <w:r w:rsidRPr="00677227">
        <w:t>s ohledem na publikaci OECD nazvanou „Doporučení Rady týkající se dětí v digitálním prostředí“, která byla zveřejněna v roce 2025,</w:t>
      </w:r>
    </w:p>
    <w:p w14:paraId="5986E225" w14:textId="77777777" w:rsidR="00861357" w:rsidRPr="00677227" w:rsidRDefault="00861357" w:rsidP="00861357">
      <w:pPr>
        <w:pStyle w:val="NormalHanging12a"/>
        <w:rPr>
          <w:b/>
          <w:i/>
        </w:rPr>
      </w:pPr>
      <w:r w:rsidRPr="00677227">
        <w:rPr>
          <w:b/>
          <w:i/>
        </w:rPr>
        <w:t>–</w:t>
      </w:r>
      <w:r w:rsidRPr="00677227">
        <w:rPr>
          <w:b/>
          <w:i/>
        </w:rPr>
        <w:tab/>
      </w:r>
      <w:r w:rsidRPr="00677227">
        <w:t>s ohledem na pokyny Rady Evropy týkající se dodržování, ochrany a naplňování práv dítěte v digitálním prostředí, které byly zveřejněny v roce 2018,</w:t>
      </w:r>
    </w:p>
    <w:p w14:paraId="269E8A72" w14:textId="77777777" w:rsidR="00861357" w:rsidRPr="00677227" w:rsidRDefault="00861357" w:rsidP="00861357">
      <w:pPr>
        <w:pStyle w:val="NormalHanging12a"/>
        <w:rPr>
          <w:b/>
          <w:i/>
        </w:rPr>
      </w:pPr>
      <w:r w:rsidRPr="00677227">
        <w:rPr>
          <w:b/>
          <w:i/>
        </w:rPr>
        <w:t>–</w:t>
      </w:r>
      <w:r w:rsidRPr="00677227">
        <w:rPr>
          <w:b/>
          <w:i/>
        </w:rPr>
        <w:tab/>
      </w:r>
      <w:r w:rsidRPr="00677227">
        <w:t xml:space="preserve">s ohledem na zprávu Rady Evropy „Mediální gramotnost pro všechny: Podpora </w:t>
      </w:r>
      <w:proofErr w:type="spellStart"/>
      <w:r w:rsidRPr="00677227">
        <w:t>marginalizovaných</w:t>
      </w:r>
      <w:proofErr w:type="spellEnd"/>
      <w:r w:rsidRPr="00677227">
        <w:t xml:space="preserve"> skupin prostřednictvím komunitních médií“ z roku 2020,</w:t>
      </w:r>
    </w:p>
    <w:p w14:paraId="2B320B8F" w14:textId="77777777" w:rsidR="00861357" w:rsidRPr="00677227" w:rsidRDefault="00861357" w:rsidP="00861357">
      <w:pPr>
        <w:pStyle w:val="NormalHanging12a"/>
        <w:rPr>
          <w:b/>
          <w:i/>
        </w:rPr>
      </w:pPr>
      <w:r w:rsidRPr="00677227">
        <w:rPr>
          <w:b/>
          <w:i/>
        </w:rPr>
        <w:t>–</w:t>
      </w:r>
      <w:r w:rsidRPr="00677227">
        <w:rPr>
          <w:b/>
          <w:i/>
        </w:rPr>
        <w:tab/>
      </w:r>
      <w:r w:rsidRPr="00677227">
        <w:t>s ohledem na tematický dokument Řídícího výboru Rady Evropy pro média a informační společnost (CDMSI) „Národní strategie mediální a informační gramotnosti: Praktické kroky a ukazatele“ přijatý v prosinci 2025,</w:t>
      </w:r>
    </w:p>
    <w:p w14:paraId="39F2461D" w14:textId="77777777" w:rsidR="00861357" w:rsidRPr="00677227" w:rsidRDefault="00861357" w:rsidP="00861357">
      <w:pPr>
        <w:pStyle w:val="NormalHanging"/>
      </w:pPr>
      <w:r w:rsidRPr="00677227">
        <w:rPr>
          <w:b/>
          <w:i/>
        </w:rPr>
        <w:t>–</w:t>
      </w:r>
      <w:r w:rsidRPr="00677227">
        <w:rPr>
          <w:b/>
          <w:i/>
        </w:rPr>
        <w:tab/>
      </w:r>
      <w:r w:rsidRPr="00677227">
        <w:t>s ohledem na článek 55 jednacího řádu,</w:t>
      </w:r>
    </w:p>
    <w:p w14:paraId="1E78A639" w14:textId="77777777" w:rsidR="00861357" w:rsidRPr="00677227" w:rsidRDefault="00861357" w:rsidP="00861357">
      <w:pPr>
        <w:pStyle w:val="NormalHanging"/>
      </w:pPr>
      <w:r w:rsidRPr="00677227">
        <w:t>–</w:t>
      </w:r>
      <w:r w:rsidRPr="00677227">
        <w:tab/>
        <w:t>s ohledem na zprávu Výboru pro kulturu a vzdělávání (A10-0173/2026),</w:t>
      </w:r>
    </w:p>
    <w:p w14:paraId="158D8A76" w14:textId="77777777" w:rsidR="00861357" w:rsidRPr="00677227" w:rsidRDefault="00861357" w:rsidP="00861357">
      <w:pPr>
        <w:pStyle w:val="NormalHanging12a"/>
        <w:rPr>
          <w:b/>
          <w:i/>
        </w:rPr>
      </w:pPr>
      <w:r w:rsidRPr="00677227">
        <w:t>A.</w:t>
      </w:r>
      <w:r w:rsidRPr="00677227">
        <w:rPr>
          <w:b/>
          <w:i/>
        </w:rPr>
        <w:tab/>
      </w:r>
      <w:r w:rsidRPr="00677227">
        <w:t>vzhledem k tomu, že mediální gramotnost a digitální učení mají zásadní význam pro to, aby občané získali kritické dovednosti nezbytné k autonomnímu a odpovědnému posuzování, ověřování, vytváření a sdílení informací a mediálního obsahu na tradičních a online platformách a k přijímání informovaných rozhodnutí v neustále se vyvíjejícím informačním prostředí; vzhledem k tomu, že tyto dovednosti posilují občanskou angažovanost, sociální začleňování a demokratickou odolnost;</w:t>
      </w:r>
    </w:p>
    <w:p w14:paraId="72059BB8" w14:textId="77777777" w:rsidR="00861357" w:rsidRPr="00677227" w:rsidRDefault="00861357" w:rsidP="00861357">
      <w:pPr>
        <w:pStyle w:val="NormalHanging12a"/>
      </w:pPr>
      <w:r w:rsidRPr="00677227">
        <w:t>B.</w:t>
      </w:r>
      <w:r w:rsidRPr="00677227">
        <w:tab/>
        <w:t xml:space="preserve">vzhledem k tomu, že mediální gramotnost a digitální učení poskytují základní dovednosti v moderní společnosti a mají zásadní význam v boji proti šíření dezinformací, poklesu důvěry v média a dopadu online platforem, nových mediálních aktérů, jako jsou </w:t>
      </w:r>
      <w:proofErr w:type="spellStart"/>
      <w:r w:rsidRPr="00677227">
        <w:t>influenceři</w:t>
      </w:r>
      <w:proofErr w:type="spellEnd"/>
      <w:r w:rsidRPr="00677227">
        <w:t xml:space="preserve"> a tvůrci obsahu, a umělé inteligence; vzhledem k tomu, že mediální gramotnost a digitální učení mají klíčový význam v kontextu změněných vzorců konzumování informací, které se opírají o „kulturu </w:t>
      </w:r>
      <w:proofErr w:type="spellStart"/>
      <w:r w:rsidRPr="00677227">
        <w:t>scrollování</w:t>
      </w:r>
      <w:proofErr w:type="spellEnd"/>
      <w:r w:rsidRPr="00677227">
        <w:t>“;</w:t>
      </w:r>
    </w:p>
    <w:p w14:paraId="5C33CD4A" w14:textId="77777777" w:rsidR="00861357" w:rsidRPr="00677227" w:rsidRDefault="00861357" w:rsidP="00861357">
      <w:pPr>
        <w:pStyle w:val="NormalHanging12a"/>
      </w:pPr>
      <w:r w:rsidRPr="00677227">
        <w:t>C.</w:t>
      </w:r>
      <w:r w:rsidRPr="00677227">
        <w:tab/>
        <w:t>vzhledem k tomu, že mediální gramotnost a digitální učení jsou nezbytné pro zajištění pohody uživatelů v digitálním prostředí;</w:t>
      </w:r>
    </w:p>
    <w:p w14:paraId="4A577C01" w14:textId="77777777" w:rsidR="00861357" w:rsidRPr="00677227" w:rsidRDefault="00861357" w:rsidP="00861357">
      <w:pPr>
        <w:pStyle w:val="NormalHanging12a"/>
      </w:pPr>
      <w:r w:rsidRPr="00677227">
        <w:t>D.</w:t>
      </w:r>
      <w:r w:rsidRPr="00677227">
        <w:tab/>
        <w:t xml:space="preserve">vzhledem k tomu, že se výrazně proměňuje přístup k médiím a digitálnímu obsahu, když uživatelé, zejména nezletilí a mladí lidé, na platformách sociálních médií stále častěji volí obsah uzpůsobený na míru, podrobně sledují činnost </w:t>
      </w:r>
      <w:proofErr w:type="spellStart"/>
      <w:r w:rsidRPr="00677227">
        <w:t>influencerů</w:t>
      </w:r>
      <w:proofErr w:type="spellEnd"/>
      <w:r w:rsidRPr="00677227">
        <w:t xml:space="preserve">, ve velkém měřítku následují algoritmická doporučení a jejich pozornost je mnohem roztříštěnější než při používání tradičních médií; vzhledem k tomu, že sociální média mohou rychle uzpůsobovat své kanály jednotlivým uživatelům a vystavit je, zejména pokud jde </w:t>
      </w:r>
      <w:r w:rsidRPr="00677227">
        <w:lastRenderedPageBreak/>
        <w:t>o nezletilé, starší a jinak zranitelné osoby, riziku amplifikace škodlivého obsahu nebo uvěznění uživatelů v informačních bublinách;</w:t>
      </w:r>
    </w:p>
    <w:p w14:paraId="193D1053" w14:textId="77777777" w:rsidR="00861357" w:rsidRPr="00677227" w:rsidRDefault="00861357" w:rsidP="00861357">
      <w:pPr>
        <w:pStyle w:val="NormalHanging12a"/>
        <w:rPr>
          <w:bCs/>
          <w:iCs/>
        </w:rPr>
      </w:pPr>
      <w:r w:rsidRPr="00677227">
        <w:t>E.</w:t>
      </w:r>
      <w:r w:rsidRPr="00677227">
        <w:tab/>
        <w:t>vzhledem k tomu, že některé koncepční prvky digitálních platforem, včetně systémů algoritmických doporučení, mohou ovlivnit výběr a viditelnost obsahu a mohou přispívat k ohrožení pohody uživatelů a jejich vystavení škodlivému obsahu;</w:t>
      </w:r>
    </w:p>
    <w:p w14:paraId="56A81173" w14:textId="77777777" w:rsidR="00861357" w:rsidRPr="00677227" w:rsidRDefault="00861357" w:rsidP="00861357">
      <w:pPr>
        <w:pStyle w:val="NormalHanging12a"/>
      </w:pPr>
      <w:r w:rsidRPr="00677227">
        <w:t>F.</w:t>
      </w:r>
      <w:r w:rsidRPr="00677227">
        <w:tab/>
        <w:t>vzhledem k tomu, že v současné geopolitické situaci by lidé v EU měli disponovat širokou škálou kognitivních, technických a sociálních dovedností, aby mohli mediální obsah volit efektivně a analyzovat jej, a zůstali tak odolní vůči případnému manipulativnímu jednání nebo hybridním útokům, jejichž cílem je destabilizovat občanský diskurs a demokratické procesy;</w:t>
      </w:r>
    </w:p>
    <w:p w14:paraId="08B245B1" w14:textId="77777777" w:rsidR="00861357" w:rsidRPr="00677227" w:rsidRDefault="00861357" w:rsidP="00861357">
      <w:pPr>
        <w:pStyle w:val="NormalHanging12a"/>
        <w:rPr>
          <w:b/>
          <w:i/>
        </w:rPr>
      </w:pPr>
      <w:r w:rsidRPr="00677227">
        <w:t>G.</w:t>
      </w:r>
      <w:r w:rsidRPr="00677227">
        <w:rPr>
          <w:b/>
          <w:i/>
        </w:rPr>
        <w:tab/>
      </w:r>
      <w:r w:rsidRPr="00677227">
        <w:t>vzhledem k tomu, že kvalitní, nezávislá a pluralitní žurnalistika je základním kamenem demokratických společností a hraje klíčovou úlohu při zlepšování mediální gramotnosti, boji proti dezinformacím a zvyšování důvěry občanů v informační ekosystém, což má pozitivní dopad na ekonomickou udržitelnost mediálního odvětví; vzhledem k tomu, že veřejnoprávní sdělovací prostředky hrají v naplňování těchto cílů klíčovou úlohu a vyžadují odpovídající a udržitelné financování;</w:t>
      </w:r>
    </w:p>
    <w:p w14:paraId="3A2853C5" w14:textId="77777777" w:rsidR="00861357" w:rsidRPr="00677227" w:rsidRDefault="00861357" w:rsidP="00861357">
      <w:pPr>
        <w:pStyle w:val="NormalHanging12a"/>
      </w:pPr>
      <w:r w:rsidRPr="00677227">
        <w:t>H.</w:t>
      </w:r>
      <w:r w:rsidRPr="00677227">
        <w:tab/>
        <w:t xml:space="preserve">vzhledem k tomu, že mediální gramotnost a digitální vzdělávání musí být považovány za nedílnou součást komplexní strategie celoživotního učení, která by měla pokrývat specifické potřeby účastníků vzdělávání a subjektů ve vzdělávacím a informačním ekosystému, včetně rodičů, pečovatelů, pedagogů, sdělovacích prostředků, novinářů, knihoven, organizací občanské společnosti a nových mediálních aktérů, jako jsou </w:t>
      </w:r>
      <w:proofErr w:type="spellStart"/>
      <w:r w:rsidRPr="00677227">
        <w:t>influenceři</w:t>
      </w:r>
      <w:proofErr w:type="spellEnd"/>
      <w:r w:rsidRPr="00677227">
        <w:t xml:space="preserve"> a tvůrci obsahu; vzhledem k tomu, že Strategie pro mezigenerační spravedlnost označuje celoživotní učení, digitální dovednosti, mediální gramotnost a aktivní účast všech věkových skupin za klíčové podmínky pro mezigenerační spravedlnost a odolnost demokratických společností;</w:t>
      </w:r>
    </w:p>
    <w:p w14:paraId="38227672" w14:textId="77777777" w:rsidR="00861357" w:rsidRPr="00677227" w:rsidRDefault="00861357" w:rsidP="00861357">
      <w:pPr>
        <w:pStyle w:val="NormalHanging12a"/>
        <w:rPr>
          <w:bCs/>
          <w:iCs/>
        </w:rPr>
      </w:pPr>
      <w:r w:rsidRPr="00677227">
        <w:t>I.</w:t>
      </w:r>
      <w:r w:rsidRPr="00677227">
        <w:tab/>
        <w:t>vzhledem k tomu, že účinná mediální gramotnost a digitální učení vyžadují rovné příležitosti v přístupu ke vzdělávání a pluralitní informační prostředí;</w:t>
      </w:r>
    </w:p>
    <w:p w14:paraId="1D26D100" w14:textId="77777777" w:rsidR="00861357" w:rsidRPr="00677227" w:rsidRDefault="00861357" w:rsidP="00861357">
      <w:pPr>
        <w:pStyle w:val="NormalHanging12a"/>
      </w:pPr>
      <w:r w:rsidRPr="00677227">
        <w:t>J.</w:t>
      </w:r>
      <w:r w:rsidRPr="00677227">
        <w:tab/>
        <w:t>vzhledem k tomu, že děti mají přístup k sociálním médiím ve stále mladším věku, přičemž 97 % mladých lidí v EU používá internet denně a pro mladé lidi ve věku 15–24 let se platformy sociálních médií stávají hlavním zdrojem informací</w:t>
      </w:r>
      <w:r w:rsidRPr="00677227">
        <w:rPr>
          <w:vertAlign w:val="superscript"/>
        </w:rPr>
        <w:footnoteReference w:id="9"/>
      </w:r>
      <w:r w:rsidRPr="00677227">
        <w:t>;</w:t>
      </w:r>
    </w:p>
    <w:p w14:paraId="752CC1D1" w14:textId="77777777" w:rsidR="00861357" w:rsidRPr="00677227" w:rsidRDefault="00861357" w:rsidP="00861357">
      <w:pPr>
        <w:pStyle w:val="NormalHanging12a"/>
      </w:pPr>
      <w:r w:rsidRPr="00677227">
        <w:t>K.</w:t>
      </w:r>
      <w:r w:rsidRPr="00677227">
        <w:tab/>
        <w:t>vzhledem k tomu, že přístupy k mediální gramotnosti a digitálnímu učení se mezi jednotlivými členskými státy EU liší, přičemž existují značné rozdíly, pokud jde o jejich začlenění do školních osnov a o míru finanční nebo administrativní podpory poskytované na související činnosti nebo programy a pokud jde o příslušné orgány nebo subjekty a spolupráci mezi nimi;</w:t>
      </w:r>
    </w:p>
    <w:p w14:paraId="51146071" w14:textId="77777777" w:rsidR="00861357" w:rsidRPr="00677227" w:rsidRDefault="00861357" w:rsidP="00861357">
      <w:pPr>
        <w:pStyle w:val="NormalHanging12a"/>
        <w:rPr>
          <w:bCs/>
          <w:iCs/>
        </w:rPr>
      </w:pPr>
      <w:r w:rsidRPr="00677227">
        <w:t>L.</w:t>
      </w:r>
      <w:r w:rsidRPr="00677227">
        <w:tab/>
        <w:t xml:space="preserve">vzhledem k tomu, že obecná připomínka č. 25 o právech dětí v souvislosti s digitálním prostředím, kterou přijal Výbor OSN pro práva dítěte v roce 2021, uvádí, že práva dítěte musí být v digitálním prostředí respektována, chráněna a naplňována a že poskytovatelé </w:t>
      </w:r>
      <w:r w:rsidRPr="00677227">
        <w:lastRenderedPageBreak/>
        <w:t>digitálních služeb musí při zpřístupňování svých produktů a služeb dětem dodržovat nejvyšší standardy etiky, soukromí a bezpečnosti a věkové přiměřenosti;</w:t>
      </w:r>
    </w:p>
    <w:p w14:paraId="15C4B016" w14:textId="77777777" w:rsidR="00861357" w:rsidRPr="00677227" w:rsidRDefault="00861357" w:rsidP="00861357">
      <w:pPr>
        <w:pStyle w:val="NormalHanging12a"/>
        <w:rPr>
          <w:bCs/>
          <w:iCs/>
        </w:rPr>
      </w:pPr>
      <w:r w:rsidRPr="00677227">
        <w:t>M.</w:t>
      </w:r>
      <w:r w:rsidRPr="00677227">
        <w:tab/>
        <w:t>vzhledem k tomu, že mediální gramotnost a dovednosti v oblasti digitálního učení by měly být rozvíjeny od útlého věku, neboť jejich začlenění do základního vzdělávání přispěje k lepší připravenosti dětí na výzvy digitálního prostředí přiměřeně jejich věku a vývoji; vzhledem k tomu, že tyto dovednosti jsou stejně důležité po celý život člověka, což vyžaduje systém celoživotního učení;</w:t>
      </w:r>
    </w:p>
    <w:p w14:paraId="35A3F816" w14:textId="77777777" w:rsidR="00861357" w:rsidRPr="00677227" w:rsidRDefault="00861357" w:rsidP="00861357">
      <w:pPr>
        <w:pStyle w:val="NormalHanging12a"/>
      </w:pPr>
      <w:r w:rsidRPr="00677227">
        <w:t>N.</w:t>
      </w:r>
      <w:r w:rsidRPr="00677227">
        <w:tab/>
        <w:t>vzhledem k tomu, že předčasné uvádění nezletilých do světa digitálních nástrojů nebo technologií dříve, než získají základní dovednosti v oblasti mediální gramotnosti a kritické myšlení pomocí analogových nástrojů, je na internetu vystavuje velkému množství digitálních rizik a újmy, jež ještě nemusí být schopni rozpoznat nebo zvládat;</w:t>
      </w:r>
    </w:p>
    <w:p w14:paraId="6E713164" w14:textId="77777777" w:rsidR="00861357" w:rsidRPr="00677227" w:rsidRDefault="00861357" w:rsidP="00861357">
      <w:pPr>
        <w:pStyle w:val="NormalHanging12a"/>
      </w:pPr>
      <w:r w:rsidRPr="00677227">
        <w:t>O.</w:t>
      </w:r>
      <w:r w:rsidRPr="00677227">
        <w:tab/>
        <w:t>vzhledem k tomu, že všechny skupiny obyvatelstva, zejména nezletilí, mladí lidé, starší lidé, osoby se zdravotním postižením a osoby ve venkovských nebo odlehlých oblastech s omezenou digitální infrastrukturou, jsou i nadále vystaveny vyššímu riziku zneužití v digitálním prostředí; vzhledem k tomu, že občané všech věkových kategorií, zejména nezletilí, jejichž kognitivní schopnosti se stále vyvíjejí, jsou vystaveni rizikům spojeným s obsahem vytvořeným umělou inteligencí a chatboty;</w:t>
      </w:r>
    </w:p>
    <w:p w14:paraId="0780BB86" w14:textId="77777777" w:rsidR="00861357" w:rsidRPr="00677227" w:rsidRDefault="00861357" w:rsidP="00861357">
      <w:pPr>
        <w:pStyle w:val="NormalHanging12a"/>
      </w:pPr>
      <w:r w:rsidRPr="00677227">
        <w:t>P.</w:t>
      </w:r>
      <w:r w:rsidRPr="00677227">
        <w:tab/>
        <w:t>vzhledem k tomu, že tvůrci politik na vnitrostátní úrovni i na úrovni EU diskutují o zavedení minimálního věku na ochranu nezletilých při používání online platforem, včetně ověřování věku a rodičovské kontroly;</w:t>
      </w:r>
    </w:p>
    <w:p w14:paraId="70A6B042" w14:textId="77777777" w:rsidR="00861357" w:rsidRPr="00677227" w:rsidRDefault="00861357" w:rsidP="00861357">
      <w:pPr>
        <w:pStyle w:val="NormalHanging12a"/>
        <w:rPr>
          <w:bCs/>
          <w:iCs/>
        </w:rPr>
      </w:pPr>
      <w:r w:rsidRPr="00677227">
        <w:t>Q.</w:t>
      </w:r>
      <w:r w:rsidRPr="00677227">
        <w:tab/>
        <w:t>vzhledem k tomu, že Komise v březnu 2026 zřídila zvláštní expertní panel pro bezpečnost dětí na internetu, jehož úkolem je vypracovat doporučení pro lepší ochranu a posílení postavení dětí v digitálním prostředí; vzhledem k tomu, že tento panel se rovněž věnuje významu mediální gramotnosti a digitálního učení dětí, rodičů a pedagogů;</w:t>
      </w:r>
    </w:p>
    <w:p w14:paraId="45C4D71A" w14:textId="77777777" w:rsidR="00861357" w:rsidRPr="00677227" w:rsidRDefault="00861357" w:rsidP="00861357">
      <w:pPr>
        <w:pStyle w:val="NormalHanging12a"/>
      </w:pPr>
      <w:r w:rsidRPr="00677227">
        <w:t>R.</w:t>
      </w:r>
      <w:r w:rsidRPr="00677227">
        <w:tab/>
        <w:t>vzhledem k tomu, že právní předpisy EU v audiovizuální a mediální oblasti definují mediální gramotnost a uznávají její význam, zejména prostřednictvím čl. 2 odst. 21 evropského aktu o svobodě médií (EMFA) a povinností v oblasti mediální gramotnosti podle směrnice o audiovizuálních mediálních službách; vzhledem k tomu, že článek 13 evropského aktu o svobodě médií pověřuje Evropský sbor pro mediální služby výměnou osvědčených postupů v oblasti mediální gramotnosti;</w:t>
      </w:r>
    </w:p>
    <w:p w14:paraId="2B7CD57E" w14:textId="77777777" w:rsidR="00861357" w:rsidRPr="00677227" w:rsidRDefault="00861357" w:rsidP="00861357">
      <w:pPr>
        <w:pStyle w:val="Normal12a"/>
        <w:rPr>
          <w:i/>
          <w:iCs/>
        </w:rPr>
      </w:pPr>
      <w:r w:rsidRPr="00677227">
        <w:rPr>
          <w:b/>
          <w:i/>
        </w:rPr>
        <w:t>Základní prvky nového přístupu k mediální gramotnosti a digitálnímu učení</w:t>
      </w:r>
    </w:p>
    <w:p w14:paraId="6F16FC77" w14:textId="77777777" w:rsidR="00861357" w:rsidRPr="00677227" w:rsidRDefault="00861357" w:rsidP="00861357">
      <w:pPr>
        <w:pStyle w:val="NormalHanging12a"/>
      </w:pPr>
      <w:r w:rsidRPr="00677227">
        <w:t>1.</w:t>
      </w:r>
      <w:r w:rsidRPr="00677227">
        <w:tab/>
        <w:t>zdůrazňuje, že přístup k mediální gramotnosti a digitálnímu učení by měl být zaměřen na budoucnost a usilovat o to, aby lidé všech věkových kategorií získali dovednosti, které jim umožní využít všech výhod digitálního prostředí, rozvinout kreativní schopnosti, těžit z různorodosti dostupných zdrojů a vyhnout se rizikům spojeným s využíváním a designem online platforem;</w:t>
      </w:r>
    </w:p>
    <w:p w14:paraId="5FE05C30" w14:textId="77777777" w:rsidR="00861357" w:rsidRPr="00677227" w:rsidRDefault="00861357" w:rsidP="00861357">
      <w:pPr>
        <w:pStyle w:val="NormalHanging12a"/>
        <w:rPr>
          <w:bCs/>
          <w:iCs/>
        </w:rPr>
      </w:pPr>
      <w:r w:rsidRPr="00677227">
        <w:t>2.</w:t>
      </w:r>
      <w:r w:rsidRPr="00677227">
        <w:tab/>
        <w:t>zdůrazňuje úlohu mediální gramotnosti při vybavování jednotlivců dovednostmi kritického myšlení, které přispívají k informovanému a autonomnímu rozhodování v demokratických procesech a posilují občanskou odpovědnost v boji proti dezinformacím, polarizaci a zahraniční manipulaci s informacemi a vměšování, zejména v souvislosti s volbami;</w:t>
      </w:r>
    </w:p>
    <w:p w14:paraId="3D3D7A20" w14:textId="77777777" w:rsidR="00861357" w:rsidRPr="00677227" w:rsidRDefault="00861357" w:rsidP="00861357">
      <w:pPr>
        <w:pStyle w:val="NormalHanging12a"/>
        <w:rPr>
          <w:bCs/>
          <w:iCs/>
        </w:rPr>
      </w:pPr>
      <w:r w:rsidRPr="00677227">
        <w:lastRenderedPageBreak/>
        <w:t>3.</w:t>
      </w:r>
      <w:r w:rsidRPr="00677227">
        <w:tab/>
        <w:t>zdůrazňuje, že mediální gramotnost a digitální učení by se měly odrážet v širších iniciativách EU zaměřených na ochranu demokratických procesů, a to i v souvislosti s Evropským štítem pro demokracii;</w:t>
      </w:r>
    </w:p>
    <w:p w14:paraId="7A82EB8C" w14:textId="77777777" w:rsidR="00861357" w:rsidRPr="00677227" w:rsidRDefault="00861357" w:rsidP="00861357">
      <w:pPr>
        <w:pStyle w:val="NormalHanging12a"/>
      </w:pPr>
      <w:r w:rsidRPr="00677227">
        <w:t>4.</w:t>
      </w:r>
      <w:r w:rsidRPr="00677227">
        <w:tab/>
        <w:t>uznává, že přístupy k výuce mediální gramotnosti a digitálnímu učení musí být inovativní, určené všem skupinám obyvatelstva a přizpůsobené potřebám účastníků vzdělávání, zejména znevýhodněných uživatelů, kteří čelí problémům v důsledku zeměpisných, sociálních, kulturních a hospodářských faktorů;</w:t>
      </w:r>
    </w:p>
    <w:p w14:paraId="0B935678" w14:textId="77777777" w:rsidR="00861357" w:rsidRPr="00677227" w:rsidRDefault="00861357" w:rsidP="00861357">
      <w:pPr>
        <w:pStyle w:val="NormalHanging12a"/>
        <w:rPr>
          <w:bCs/>
          <w:iCs/>
        </w:rPr>
      </w:pPr>
      <w:r w:rsidRPr="00677227">
        <w:t>5.</w:t>
      </w:r>
      <w:r w:rsidRPr="00677227">
        <w:tab/>
        <w:t>uznává hodnotu vzájemného vzdělávání poskytovaného centry pro bezpečnější internet a organizacemi občanské společnosti, jež doplňuje formální vzdělávání jako účinný nástroj pro seznámení dětí a dospívajících se zásadami bezpečného používání internetu;</w:t>
      </w:r>
    </w:p>
    <w:p w14:paraId="2E68EFC5" w14:textId="77777777" w:rsidR="00861357" w:rsidRPr="00677227" w:rsidRDefault="00861357" w:rsidP="00861357">
      <w:pPr>
        <w:pStyle w:val="NormalHanging12a"/>
      </w:pPr>
      <w:r w:rsidRPr="00677227">
        <w:t>6.</w:t>
      </w:r>
      <w:r w:rsidRPr="00677227">
        <w:tab/>
        <w:t>zdůrazňuje klíčovou úlohu mediální gramotnosti a digitálního učení v rozvoji kompetencí uživatelů, které jim umožní bezpečný pohyb v digitálním prostředí, včetně boje proti kybernetické šikaně a dalším škodlivým praktikám na internetu; poukazuje zejména na to, že pro rozvoj a posilování kritického myšlení, sebeuvědomění a odpovědného chování na internetu má zásadní význam výuka mediální gramotnosti a dovedností digitálního učení v rámci celého vzdělávacího procesu a v rámci celoživotního učení;</w:t>
      </w:r>
    </w:p>
    <w:p w14:paraId="0AC3188F" w14:textId="77777777" w:rsidR="00861357" w:rsidRPr="00677227" w:rsidRDefault="00861357" w:rsidP="00861357">
      <w:pPr>
        <w:pStyle w:val="NormalHanging12a"/>
        <w:rPr>
          <w:bCs/>
          <w:iCs/>
        </w:rPr>
      </w:pPr>
      <w:r w:rsidRPr="00677227">
        <w:t>7.</w:t>
      </w:r>
      <w:r w:rsidRPr="00677227">
        <w:tab/>
        <w:t>zdůrazňuje, že politiky v oblasti mediální gramotnosti by měly zvyšovat povědomí o tom, jak digitální prostředí a koncipování platforem ovlivňují způsob předávání informací, včetně schopnosti pochopit fungování algoritmů a rozpoznat návykový design a emocionálně manipulativní obsah;</w:t>
      </w:r>
    </w:p>
    <w:p w14:paraId="7991DE11" w14:textId="77777777" w:rsidR="00861357" w:rsidRPr="00677227" w:rsidRDefault="00861357" w:rsidP="00861357">
      <w:pPr>
        <w:pStyle w:val="NormalHanging12a"/>
        <w:rPr>
          <w:bCs/>
          <w:iCs/>
        </w:rPr>
      </w:pPr>
      <w:r w:rsidRPr="00677227">
        <w:t>8.</w:t>
      </w:r>
      <w:r w:rsidRPr="00677227">
        <w:tab/>
        <w:t>zdůrazňuje rostoucí dopad digitálního prostředí na duševní zdraví a pohodu uživatelů; vyzývá Komisi a členské státy, aby do programů mediální gramotnosti a digitálního učení zahrnuly rozvoj digitální empatie, odpovědného chování na internetu a pochopení dopadu digitálního prostředí na duševní zdraví a pohodu jako důležité prvky prevence kybernetické šikany a podpory digitální pohody;</w:t>
      </w:r>
    </w:p>
    <w:p w14:paraId="6C013440" w14:textId="77777777" w:rsidR="00861357" w:rsidRPr="00677227" w:rsidRDefault="00861357" w:rsidP="00861357">
      <w:pPr>
        <w:pStyle w:val="NormalHanging12a"/>
      </w:pPr>
      <w:r w:rsidRPr="00677227">
        <w:t>9.</w:t>
      </w:r>
      <w:r w:rsidRPr="00677227">
        <w:tab/>
        <w:t>zdůrazňuje, že je důležité využívat všechny relevantní regulační nástroje, které jsou již k dispozici, a podporovat potřebnou spolupráci mezi všemi příslušnými aktéry s cílem zaujmout k mediální gramotnosti a digitálnímu učení celoevropský přístup;</w:t>
      </w:r>
    </w:p>
    <w:p w14:paraId="053E61AE" w14:textId="77777777" w:rsidR="00861357" w:rsidRPr="00677227" w:rsidRDefault="00861357" w:rsidP="00861357">
      <w:pPr>
        <w:pStyle w:val="NormalHanging12a"/>
        <w:rPr>
          <w:bCs/>
          <w:iCs/>
        </w:rPr>
      </w:pPr>
      <w:r w:rsidRPr="00677227">
        <w:t>10.</w:t>
      </w:r>
      <w:r w:rsidRPr="00677227">
        <w:tab/>
        <w:t>zdůrazňuje, že je důležité prohloubit spolupráci mezi veřejnými a soukromými subjekty s cílem podpořit mediální gramotnost v celé EU; zdůrazňuje důležitou úlohu organizací občanské společnosti, komunitních iniciativ, dobrovolníků a kulturních aktérů při budování důvěry, kteří přispívají k tomu, aby byla veřejná diskuse postavena na dialogu;</w:t>
      </w:r>
    </w:p>
    <w:p w14:paraId="45360F60" w14:textId="77777777" w:rsidR="00861357" w:rsidRPr="00677227" w:rsidRDefault="00861357" w:rsidP="00861357">
      <w:pPr>
        <w:pStyle w:val="NormalHanging12a"/>
        <w:rPr>
          <w:bCs/>
          <w:iCs/>
        </w:rPr>
      </w:pPr>
      <w:r w:rsidRPr="00677227">
        <w:t>11.</w:t>
      </w:r>
      <w:r w:rsidRPr="00677227">
        <w:tab/>
        <w:t>vítá práci odborné skupiny pro mediální gramotnost a Evropského střediska pro sledování digitálních médií (EDMO) a jejich důležitou úlohu v propojování tvůrců politik, výzkumných pracovníků a odborníků z praxe s cílem vybudovat multidisciplinární komunitu odborníků, sdílet osvědčené postupy a zvyšovat povědomí; vyzývá k posílení jejich činností v oblasti mediální gramotnosti s cílem podpořit spolupráci mezi členskými státy;</w:t>
      </w:r>
    </w:p>
    <w:p w14:paraId="45F8B46F" w14:textId="77777777" w:rsidR="00861357" w:rsidRPr="00677227" w:rsidRDefault="00861357" w:rsidP="00861357">
      <w:pPr>
        <w:pStyle w:val="NormalHanging12a"/>
      </w:pPr>
      <w:r w:rsidRPr="00677227">
        <w:lastRenderedPageBreak/>
        <w:t>12.</w:t>
      </w:r>
      <w:r w:rsidRPr="00677227">
        <w:tab/>
        <w:t>zdůrazňuje, že je důležité zařadit mediální gramotnost a digitální učení do školních osnov během celého procesu formálního vzdělávání a že je třeba zaujmout fakticky podložený a ucelený přístup k využívání digitálních technologií ve školách;</w:t>
      </w:r>
    </w:p>
    <w:p w14:paraId="712EE901" w14:textId="77777777" w:rsidR="00861357" w:rsidRPr="00677227" w:rsidRDefault="00861357" w:rsidP="00861357">
      <w:pPr>
        <w:pStyle w:val="NormalHanging12a"/>
        <w:rPr>
          <w:bCs/>
          <w:iCs/>
        </w:rPr>
      </w:pPr>
      <w:r w:rsidRPr="00677227">
        <w:t>13.</w:t>
      </w:r>
      <w:r w:rsidRPr="00677227">
        <w:tab/>
        <w:t>zdůrazňuje, že je důležité podporovat mediální gramotnost a digitální učení nad rámec formálního vzdělávání a na pracovišti a zajistit celoživotní učení a celospolečenský přístup zahrnující vlády, vzdělávací instituce, občanskou společnost, mediální organizace, technologické platformy a rodiny;</w:t>
      </w:r>
    </w:p>
    <w:p w14:paraId="2FADADAC" w14:textId="77777777" w:rsidR="00861357" w:rsidRPr="00677227" w:rsidRDefault="00861357" w:rsidP="00861357">
      <w:pPr>
        <w:pStyle w:val="NormalHanging12a"/>
        <w:rPr>
          <w:bCs/>
          <w:iCs/>
        </w:rPr>
      </w:pPr>
      <w:r w:rsidRPr="00677227">
        <w:t>14.</w:t>
      </w:r>
      <w:r w:rsidRPr="00677227">
        <w:tab/>
        <w:t>vyzývá Komisi, aby ve spolupráci s členskými státy vytvořila strukturovaný rámec pro monitorování a hodnocení vnitrostátních opatření v oblasti mediální gramotnosti, včetně měřitelných ukazatelů posuzujících znalosti, výsledné chování, rozvoj kritického myšlení a odolnost vůči dezinformacím, a to i prostřednictvím dlouhodobých studií a hodnocení věkově uzpůsobených přístupů a programů podpory rodičů;</w:t>
      </w:r>
    </w:p>
    <w:p w14:paraId="34EC5EF3" w14:textId="77777777" w:rsidR="00861357" w:rsidRPr="00677227" w:rsidRDefault="00861357" w:rsidP="00861357">
      <w:pPr>
        <w:pStyle w:val="Normal12a"/>
        <w:rPr>
          <w:b/>
          <w:bCs/>
          <w:i/>
          <w:iCs/>
        </w:rPr>
      </w:pPr>
      <w:r w:rsidRPr="00677227">
        <w:rPr>
          <w:b/>
          <w:i/>
        </w:rPr>
        <w:t>Mediální gramotnost a digitální učení: posílení pilířů moderního mediálního ekosystému</w:t>
      </w:r>
    </w:p>
    <w:p w14:paraId="6B036458" w14:textId="77777777" w:rsidR="00861357" w:rsidRPr="00677227" w:rsidRDefault="00861357" w:rsidP="00861357">
      <w:pPr>
        <w:pStyle w:val="NormalHanging12a"/>
      </w:pPr>
      <w:r w:rsidRPr="00677227">
        <w:t>15.</w:t>
      </w:r>
      <w:r w:rsidRPr="00677227">
        <w:tab/>
        <w:t>vyzývá orgány EU a členské státy, aby spolupracovaly na zavedení koordinovaného přístupu EU k mediální gramotnosti a digitálnímu učení;</w:t>
      </w:r>
    </w:p>
    <w:p w14:paraId="7C2D7C86" w14:textId="77777777" w:rsidR="00861357" w:rsidRPr="00677227" w:rsidRDefault="00861357" w:rsidP="00861357">
      <w:pPr>
        <w:pStyle w:val="NormalHanging12a"/>
      </w:pPr>
      <w:r w:rsidRPr="00677227">
        <w:t>16.</w:t>
      </w:r>
      <w:r w:rsidRPr="00677227">
        <w:tab/>
        <w:t>vyzývá Komisi, aby posoudila a případně navrhla jasný jednotný unijní přístup k věkově přiměřenému využívání online platforem, zejména platforem sociálních médií, přičemž je třeba dbát na ochranu dobrých životních podmínek dětí, uznání potřeb kognitivního a emocionálního vývoje nezletilých a nutnost zajistit bezpečné digitální prostředí pro jednotlivé věkové skupiny, a to při plném respektování základních práv a rozdílů ve vnitrostátních přístupech;</w:t>
      </w:r>
    </w:p>
    <w:p w14:paraId="780F2AEB" w14:textId="77777777" w:rsidR="00861357" w:rsidRPr="00677227" w:rsidRDefault="00861357" w:rsidP="00861357">
      <w:pPr>
        <w:pStyle w:val="NormalHanging12a"/>
      </w:pPr>
      <w:r w:rsidRPr="00677227">
        <w:t>17.</w:t>
      </w:r>
      <w:r w:rsidRPr="00677227">
        <w:tab/>
        <w:t>vyzývá Komisi, aby vyhodnotila příslušná ustanovení směrnice o audiovizuálních mediálních službách,</w:t>
      </w:r>
      <w:r w:rsidRPr="00677227">
        <w:rPr>
          <w:i/>
        </w:rPr>
        <w:t xml:space="preserve"> </w:t>
      </w:r>
      <w:r w:rsidRPr="00677227">
        <w:t>zajistila</w:t>
      </w:r>
      <w:r w:rsidRPr="00677227">
        <w:rPr>
          <w:i/>
        </w:rPr>
        <w:t xml:space="preserve"> </w:t>
      </w:r>
      <w:r w:rsidRPr="00677227">
        <w:t xml:space="preserve">její prosazování a navrhla konkrétní změny s cílem dále zvýšit úroveň ochrany uživatelů platforem pro sdílení videonahrávek, zejména nezletilých, rozšířit pravidla pro mediální obsah na </w:t>
      </w:r>
      <w:proofErr w:type="spellStart"/>
      <w:r w:rsidRPr="00677227">
        <w:t>influencery</w:t>
      </w:r>
      <w:proofErr w:type="spellEnd"/>
      <w:r w:rsidRPr="00677227">
        <w:t xml:space="preserve"> a tvůrce obsahu a zajistit účinné označování obsahu vytvořeného nebo upraveného umělou inteligencí a komerčně sponzorovaného obsahu, a to nejen prostřednictvím štítků nebo automatizovaných označení;</w:t>
      </w:r>
    </w:p>
    <w:p w14:paraId="78EE7E84" w14:textId="77777777" w:rsidR="00861357" w:rsidRPr="00677227" w:rsidRDefault="00861357" w:rsidP="00861357">
      <w:pPr>
        <w:pStyle w:val="NormalHanging12a"/>
        <w:rPr>
          <w:bCs/>
          <w:iCs/>
        </w:rPr>
      </w:pPr>
      <w:r w:rsidRPr="00677227">
        <w:t>18.</w:t>
      </w:r>
      <w:r w:rsidRPr="00677227">
        <w:tab/>
        <w:t xml:space="preserve">vyzývá k vypracování a prosazování kodexů chování a jasných pokynů pro </w:t>
      </w:r>
      <w:proofErr w:type="spellStart"/>
      <w:r w:rsidRPr="00677227">
        <w:t>influencery</w:t>
      </w:r>
      <w:proofErr w:type="spellEnd"/>
      <w:r w:rsidRPr="00677227">
        <w:t xml:space="preserve"> a tvůrce obsahu týkajících se začlenění zásad mediální gramotnosti a digitálního učení do jejich obsahu s ohledem na jejich významnou úlohu v utváření vzorců konzumování informací, zejména mezi mladými lidmi; vybízí online platformy, aby více zviditelňovaly obsah, který aktivně podporuje mediální gramotnost, kritické myšlení a bezpečnost na internetu, a to i prostřednictvím </w:t>
      </w:r>
      <w:proofErr w:type="spellStart"/>
      <w:r w:rsidRPr="00677227">
        <w:t>doporučovacích</w:t>
      </w:r>
      <w:proofErr w:type="spellEnd"/>
      <w:r w:rsidRPr="00677227">
        <w:t xml:space="preserve"> systémů;</w:t>
      </w:r>
    </w:p>
    <w:p w14:paraId="7078859C" w14:textId="77777777" w:rsidR="00861357" w:rsidRPr="00677227" w:rsidRDefault="00861357" w:rsidP="00861357">
      <w:pPr>
        <w:pStyle w:val="NormalHanging12a"/>
      </w:pPr>
      <w:r w:rsidRPr="00677227">
        <w:t>19.</w:t>
      </w:r>
      <w:r w:rsidRPr="00677227">
        <w:tab/>
        <w:t>vyzývá členské státy, aby prováděly účinný dohled a zajistily, aby platformy pro sdílení videonahrávek plnily svou povinnost poskytovat účinná opatření a nástroje v oblasti mediální gramotnosti a zvyšovat povědomí uživatelů o těchto opatřeních a nástrojích, jak je stanoveno v čl. 28b odst. 3 směrnice o audiovizuálních mediálních službách; vyzývá vnitrostátní regulační orgány a subjekty, aby využívaly mechanismus spolupráce zřízený podle článku 15 evropského aktu o svobodě médií k zajištění účinného prosazování této povinnosti v celé EU;</w:t>
      </w:r>
    </w:p>
    <w:p w14:paraId="5AAAB505" w14:textId="77777777" w:rsidR="00861357" w:rsidRPr="00677227" w:rsidRDefault="00861357" w:rsidP="00861357">
      <w:pPr>
        <w:pStyle w:val="NormalHanging12a"/>
      </w:pPr>
      <w:r w:rsidRPr="00677227">
        <w:lastRenderedPageBreak/>
        <w:t>20.</w:t>
      </w:r>
      <w:r w:rsidRPr="00677227">
        <w:tab/>
        <w:t>připomíná, že členské státy jsou podle čl. 33 písm. a) směrnice o audiovizuálních mediálních službách povinny podporovat rozvoj dovedností v oblasti mediální gramotnosti, přijímat opatření za tímto účelem a podávat Komisi zprávy o jejich provádění; vybízí vnitrostátní regulační orgány pro sdělovací prostředky, aby při vypracovávání těchto opatření konzultovaly se zástupci všech skupin obyvatelstva a aby při jejich provádění uplatňovaly individuální přístup a řešily potřeby všech věkových skupin; vyzývá členské státy, aby zajistily, že tyto orgány budou mít stabilní a vyhrazené prostředky na podporu a přijímání opatření v oblasti mediální gramotnosti;</w:t>
      </w:r>
    </w:p>
    <w:p w14:paraId="61EF6AB0" w14:textId="77777777" w:rsidR="00861357" w:rsidRPr="00677227" w:rsidRDefault="00861357" w:rsidP="00861357">
      <w:pPr>
        <w:pStyle w:val="NormalHanging12a"/>
      </w:pPr>
      <w:r w:rsidRPr="00677227">
        <w:t>21.</w:t>
      </w:r>
      <w:r w:rsidRPr="00677227">
        <w:tab/>
        <w:t>naléhavě vyzývá velmi velké online platformy, aby zavedly rozumná, přiměřená a účinná zmírňující opatření k řešení systémových rizik vyplývajících ze zneužívání nízké mediální gramotnosti a dovedností digitálního učení mezi uživateli, zejména nezletilými, jak vyžaduje nařízení o digitálních službách; trvá na tom, že je třeba, aby velmi velké online platformy prováděly hodnocení dopadu mediální gramotnosti a digitálního učení, aby proaktivně zjišťovaly, jak může koncepce jejich služeb ovlivnit schopnost uživatelů konzumovat a vytvářet obsah a interagovat s ním;</w:t>
      </w:r>
    </w:p>
    <w:p w14:paraId="38DCD507" w14:textId="77777777" w:rsidR="00861357" w:rsidRPr="00677227" w:rsidRDefault="00861357" w:rsidP="00861357">
      <w:pPr>
        <w:pStyle w:val="NormalHanging12a"/>
        <w:rPr>
          <w:bCs/>
          <w:iCs/>
        </w:rPr>
      </w:pPr>
      <w:r w:rsidRPr="00677227">
        <w:t>22.</w:t>
      </w:r>
      <w:r w:rsidRPr="00677227">
        <w:tab/>
        <w:t>zdůrazňuje, že tato posouzení dopadů by měla rovněž zohledňovat vliv na pohodu uživatelů a kognitivní a sociálně-emoční vývoj a duševní zdraví, jakož i rizika spojená s interakčními nebo potenciálně návykovými prvky designu; žádá, aby byla tato posouzení transparentní, nezávislá a veřejně přístupná;</w:t>
      </w:r>
    </w:p>
    <w:p w14:paraId="0AE54763" w14:textId="77777777" w:rsidR="00861357" w:rsidRPr="00677227" w:rsidRDefault="00861357" w:rsidP="00861357">
      <w:pPr>
        <w:pStyle w:val="NormalHanging12a"/>
        <w:rPr>
          <w:b/>
          <w:i/>
        </w:rPr>
      </w:pPr>
      <w:r w:rsidRPr="00677227">
        <w:t>23.</w:t>
      </w:r>
      <w:r w:rsidRPr="00677227">
        <w:tab/>
        <w:t>vyzývá Komisi, aby zajistila účinné provádění závazků v oblasti mediální gramotnosti v rámci kodexu chování pro boj proti dezinformacím podle nařízení o digitálních službách;</w:t>
      </w:r>
    </w:p>
    <w:p w14:paraId="18F04C47" w14:textId="77777777" w:rsidR="00861357" w:rsidRPr="00677227" w:rsidRDefault="00861357" w:rsidP="00861357">
      <w:pPr>
        <w:pStyle w:val="NormalHanging12a"/>
      </w:pPr>
      <w:r w:rsidRPr="00677227">
        <w:t>24.</w:t>
      </w:r>
      <w:r w:rsidRPr="00677227">
        <w:tab/>
        <w:t>vyzývá Komisi, aby se ve svém přezkumu pokynů k nařízení o digitálních službách, které se týkají opatření k zajištění vysoké úrovně soukromí, bezpečnosti a ochrany nezletilých osob na internetu, zabývala mediální gramotností a digitálním učením, zejména pokud jde o opatření v oblasti mediální gramotnosti a digitálního učení, která by mohly online platformy přijmout s cílem nabízet nezletilým osobám na internetu obsah přiměřený jejich věku;</w:t>
      </w:r>
    </w:p>
    <w:p w14:paraId="55AAF2D1" w14:textId="77777777" w:rsidR="00861357" w:rsidRPr="00677227" w:rsidRDefault="00861357" w:rsidP="00861357">
      <w:pPr>
        <w:pStyle w:val="NormalHanging12a"/>
      </w:pPr>
      <w:r w:rsidRPr="00677227">
        <w:t>25.</w:t>
      </w:r>
      <w:r w:rsidRPr="00677227">
        <w:tab/>
        <w:t>vyzývá Evropský sbor pro mediální služby, aby využíval strukturovaný dialog podle článku 19 evropského aktu o svobodě médií ke sledování opatření přijatých velmi velkými online platformami v oblasti mediální gramotnosti a k posílení dialogu mezi poskytovateli mediálních služeb o podpoře mediální gramotnosti a digitálního učení a viditelnosti renomovaných sdělovacích prostředků na internetu;</w:t>
      </w:r>
    </w:p>
    <w:p w14:paraId="1A323084" w14:textId="77777777" w:rsidR="00861357" w:rsidRPr="00677227" w:rsidRDefault="00861357" w:rsidP="00861357">
      <w:pPr>
        <w:pStyle w:val="NormalHanging12a"/>
        <w:rPr>
          <w:b/>
          <w:i/>
        </w:rPr>
      </w:pPr>
      <w:r w:rsidRPr="00677227">
        <w:t>26.</w:t>
      </w:r>
      <w:r w:rsidRPr="00677227">
        <w:tab/>
        <w:t>zdůrazňuje, že politiky v oblasti mediální gramotnosti musí plně respektovat svobodu projevu a pluralitu sdělovacích prostředků a měly by posílit postavení uživatelů, aniž by byl omezen přístup k různým zdrojům informací;</w:t>
      </w:r>
    </w:p>
    <w:p w14:paraId="127C03B5" w14:textId="77777777" w:rsidR="00861357" w:rsidRPr="00677227" w:rsidRDefault="00861357" w:rsidP="00861357">
      <w:pPr>
        <w:pStyle w:val="NormalHanging12a"/>
        <w:rPr>
          <w:bCs/>
          <w:iCs/>
        </w:rPr>
      </w:pPr>
      <w:r w:rsidRPr="00677227">
        <w:t>27.</w:t>
      </w:r>
      <w:r w:rsidRPr="00677227">
        <w:tab/>
        <w:t xml:space="preserve">zdůrazňuje, že mediální gramotnost závisí nejen na schopnosti uživatelů kriticky posuzovat informace, ale také na existenci silné, nezávislé a kvalitní žurnalistiky poskytující spolehlivé, ověřené a pluralitní informace; vyzývá Komisi, aby zvýšila podporu tradičních sdělovacích prostředků na evropské, státní, regionální a místní úrovni vzhledem k jejich zásadní úloze v informování občanů, mimo jiné prosazováním spravedlivého odměňování novinářského obsahu a zajištěním udržitelného financování, zejména prostřednictvím programů, jako je připravovaný program </w:t>
      </w:r>
      <w:proofErr w:type="spellStart"/>
      <w:r w:rsidRPr="00677227">
        <w:t>AgoraEU</w:t>
      </w:r>
      <w:proofErr w:type="spellEnd"/>
      <w:r w:rsidRPr="00677227">
        <w:t>;</w:t>
      </w:r>
    </w:p>
    <w:p w14:paraId="3AA702BB" w14:textId="77777777" w:rsidR="00861357" w:rsidRPr="00677227" w:rsidRDefault="00861357" w:rsidP="00861357">
      <w:pPr>
        <w:pStyle w:val="NormalHanging12a"/>
      </w:pPr>
      <w:r w:rsidRPr="00677227">
        <w:lastRenderedPageBreak/>
        <w:t>28.</w:t>
      </w:r>
      <w:r w:rsidRPr="00677227">
        <w:tab/>
        <w:t>žádá Komisi, aby v rámci Programu pro odolnost médií kladla důraz na opatření v oblasti mediální gramotnosti a zajistila, aby se tato opatření týkala všech věkových kategorií (mladých lidí, dospělých a seniorů) ve venkovských, odlehlých a městských oblastech;</w:t>
      </w:r>
    </w:p>
    <w:p w14:paraId="3420A0D1" w14:textId="77777777" w:rsidR="00861357" w:rsidRPr="00677227" w:rsidRDefault="00861357" w:rsidP="00861357">
      <w:pPr>
        <w:pStyle w:val="NormalHanging12a"/>
        <w:rPr>
          <w:bCs/>
          <w:iCs/>
        </w:rPr>
      </w:pPr>
      <w:r w:rsidRPr="00677227">
        <w:t>29.</w:t>
      </w:r>
      <w:r w:rsidRPr="00677227">
        <w:tab/>
        <w:t>vyzývá členské státy, aby zajistily, že vnitrostátní opatření v oblasti mediální gramotnosti budou zahrnovat zvláštní informační strategie pro sociálně a ekonomicky znevýhodněné skupiny, osoby se zdravotním postižením, osoby žijící v odlehlých oblastech a osoby s nižší úrovní digitálních dovedností, s cílem zabránit tomu, aby mediální gramotnost a rozdíly v digitálním učení prohlubovaly širší nerovnosti;</w:t>
      </w:r>
    </w:p>
    <w:p w14:paraId="62C64671" w14:textId="77777777" w:rsidR="00861357" w:rsidRPr="00677227" w:rsidRDefault="00861357" w:rsidP="00861357">
      <w:pPr>
        <w:pStyle w:val="NormalHanging12a"/>
        <w:rPr>
          <w:bCs/>
          <w:iCs/>
        </w:rPr>
      </w:pPr>
      <w:r w:rsidRPr="00677227">
        <w:t>30.</w:t>
      </w:r>
      <w:r w:rsidRPr="00677227">
        <w:tab/>
        <w:t xml:space="preserve">zdůrazňuje, že je třeba zajistit stabilní a dlouhodobé financování mediální gramotnosti a digitálního učení na úrovni EU; vyzývá Komisi, aby v rámci příslušných programů EU, včetně připravovaného programu </w:t>
      </w:r>
      <w:proofErr w:type="spellStart"/>
      <w:r w:rsidRPr="00677227">
        <w:t>AgoraEU</w:t>
      </w:r>
      <w:proofErr w:type="spellEnd"/>
      <w:r w:rsidRPr="00677227">
        <w:t>, kladla důraz na iniciativy v oblasti mediální gramotnosti se zaměřením na kritické myšlení, odolnost vůči dezinformacím a pluralitu sdělovacích prostředků;</w:t>
      </w:r>
    </w:p>
    <w:p w14:paraId="6B89590E" w14:textId="77777777" w:rsidR="00861357" w:rsidRPr="00677227" w:rsidRDefault="00861357" w:rsidP="00861357">
      <w:pPr>
        <w:pStyle w:val="NormalHanging12a"/>
      </w:pPr>
      <w:r w:rsidRPr="00677227">
        <w:t>31.</w:t>
      </w:r>
      <w:r w:rsidRPr="00677227">
        <w:tab/>
        <w:t>vyzývá odbornou skupinu Komise pro mediální gramotnost, Evropský sbor pro mediální služby a Evropský sbor pro digitální služby, aby v záležitostech týkajících se mediální gramotnosti a digitálního učení úzce spolupracovaly a poskytly další doporučení, jaká praktická opatření by mohla být přijata na vnitrostátní úrovni;</w:t>
      </w:r>
    </w:p>
    <w:p w14:paraId="0F2A5F88" w14:textId="77777777" w:rsidR="00861357" w:rsidRPr="00677227" w:rsidRDefault="00861357" w:rsidP="00861357">
      <w:pPr>
        <w:pStyle w:val="NormalHanging12a"/>
      </w:pPr>
      <w:r w:rsidRPr="00677227">
        <w:t>32.</w:t>
      </w:r>
      <w:r w:rsidRPr="00677227">
        <w:tab/>
        <w:t>žádá Komisi, aby navázala na Evropský týden mediální gramotnosti jako každoroční stěžejní akci s cílem představit příklady osvědčených postupů a poskytnout inkluzivní fórum pro diskusi a budování kapacit a aby vybídla širokou škálu zainteresovaných stran a institucí, včetně kontaktních kanceláří Evropského parlamentu v členských státech a mezinárodních organizací, k aktivní účasti na podpoře mediální gramotnosti a digitálního učení a zajistila, aby tyto akce představily celou šíři názorů;</w:t>
      </w:r>
    </w:p>
    <w:p w14:paraId="679F982E" w14:textId="77777777" w:rsidR="00861357" w:rsidRPr="00677227" w:rsidRDefault="00861357" w:rsidP="00861357">
      <w:pPr>
        <w:pStyle w:val="Normal12a"/>
        <w:rPr>
          <w:b/>
          <w:i/>
          <w:iCs/>
        </w:rPr>
      </w:pPr>
      <w:r w:rsidRPr="00677227">
        <w:rPr>
          <w:b/>
          <w:i/>
        </w:rPr>
        <w:t xml:space="preserve">Mediální gramotnost a digitální učení: podpora uceleného vzdělávacího systému zaměřeného na budoucnost </w:t>
      </w:r>
    </w:p>
    <w:p w14:paraId="709E0A41" w14:textId="77777777" w:rsidR="00861357" w:rsidRPr="00677227" w:rsidRDefault="00861357" w:rsidP="00861357">
      <w:pPr>
        <w:pStyle w:val="NormalHanging12a"/>
      </w:pPr>
      <w:r w:rsidRPr="00677227">
        <w:t>33.</w:t>
      </w:r>
      <w:r w:rsidRPr="00677227">
        <w:tab/>
        <w:t>vyzývá Komisi, aby uznala mediální gramotnost a digitální vzdělávání za základní dovednosti všech občanů; vyzývá členské státy, aby do svých vzdělávacích programů začlenily mediální gramotnost a digitální učení uzpůsobené různým věkovým skupinám; zdůrazňuje, že k podpoře mediální gramotnosti lze použít analogové nástroje;</w:t>
      </w:r>
    </w:p>
    <w:p w14:paraId="79FC4EE1" w14:textId="77777777" w:rsidR="00861357" w:rsidRPr="00677227" w:rsidRDefault="00861357" w:rsidP="00861357">
      <w:pPr>
        <w:pStyle w:val="NormalHanging12a"/>
      </w:pPr>
      <w:r w:rsidRPr="00677227">
        <w:t>34.</w:t>
      </w:r>
      <w:r w:rsidRPr="00677227">
        <w:tab/>
        <w:t>vyzývá Komisi, aby v plánu pro budoucnost digitálního vzdělávání a dovedností do roku 2030 věnovala zvláštní pozornost mediální gramotnosti a zlepšení digitálních kompetencí, předcházení kyberšikaně a podpoře zdravého digitálního prostředí;</w:t>
      </w:r>
    </w:p>
    <w:p w14:paraId="5F6B03E6" w14:textId="77777777" w:rsidR="00861357" w:rsidRPr="00677227" w:rsidRDefault="00861357" w:rsidP="00861357">
      <w:pPr>
        <w:pStyle w:val="NormalHanging12a"/>
        <w:rPr>
          <w:bCs/>
          <w:iCs/>
        </w:rPr>
      </w:pPr>
      <w:r w:rsidRPr="00677227">
        <w:t>35.</w:t>
      </w:r>
      <w:r w:rsidRPr="00677227">
        <w:tab/>
        <w:t>vyzývá Komisi, aby ve spolupráci s členskými státy vypracovala evropskou příručku a další vzdělávací materiály na téma mediální gramotnosti, které budou uzpůsobeny všem věkovým skupinám a úrovním vzdělání, a aby pořádala pravidelné semináře zaměřené na kritické myšlení, ověřování informačních zdrojů, pluralitu a odpovědnou účast sdělovacích prostředků a úlohu organizací pro ověřování faktů, novinářských samoregulačních orgánů a komunitních médií, jakož i pokyny týkající se věkově přiměřeného používání médií, rizik online a nástrojů umělé inteligence pro rodiče a pečovatele;</w:t>
      </w:r>
    </w:p>
    <w:p w14:paraId="278179A1" w14:textId="77777777" w:rsidR="00861357" w:rsidRPr="00677227" w:rsidRDefault="00861357" w:rsidP="00861357">
      <w:pPr>
        <w:pStyle w:val="NormalHanging12a"/>
        <w:rPr>
          <w:bCs/>
          <w:iCs/>
        </w:rPr>
      </w:pPr>
      <w:r w:rsidRPr="00677227">
        <w:lastRenderedPageBreak/>
        <w:t>36.</w:t>
      </w:r>
      <w:r w:rsidRPr="00677227">
        <w:tab/>
        <w:t>vybízí členské státy, aby při vypracovávání a hodnocení iniciativ v oblasti mediální gramotnosti a digitálního učení konzultovaly a spolupracovaly s pedagogy, výzkumnými pracovníky, akademickou obcí, organizacemi občanské společnosti, rodiči, pečovateli a mládežnickými organizacemi s cílem zajistit, aby tyto iniciativy odpovídaly potřebám účastníků vzdělávání a pedagogů;</w:t>
      </w:r>
    </w:p>
    <w:p w14:paraId="2D23DE9F" w14:textId="77777777" w:rsidR="00861357" w:rsidRPr="00677227" w:rsidRDefault="00861357" w:rsidP="00861357">
      <w:pPr>
        <w:pStyle w:val="NormalHanging12a"/>
        <w:rPr>
          <w:bCs/>
          <w:iCs/>
        </w:rPr>
      </w:pPr>
      <w:r w:rsidRPr="00677227">
        <w:t>37.</w:t>
      </w:r>
      <w:r w:rsidRPr="00677227">
        <w:tab/>
        <w:t>vyzývá členské státy a Komisi, aby zajistily, že zavádění digitálních vzdělávacích nástrojů ve vzdělávání nebude vystaveno nepatřičnému komerčnímu vlivu; zdůrazňuje, že spolupráce se subjekty soukromého sektoru by měla být transparentní, zaměřená na vzdělávání a měla by být ve veřejném zájmu;</w:t>
      </w:r>
    </w:p>
    <w:p w14:paraId="54203807" w14:textId="77777777" w:rsidR="00861357" w:rsidRPr="00677227" w:rsidRDefault="00861357" w:rsidP="00861357">
      <w:pPr>
        <w:pStyle w:val="NormalHanging12a"/>
        <w:rPr>
          <w:bCs/>
          <w:iCs/>
        </w:rPr>
      </w:pPr>
      <w:r w:rsidRPr="00677227">
        <w:t>38.</w:t>
      </w:r>
      <w:r w:rsidRPr="00677227">
        <w:tab/>
        <w:t>vyzývá členské státy, aby zkvalitnily programy mediální gramotnosti a digitálního učení s cílem umožnit uživatelům rozlišovat mezi redakčním, komerčním a syntetickým obsahem a rozpoznat přesvědčovací techniky; zdůrazňuje, že do těchto programů je třeba začlenit gramotnost v oblasti umělé inteligence, aby bylo možné rozpoznat obsah vytvořený umělou inteligencí a rizika manipulace a dezinformací s ním spojená;</w:t>
      </w:r>
    </w:p>
    <w:p w14:paraId="73123C35" w14:textId="77777777" w:rsidR="00861357" w:rsidRPr="00677227" w:rsidRDefault="00861357" w:rsidP="00861357">
      <w:pPr>
        <w:pStyle w:val="NormalHanging12a"/>
      </w:pPr>
      <w:r w:rsidRPr="00677227">
        <w:t>39.</w:t>
      </w:r>
      <w:r w:rsidRPr="00677227">
        <w:tab/>
        <w:t>vyzývá Komisi, aby v úzké spolupráci s členskými státy urychleně a komplexně posoudila dopad digitálních zařízení a služeb, včetně nástrojů umělé inteligence, ve vzdělávacích prostředích na výsledky učení, kognitivní vývoj, pohodu, duševní zdraví a délku udržení pozornosti s cílem podpořit jejich odpovědné používání ve školách; naléhavě vyzývá Komisi, aby v případě potřeby navrhla opatření v příslušných oblastech politiky, která by mohla zahrnovat cílená omezení nebo zákazy, zejména v oblasti předškolního vzdělávání, a zajistila tak, aby používání digitálních technologií ve vzdělávání bylo striktně pedagogicky odůvodněné, úměrné věku, přiměřené a založené na nezávislých vědeckých důkazech, aby tyto nástroje ne nahrazovaly, nýbrž podporovaly vzdělávací procesy;</w:t>
      </w:r>
    </w:p>
    <w:p w14:paraId="1D9CAB07" w14:textId="77777777" w:rsidR="00861357" w:rsidRPr="00677227" w:rsidRDefault="00861357" w:rsidP="00861357">
      <w:pPr>
        <w:pStyle w:val="NormalHanging12a"/>
      </w:pPr>
      <w:r w:rsidRPr="00677227">
        <w:t>40.</w:t>
      </w:r>
      <w:r w:rsidRPr="00677227">
        <w:tab/>
        <w:t>vybízí členské státy, aby zajistily průběžnou odbornou přípravu pedagogů – ve formálním, neformálním i informálním vzdělávání – a knihovníků v oblasti mediálního a digitálního vzdělávání, a to s podporou odpovídajícího financování; vyzývá Komisi, aby zlepšila odbornou přípravu v oblasti mediální gramotnosti prostřednictvím center pro bezpečnější internet, platformy Lepší internet pro děti a příslušných platforem EU;</w:t>
      </w:r>
    </w:p>
    <w:p w14:paraId="1E59E311" w14:textId="77777777" w:rsidR="00861357" w:rsidRPr="00677227" w:rsidRDefault="00861357" w:rsidP="00861357">
      <w:pPr>
        <w:pStyle w:val="NormalHanging12a"/>
      </w:pPr>
      <w:r w:rsidRPr="00677227">
        <w:t>41.</w:t>
      </w:r>
      <w:r w:rsidRPr="00677227">
        <w:tab/>
        <w:t>vyzývá Komisi a příslušné státní regulační orgány nebo subjekty, aby prováděly vzdělávací a osvětové kampaně o mediální gramotnosti a digitálním učení s cílem zvýšit povědomí o tom, jak digitální prostředí utváří chování na internetu, a o dostupných opatřeních rodičovské kontroly, stávajících právních povinnostech online platforem a dostupných podpůrných mechanismech, včetně organizací poskytujících podporu v oblasti duševního zdraví;</w:t>
      </w:r>
    </w:p>
    <w:p w14:paraId="7968CD80" w14:textId="77777777" w:rsidR="00861357" w:rsidRPr="00677227" w:rsidRDefault="00861357" w:rsidP="00861357">
      <w:pPr>
        <w:pStyle w:val="NormalHanging12a"/>
        <w:rPr>
          <w:bCs/>
          <w:iCs/>
        </w:rPr>
      </w:pPr>
      <w:r w:rsidRPr="00677227">
        <w:t>42.</w:t>
      </w:r>
      <w:r w:rsidRPr="00677227">
        <w:tab/>
        <w:t>vyzývá Komisi a členské státy, aby podporovaly celoživotní mediální gramotnost a digitální učení pro všechny občany se zaměřením na dospělé, starší osoby a zranitelné skupiny obyvatelstva;</w:t>
      </w:r>
    </w:p>
    <w:p w14:paraId="44A0AEE5" w14:textId="77777777" w:rsidR="00861357" w:rsidRPr="00677227" w:rsidRDefault="00861357" w:rsidP="00861357">
      <w:pPr>
        <w:pStyle w:val="NormalHanging12a"/>
        <w:rPr>
          <w:bCs/>
          <w:iCs/>
        </w:rPr>
      </w:pPr>
      <w:r w:rsidRPr="00677227">
        <w:t>43.</w:t>
      </w:r>
      <w:r w:rsidRPr="00677227">
        <w:tab/>
        <w:t xml:space="preserve">uznává úlohu veřejných knihoven, komunitních center a organizací občanské společnosti jako důvěryhodných, přístupných a inkluzivních center mediální gramotnosti a digitálního učení, která přispívají k sociálnímu začlenění, demokratické účasti a rovnému přístupu ke znalostem, kultuře a k informacím; vyzývá členské státy, aby posílily partnerství a investice do těchto klíčových místních infrastruktur </w:t>
      </w:r>
      <w:r w:rsidRPr="00677227">
        <w:lastRenderedPageBreak/>
        <w:t>prostřednictvím odpovídajícího financování, odborné přípravy zaměstnanců a přístupu k aktuálním digitálním nástrojům a zdrojům;</w:t>
      </w:r>
    </w:p>
    <w:p w14:paraId="636269B8" w14:textId="77777777" w:rsidR="00861357" w:rsidRPr="00677227" w:rsidRDefault="00861357" w:rsidP="00861357">
      <w:pPr>
        <w:pStyle w:val="NormalHanging12a"/>
        <w:rPr>
          <w:bCs/>
          <w:iCs/>
        </w:rPr>
      </w:pPr>
      <w:r w:rsidRPr="00677227">
        <w:t>44.</w:t>
      </w:r>
      <w:r w:rsidRPr="00677227">
        <w:tab/>
        <w:t>vyzývá Komisi a členské státy, aby ve spolupráci se subjekty veřejného zájmu a příslušnými zainteresovanými stranami podporovaly rozvoj odolných a důvěryhodných digitálních ekosystémů, které posilují digitální odolnost Evropy, pluralitu médií a přístup občanů k pravdivým a spolehlivým informacím;</w:t>
      </w:r>
    </w:p>
    <w:p w14:paraId="517EB293" w14:textId="77777777" w:rsidR="00861357" w:rsidRPr="00677227" w:rsidRDefault="00861357" w:rsidP="00861357">
      <w:pPr>
        <w:pStyle w:val="NormalHanging12a"/>
        <w:rPr>
          <w:bCs/>
          <w:iCs/>
        </w:rPr>
      </w:pPr>
      <w:r w:rsidRPr="00677227">
        <w:t>45.</w:t>
      </w:r>
      <w:r w:rsidRPr="00677227">
        <w:tab/>
        <w:t>vyzývá členské státy a jejich regionální a místní orgány, aby inovativním a kreativním způsobem podporovaly mediální gramotnost a digitální vzdělávání ve všech městských prostředích, a to jak fyzických, tak digitálních, s cílem podpořit demokratickou účast a občanskou angažovanost; zdůrazňuje, že města hrají klíčovou úlohu při zajišťování bezpečnosti a ochrany veřejných prostor, které jsou stále více ovlivňovány informačním prostředím;</w:t>
      </w:r>
    </w:p>
    <w:p w14:paraId="04959F7A" w14:textId="77777777" w:rsidR="00861357" w:rsidRPr="00677227" w:rsidRDefault="00861357" w:rsidP="00861357">
      <w:pPr>
        <w:pStyle w:val="NormalCenter12a"/>
      </w:pPr>
    </w:p>
    <w:p w14:paraId="7B13B846" w14:textId="77777777" w:rsidR="00861357" w:rsidRPr="00677227" w:rsidRDefault="00861357" w:rsidP="00861357">
      <w:pPr>
        <w:pStyle w:val="NormalCenter12a"/>
      </w:pPr>
      <w:r w:rsidRPr="00677227">
        <w:t>°</w:t>
      </w:r>
      <w:r w:rsidRPr="00677227">
        <w:tab/>
        <w:t>°</w:t>
      </w:r>
    </w:p>
    <w:p w14:paraId="4D7EAAA1" w14:textId="77777777" w:rsidR="00861357" w:rsidRDefault="00861357" w:rsidP="00861357">
      <w:pPr>
        <w:pStyle w:val="NormalHanging12a"/>
      </w:pPr>
      <w:r w:rsidRPr="00677227">
        <w:t>46.</w:t>
      </w:r>
      <w:r w:rsidRPr="00677227">
        <w:tab/>
        <w:t>pověřuje svou předsedkyni, aby předala toto usnesení Radě a Komisi.</w:t>
      </w:r>
    </w:p>
    <w:sectPr w:rsidR="00861357" w:rsidSect="0067722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6515C" w14:textId="77777777" w:rsidR="00790F44" w:rsidRPr="00677227" w:rsidRDefault="00790F44">
      <w:r w:rsidRPr="00677227">
        <w:separator/>
      </w:r>
    </w:p>
  </w:endnote>
  <w:endnote w:type="continuationSeparator" w:id="0">
    <w:p w14:paraId="687CABE6" w14:textId="77777777" w:rsidR="00790F44" w:rsidRPr="00677227" w:rsidRDefault="00790F44">
      <w:r w:rsidRPr="0067722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27FE5" w14:textId="77777777" w:rsidR="00064002" w:rsidRPr="0067722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C3A48" w14:textId="77777777" w:rsidR="00064002" w:rsidRPr="0067722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7C2CE" w14:textId="77777777" w:rsidR="00064002" w:rsidRPr="0067722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9D84D" w14:textId="77777777" w:rsidR="00790F44" w:rsidRPr="00677227" w:rsidRDefault="00790F44">
      <w:r w:rsidRPr="00677227">
        <w:separator/>
      </w:r>
    </w:p>
  </w:footnote>
  <w:footnote w:type="continuationSeparator" w:id="0">
    <w:p w14:paraId="6B2E5CA4" w14:textId="77777777" w:rsidR="00790F44" w:rsidRPr="00677227" w:rsidRDefault="00790F44">
      <w:r w:rsidRPr="00677227">
        <w:continuationSeparator/>
      </w:r>
    </w:p>
  </w:footnote>
  <w:footnote w:id="1">
    <w:p w14:paraId="2EB22E8A" w14:textId="52CA2059" w:rsidR="00634B0C" w:rsidRPr="00634B0C" w:rsidRDefault="00634B0C" w:rsidP="00634B0C">
      <w:pPr>
        <w:pStyle w:val="FootnoteText"/>
        <w:ind w:left="567" w:hanging="567"/>
        <w:rPr>
          <w:lang w:val="cs-CZ"/>
        </w:rPr>
      </w:pPr>
      <w:r>
        <w:rPr>
          <w:rStyle w:val="FootnoteReference"/>
        </w:rPr>
        <w:footnoteRef/>
      </w:r>
      <w:r w:rsidRPr="00634B0C">
        <w:rPr>
          <w:lang w:val="fi-FI"/>
        </w:rPr>
        <w:t xml:space="preserve"> </w:t>
      </w:r>
      <w:r>
        <w:rPr>
          <w:lang w:val="cs-CZ"/>
        </w:rPr>
        <w:tab/>
      </w:r>
      <w:proofErr w:type="spellStart"/>
      <w:r w:rsidRPr="00677227">
        <w:rPr>
          <w:sz w:val="24"/>
          <w:lang w:val="cs-CZ"/>
        </w:rPr>
        <w:t>Úř</w:t>
      </w:r>
      <w:proofErr w:type="spellEnd"/>
      <w:r w:rsidRPr="00677227">
        <w:rPr>
          <w:sz w:val="24"/>
          <w:lang w:val="cs-CZ"/>
        </w:rPr>
        <w:t xml:space="preserve">. </w:t>
      </w:r>
      <w:proofErr w:type="spellStart"/>
      <w:r w:rsidRPr="00677227">
        <w:rPr>
          <w:sz w:val="24"/>
          <w:lang w:val="cs-CZ"/>
        </w:rPr>
        <w:t>věst</w:t>
      </w:r>
      <w:proofErr w:type="spellEnd"/>
      <w:r w:rsidRPr="00677227">
        <w:rPr>
          <w:sz w:val="24"/>
          <w:lang w:val="cs-CZ"/>
        </w:rPr>
        <w:t xml:space="preserve">. L 303, 28.11.2018, s. 69, ELI: </w:t>
      </w:r>
      <w:r>
        <w:fldChar w:fldCharType="begin"/>
      </w:r>
      <w:r w:rsidRPr="0076689B">
        <w:rPr>
          <w:lang w:val="fi-FI"/>
        </w:rPr>
        <w:instrText>HYPERLINK "http://data.europa.eu/eli/dir/2018/1808/oj" \t "http://data.europa.eu/eli/dir/2018/1808/oj"</w:instrText>
      </w:r>
      <w:r>
        <w:fldChar w:fldCharType="separate"/>
      </w:r>
      <w:r w:rsidRPr="00677227">
        <w:rPr>
          <w:rStyle w:val="Hyperlink"/>
          <w:sz w:val="24"/>
          <w:lang w:val="cs-CZ"/>
        </w:rPr>
        <w:t>http://data.europa.eu/eli/dir/2018/1808/oj</w:t>
      </w:r>
      <w:r>
        <w:fldChar w:fldCharType="end"/>
      </w:r>
      <w:r w:rsidRPr="00677227">
        <w:rPr>
          <w:sz w:val="24"/>
          <w:lang w:val="cs-CZ"/>
        </w:rPr>
        <w:t>.</w:t>
      </w:r>
    </w:p>
  </w:footnote>
  <w:footnote w:id="2">
    <w:p w14:paraId="1A546009" w14:textId="1BF41A92" w:rsidR="00861357" w:rsidRPr="00677227" w:rsidRDefault="00861357" w:rsidP="00677227">
      <w:pPr>
        <w:pStyle w:val="FootnoteText"/>
        <w:ind w:left="567" w:hanging="567"/>
        <w:rPr>
          <w:sz w:val="24"/>
          <w:lang w:val="cs-CZ"/>
        </w:rPr>
      </w:pPr>
      <w:r w:rsidRPr="00677227">
        <w:rPr>
          <w:rStyle w:val="FootnoteReference"/>
          <w:sz w:val="24"/>
          <w:lang w:val="cs-CZ"/>
        </w:rPr>
        <w:footnoteRef/>
      </w:r>
      <w:r w:rsidR="00677227" w:rsidRPr="00677227">
        <w:rPr>
          <w:sz w:val="24"/>
          <w:lang w:val="cs-CZ"/>
        </w:rPr>
        <w:t xml:space="preserve"> </w:t>
      </w:r>
      <w:r w:rsidR="00677227" w:rsidRPr="00677227">
        <w:rPr>
          <w:sz w:val="24"/>
          <w:lang w:val="cs-CZ"/>
        </w:rPr>
        <w:tab/>
      </w:r>
      <w:proofErr w:type="spellStart"/>
      <w:r w:rsidRPr="00677227">
        <w:rPr>
          <w:sz w:val="24"/>
          <w:lang w:val="cs-CZ"/>
        </w:rPr>
        <w:t>Úř</w:t>
      </w:r>
      <w:proofErr w:type="spellEnd"/>
      <w:r w:rsidRPr="00677227">
        <w:rPr>
          <w:sz w:val="24"/>
          <w:lang w:val="cs-CZ"/>
        </w:rPr>
        <w:t xml:space="preserve">. </w:t>
      </w:r>
      <w:proofErr w:type="spellStart"/>
      <w:r w:rsidRPr="00677227">
        <w:rPr>
          <w:sz w:val="24"/>
          <w:lang w:val="cs-CZ"/>
        </w:rPr>
        <w:t>věst</w:t>
      </w:r>
      <w:proofErr w:type="spellEnd"/>
      <w:r w:rsidRPr="00677227">
        <w:rPr>
          <w:sz w:val="24"/>
          <w:lang w:val="cs-CZ"/>
        </w:rPr>
        <w:t>. L, 2024/1083, 17.4.2024, ELI: </w:t>
      </w:r>
      <w:r>
        <w:fldChar w:fldCharType="begin"/>
      </w:r>
      <w:r w:rsidRPr="0076689B">
        <w:rPr>
          <w:lang w:val="cs-CZ"/>
        </w:rPr>
        <w:instrText>HYPERLINK "http://data.europa.eu/eli/reg/2024/1083/oj" \t "_blank" \o "Umožňuje přístup k tomuto dokumentu prostřednictvím jeho identifikátoru URI v rámci ELI."</w:instrText>
      </w:r>
      <w:r>
        <w:fldChar w:fldCharType="separate"/>
      </w:r>
      <w:r w:rsidRPr="00677227">
        <w:rPr>
          <w:rStyle w:val="Hyperlink"/>
          <w:sz w:val="24"/>
          <w:lang w:val="cs-CZ"/>
        </w:rPr>
        <w:t>http://data.europa.eu/</w:t>
      </w:r>
      <w:proofErr w:type="spellStart"/>
      <w:r w:rsidRPr="00677227">
        <w:rPr>
          <w:rStyle w:val="Hyperlink"/>
          <w:sz w:val="24"/>
          <w:lang w:val="cs-CZ"/>
        </w:rPr>
        <w:t>eli</w:t>
      </w:r>
      <w:proofErr w:type="spellEnd"/>
      <w:r w:rsidRPr="00677227">
        <w:rPr>
          <w:rStyle w:val="Hyperlink"/>
          <w:sz w:val="24"/>
          <w:lang w:val="cs-CZ"/>
        </w:rPr>
        <w:t>/</w:t>
      </w:r>
      <w:proofErr w:type="spellStart"/>
      <w:r w:rsidRPr="00677227">
        <w:rPr>
          <w:rStyle w:val="Hyperlink"/>
          <w:sz w:val="24"/>
          <w:lang w:val="cs-CZ"/>
        </w:rPr>
        <w:t>reg</w:t>
      </w:r>
      <w:proofErr w:type="spellEnd"/>
      <w:r w:rsidRPr="00677227">
        <w:rPr>
          <w:rStyle w:val="Hyperlink"/>
          <w:sz w:val="24"/>
          <w:lang w:val="cs-CZ"/>
        </w:rPr>
        <w:t>/2024/1083/oj</w:t>
      </w:r>
      <w:r>
        <w:fldChar w:fldCharType="end"/>
      </w:r>
      <w:r w:rsidRPr="00677227">
        <w:rPr>
          <w:sz w:val="24"/>
          <w:lang w:val="cs-CZ"/>
        </w:rPr>
        <w:t>.</w:t>
      </w:r>
    </w:p>
  </w:footnote>
  <w:footnote w:id="3">
    <w:p w14:paraId="31F4FB35" w14:textId="2C769A1B" w:rsidR="00861357" w:rsidRPr="00677227" w:rsidRDefault="00861357" w:rsidP="00677227">
      <w:pPr>
        <w:pStyle w:val="FootnoteText"/>
        <w:ind w:left="567" w:hanging="567"/>
        <w:rPr>
          <w:sz w:val="24"/>
          <w:lang w:val="cs-CZ"/>
        </w:rPr>
      </w:pPr>
      <w:r w:rsidRPr="00677227">
        <w:rPr>
          <w:rStyle w:val="FootnoteReference"/>
          <w:sz w:val="24"/>
          <w:lang w:val="cs-CZ"/>
        </w:rPr>
        <w:footnoteRef/>
      </w:r>
      <w:r w:rsidR="00677227" w:rsidRPr="00677227">
        <w:rPr>
          <w:sz w:val="24"/>
          <w:lang w:val="cs-CZ"/>
        </w:rPr>
        <w:t xml:space="preserve"> </w:t>
      </w:r>
      <w:r w:rsidR="00677227" w:rsidRPr="00677227">
        <w:rPr>
          <w:sz w:val="24"/>
          <w:lang w:val="cs-CZ"/>
        </w:rPr>
        <w:tab/>
      </w:r>
      <w:proofErr w:type="spellStart"/>
      <w:r w:rsidRPr="00677227">
        <w:rPr>
          <w:sz w:val="24"/>
          <w:lang w:val="cs-CZ"/>
        </w:rPr>
        <w:t>Úř</w:t>
      </w:r>
      <w:proofErr w:type="spellEnd"/>
      <w:r w:rsidRPr="00677227">
        <w:rPr>
          <w:sz w:val="24"/>
          <w:lang w:val="cs-CZ"/>
        </w:rPr>
        <w:t xml:space="preserve">. </w:t>
      </w:r>
      <w:proofErr w:type="spellStart"/>
      <w:r w:rsidRPr="00677227">
        <w:rPr>
          <w:sz w:val="24"/>
          <w:lang w:val="cs-CZ"/>
        </w:rPr>
        <w:t>věst</w:t>
      </w:r>
      <w:proofErr w:type="spellEnd"/>
      <w:r w:rsidRPr="00677227">
        <w:rPr>
          <w:sz w:val="24"/>
          <w:lang w:val="cs-CZ"/>
        </w:rPr>
        <w:t>. L 277, 27.10.2022, s. 1, ELI: </w:t>
      </w:r>
      <w:r>
        <w:fldChar w:fldCharType="begin"/>
      </w:r>
      <w:r w:rsidRPr="0076689B">
        <w:rPr>
          <w:lang w:val="cs-CZ"/>
        </w:rPr>
        <w:instrText>HYPERLINK "http://data.europa.eu/eli/reg/2022/2065/oj" \o "Umožňuje přístup k tomuto dokumentu prostřednictvím jeho identifikátoru URI v rámci ELI."</w:instrText>
      </w:r>
      <w:r>
        <w:fldChar w:fldCharType="separate"/>
      </w:r>
      <w:r w:rsidRPr="00677227">
        <w:rPr>
          <w:rStyle w:val="Hyperlink"/>
          <w:sz w:val="24"/>
          <w:lang w:val="cs-CZ"/>
        </w:rPr>
        <w:t>http://data.europa.eu/</w:t>
      </w:r>
      <w:proofErr w:type="spellStart"/>
      <w:r w:rsidRPr="00677227">
        <w:rPr>
          <w:rStyle w:val="Hyperlink"/>
          <w:sz w:val="24"/>
          <w:lang w:val="cs-CZ"/>
        </w:rPr>
        <w:t>eli</w:t>
      </w:r>
      <w:proofErr w:type="spellEnd"/>
      <w:r w:rsidRPr="00677227">
        <w:rPr>
          <w:rStyle w:val="Hyperlink"/>
          <w:sz w:val="24"/>
          <w:lang w:val="cs-CZ"/>
        </w:rPr>
        <w:t>/</w:t>
      </w:r>
      <w:proofErr w:type="spellStart"/>
      <w:r w:rsidRPr="00677227">
        <w:rPr>
          <w:rStyle w:val="Hyperlink"/>
          <w:sz w:val="24"/>
          <w:lang w:val="cs-CZ"/>
        </w:rPr>
        <w:t>reg</w:t>
      </w:r>
      <w:proofErr w:type="spellEnd"/>
      <w:r w:rsidRPr="00677227">
        <w:rPr>
          <w:rStyle w:val="Hyperlink"/>
          <w:sz w:val="24"/>
          <w:lang w:val="cs-CZ"/>
        </w:rPr>
        <w:t>/2022/2065/oj</w:t>
      </w:r>
      <w:r>
        <w:fldChar w:fldCharType="end"/>
      </w:r>
      <w:r w:rsidRPr="00677227">
        <w:rPr>
          <w:sz w:val="24"/>
          <w:lang w:val="cs-CZ"/>
        </w:rPr>
        <w:t>.</w:t>
      </w:r>
    </w:p>
  </w:footnote>
  <w:footnote w:id="4">
    <w:p w14:paraId="1E55F41A" w14:textId="4C60834B" w:rsidR="00861357" w:rsidRPr="00677227" w:rsidRDefault="00861357" w:rsidP="00677227">
      <w:pPr>
        <w:pStyle w:val="FootnoteText"/>
        <w:ind w:left="567" w:hanging="567"/>
        <w:rPr>
          <w:sz w:val="24"/>
          <w:lang w:val="cs-CZ"/>
        </w:rPr>
      </w:pPr>
      <w:r w:rsidRPr="00677227">
        <w:rPr>
          <w:rStyle w:val="FootnoteReference"/>
          <w:sz w:val="24"/>
          <w:lang w:val="cs-CZ"/>
        </w:rPr>
        <w:footnoteRef/>
      </w:r>
      <w:r w:rsidR="00677227" w:rsidRPr="00677227">
        <w:rPr>
          <w:sz w:val="24"/>
          <w:lang w:val="cs-CZ"/>
        </w:rPr>
        <w:t xml:space="preserve"> </w:t>
      </w:r>
      <w:r w:rsidR="00677227" w:rsidRPr="00677227">
        <w:rPr>
          <w:sz w:val="24"/>
          <w:lang w:val="cs-CZ"/>
        </w:rPr>
        <w:tab/>
      </w:r>
      <w:proofErr w:type="spellStart"/>
      <w:r w:rsidRPr="00677227">
        <w:rPr>
          <w:sz w:val="24"/>
          <w:lang w:val="cs-CZ"/>
        </w:rPr>
        <w:t>Úř</w:t>
      </w:r>
      <w:proofErr w:type="spellEnd"/>
      <w:r w:rsidRPr="00677227">
        <w:rPr>
          <w:sz w:val="24"/>
          <w:lang w:val="cs-CZ"/>
        </w:rPr>
        <w:t xml:space="preserve">. </w:t>
      </w:r>
      <w:proofErr w:type="spellStart"/>
      <w:r w:rsidRPr="00677227">
        <w:rPr>
          <w:sz w:val="24"/>
          <w:lang w:val="cs-CZ"/>
        </w:rPr>
        <w:t>věst</w:t>
      </w:r>
      <w:proofErr w:type="spellEnd"/>
      <w:r w:rsidRPr="00677227">
        <w:rPr>
          <w:sz w:val="24"/>
          <w:lang w:val="cs-CZ"/>
        </w:rPr>
        <w:t>. L, 2024/1689, 12.7.2024, ELI: </w:t>
      </w:r>
      <w:r>
        <w:fldChar w:fldCharType="begin"/>
      </w:r>
      <w:r w:rsidRPr="0076689B">
        <w:rPr>
          <w:lang w:val="cs-CZ"/>
        </w:rPr>
        <w:instrText>HYPERLINK "http://data.europa.eu/eli/reg/2024/1689/oj" \t "_blank" \o "Umožňuje přístup k tomuto dokumentu prostřednictvím jeho identifikátoru URI v rámci ELI."</w:instrText>
      </w:r>
      <w:r>
        <w:fldChar w:fldCharType="separate"/>
      </w:r>
      <w:r w:rsidRPr="00677227">
        <w:rPr>
          <w:rStyle w:val="Hyperlink"/>
          <w:sz w:val="24"/>
          <w:lang w:val="cs-CZ"/>
        </w:rPr>
        <w:t>http://data.europa.eu/</w:t>
      </w:r>
      <w:proofErr w:type="spellStart"/>
      <w:r w:rsidRPr="00677227">
        <w:rPr>
          <w:rStyle w:val="Hyperlink"/>
          <w:sz w:val="24"/>
          <w:lang w:val="cs-CZ"/>
        </w:rPr>
        <w:t>eli</w:t>
      </w:r>
      <w:proofErr w:type="spellEnd"/>
      <w:r w:rsidRPr="00677227">
        <w:rPr>
          <w:rStyle w:val="Hyperlink"/>
          <w:sz w:val="24"/>
          <w:lang w:val="cs-CZ"/>
        </w:rPr>
        <w:t>/</w:t>
      </w:r>
      <w:proofErr w:type="spellStart"/>
      <w:r w:rsidRPr="00677227">
        <w:rPr>
          <w:rStyle w:val="Hyperlink"/>
          <w:sz w:val="24"/>
          <w:lang w:val="cs-CZ"/>
        </w:rPr>
        <w:t>reg</w:t>
      </w:r>
      <w:proofErr w:type="spellEnd"/>
      <w:r w:rsidRPr="00677227">
        <w:rPr>
          <w:rStyle w:val="Hyperlink"/>
          <w:sz w:val="24"/>
          <w:lang w:val="cs-CZ"/>
        </w:rPr>
        <w:t>/2024/1689/oj</w:t>
      </w:r>
      <w:r>
        <w:fldChar w:fldCharType="end"/>
      </w:r>
      <w:r w:rsidRPr="00677227">
        <w:rPr>
          <w:sz w:val="24"/>
          <w:lang w:val="cs-CZ"/>
        </w:rPr>
        <w:t>.</w:t>
      </w:r>
    </w:p>
  </w:footnote>
  <w:footnote w:id="5">
    <w:p w14:paraId="628246BC" w14:textId="7C538CAD" w:rsidR="00861357" w:rsidRPr="00677227" w:rsidRDefault="00861357" w:rsidP="00677227">
      <w:pPr>
        <w:pStyle w:val="FootnoteText"/>
        <w:ind w:left="567" w:hanging="567"/>
        <w:rPr>
          <w:sz w:val="24"/>
          <w:lang w:val="cs-CZ"/>
        </w:rPr>
      </w:pPr>
      <w:r w:rsidRPr="00677227">
        <w:rPr>
          <w:rStyle w:val="FootnoteReference"/>
          <w:sz w:val="24"/>
          <w:lang w:val="cs-CZ"/>
        </w:rPr>
        <w:footnoteRef/>
      </w:r>
      <w:r w:rsidR="00677227" w:rsidRPr="00677227">
        <w:rPr>
          <w:sz w:val="24"/>
          <w:lang w:val="cs-CZ"/>
        </w:rPr>
        <w:t xml:space="preserve"> </w:t>
      </w:r>
      <w:r w:rsidR="00677227" w:rsidRPr="00677227">
        <w:rPr>
          <w:sz w:val="24"/>
          <w:lang w:val="cs-CZ"/>
        </w:rPr>
        <w:tab/>
      </w:r>
      <w:proofErr w:type="spellStart"/>
      <w:r w:rsidRPr="00677227">
        <w:rPr>
          <w:sz w:val="24"/>
          <w:lang w:val="cs-CZ"/>
        </w:rPr>
        <w:t>Úř</w:t>
      </w:r>
      <w:proofErr w:type="spellEnd"/>
      <w:r w:rsidRPr="00677227">
        <w:rPr>
          <w:sz w:val="24"/>
          <w:lang w:val="cs-CZ"/>
        </w:rPr>
        <w:t xml:space="preserve">. </w:t>
      </w:r>
      <w:proofErr w:type="spellStart"/>
      <w:r w:rsidRPr="00677227">
        <w:rPr>
          <w:sz w:val="24"/>
          <w:lang w:val="cs-CZ"/>
        </w:rPr>
        <w:t>věst</w:t>
      </w:r>
      <w:proofErr w:type="spellEnd"/>
      <w:r w:rsidRPr="00677227">
        <w:rPr>
          <w:sz w:val="24"/>
          <w:lang w:val="cs-CZ"/>
        </w:rPr>
        <w:t xml:space="preserve">. C 494, 8.12.2021, s. 2. </w:t>
      </w:r>
    </w:p>
  </w:footnote>
  <w:footnote w:id="6">
    <w:p w14:paraId="3AE08A77" w14:textId="0069BD0F" w:rsidR="00861357" w:rsidRPr="00677227" w:rsidRDefault="00861357" w:rsidP="00677227">
      <w:pPr>
        <w:pStyle w:val="FootnoteText"/>
        <w:ind w:left="567" w:hanging="567"/>
        <w:rPr>
          <w:sz w:val="24"/>
          <w:lang w:val="cs-CZ"/>
        </w:rPr>
      </w:pPr>
      <w:r w:rsidRPr="00677227">
        <w:rPr>
          <w:rStyle w:val="FootnoteReference"/>
          <w:sz w:val="24"/>
          <w:lang w:val="cs-CZ"/>
        </w:rPr>
        <w:footnoteRef/>
      </w:r>
      <w:r w:rsidR="00677227" w:rsidRPr="00677227">
        <w:rPr>
          <w:sz w:val="24"/>
          <w:lang w:val="cs-CZ"/>
        </w:rPr>
        <w:t xml:space="preserve"> </w:t>
      </w:r>
      <w:r w:rsidR="00677227" w:rsidRPr="00677227">
        <w:rPr>
          <w:sz w:val="24"/>
          <w:lang w:val="cs-CZ"/>
        </w:rPr>
        <w:tab/>
      </w:r>
      <w:proofErr w:type="spellStart"/>
      <w:r w:rsidRPr="00677227">
        <w:rPr>
          <w:sz w:val="24"/>
          <w:lang w:val="cs-CZ"/>
        </w:rPr>
        <w:t>Úř</w:t>
      </w:r>
      <w:proofErr w:type="spellEnd"/>
      <w:r w:rsidRPr="00677227">
        <w:rPr>
          <w:sz w:val="24"/>
          <w:lang w:val="cs-CZ"/>
        </w:rPr>
        <w:t>. </w:t>
      </w:r>
      <w:proofErr w:type="spellStart"/>
      <w:r w:rsidRPr="00677227">
        <w:rPr>
          <w:sz w:val="24"/>
          <w:lang w:val="cs-CZ"/>
        </w:rPr>
        <w:t>věst</w:t>
      </w:r>
      <w:proofErr w:type="spellEnd"/>
      <w:r w:rsidRPr="00677227">
        <w:rPr>
          <w:sz w:val="24"/>
          <w:lang w:val="cs-CZ"/>
        </w:rPr>
        <w:t>. C, C/2026/1708, 24.4.2026, ELI: </w:t>
      </w:r>
      <w:r>
        <w:fldChar w:fldCharType="begin"/>
      </w:r>
      <w:r w:rsidRPr="0076689B">
        <w:rPr>
          <w:lang w:val="cs-CZ"/>
        </w:rPr>
        <w:instrText>HYPERLINK "http://data.europa.eu/eli/C/2026/1708/oj" \t "_blank" \o "Umožňuje přístup k tomuto dokumentu prostřednictvím jeho identifikátoru URI v rámci ELI."</w:instrText>
      </w:r>
      <w:r>
        <w:fldChar w:fldCharType="separate"/>
      </w:r>
      <w:r w:rsidRPr="00677227">
        <w:rPr>
          <w:rStyle w:val="Hyperlink"/>
          <w:sz w:val="24"/>
          <w:lang w:val="cs-CZ"/>
        </w:rPr>
        <w:t>http://data.europa.eu/</w:t>
      </w:r>
      <w:proofErr w:type="spellStart"/>
      <w:r w:rsidRPr="00677227">
        <w:rPr>
          <w:rStyle w:val="Hyperlink"/>
          <w:sz w:val="24"/>
          <w:lang w:val="cs-CZ"/>
        </w:rPr>
        <w:t>eli</w:t>
      </w:r>
      <w:proofErr w:type="spellEnd"/>
      <w:r w:rsidRPr="00677227">
        <w:rPr>
          <w:rStyle w:val="Hyperlink"/>
          <w:sz w:val="24"/>
          <w:lang w:val="cs-CZ"/>
        </w:rPr>
        <w:t>/C/2026/1708/oj</w:t>
      </w:r>
      <w:r>
        <w:fldChar w:fldCharType="end"/>
      </w:r>
      <w:r w:rsidRPr="00677227">
        <w:rPr>
          <w:sz w:val="24"/>
          <w:lang w:val="cs-CZ"/>
        </w:rPr>
        <w:t>.</w:t>
      </w:r>
    </w:p>
  </w:footnote>
  <w:footnote w:id="7">
    <w:p w14:paraId="532CCDD9" w14:textId="0D46CE37" w:rsidR="00861357" w:rsidRPr="00677227" w:rsidRDefault="00861357" w:rsidP="00677227">
      <w:pPr>
        <w:pStyle w:val="FootnoteText"/>
        <w:ind w:left="567" w:hanging="567"/>
        <w:rPr>
          <w:sz w:val="24"/>
          <w:lang w:val="cs-CZ"/>
        </w:rPr>
      </w:pPr>
      <w:r w:rsidRPr="00677227">
        <w:rPr>
          <w:rStyle w:val="FootnoteReference"/>
          <w:sz w:val="24"/>
          <w:lang w:val="cs-CZ"/>
        </w:rPr>
        <w:footnoteRef/>
      </w:r>
      <w:r w:rsidR="00677227" w:rsidRPr="00677227">
        <w:rPr>
          <w:sz w:val="24"/>
          <w:lang w:val="cs-CZ"/>
        </w:rPr>
        <w:t xml:space="preserve"> </w:t>
      </w:r>
      <w:r w:rsidR="00677227" w:rsidRPr="00677227">
        <w:rPr>
          <w:sz w:val="24"/>
          <w:lang w:val="cs-CZ"/>
        </w:rPr>
        <w:tab/>
      </w:r>
      <w:proofErr w:type="spellStart"/>
      <w:r w:rsidRPr="00677227">
        <w:rPr>
          <w:sz w:val="24"/>
          <w:lang w:val="cs-CZ"/>
        </w:rPr>
        <w:t>Úř</w:t>
      </w:r>
      <w:proofErr w:type="spellEnd"/>
      <w:r w:rsidRPr="00677227">
        <w:rPr>
          <w:sz w:val="24"/>
          <w:lang w:val="cs-CZ"/>
        </w:rPr>
        <w:t xml:space="preserve">. </w:t>
      </w:r>
      <w:proofErr w:type="spellStart"/>
      <w:r w:rsidRPr="00677227">
        <w:rPr>
          <w:sz w:val="24"/>
          <w:lang w:val="cs-CZ"/>
        </w:rPr>
        <w:t>věst</w:t>
      </w:r>
      <w:proofErr w:type="spellEnd"/>
      <w:r w:rsidRPr="00677227">
        <w:rPr>
          <w:sz w:val="24"/>
          <w:lang w:val="cs-CZ"/>
        </w:rPr>
        <w:t>. C 456, 18.12.2018, s. 1.</w:t>
      </w:r>
    </w:p>
  </w:footnote>
  <w:footnote w:id="8">
    <w:p w14:paraId="78E1D6C5" w14:textId="735E5777" w:rsidR="00861357" w:rsidRPr="00677227" w:rsidRDefault="00861357" w:rsidP="00677227">
      <w:pPr>
        <w:pStyle w:val="FootnoteText"/>
        <w:ind w:left="567" w:hanging="567"/>
        <w:rPr>
          <w:sz w:val="24"/>
          <w:lang w:val="cs-CZ"/>
        </w:rPr>
      </w:pPr>
      <w:r w:rsidRPr="00677227">
        <w:rPr>
          <w:rStyle w:val="FootnoteReference"/>
          <w:sz w:val="24"/>
          <w:lang w:val="cs-CZ"/>
        </w:rPr>
        <w:footnoteRef/>
      </w:r>
      <w:r w:rsidR="00677227" w:rsidRPr="00677227">
        <w:rPr>
          <w:sz w:val="24"/>
          <w:lang w:val="cs-CZ"/>
        </w:rPr>
        <w:t xml:space="preserve"> </w:t>
      </w:r>
      <w:r w:rsidR="00677227" w:rsidRPr="00677227">
        <w:rPr>
          <w:sz w:val="24"/>
          <w:lang w:val="cs-CZ"/>
        </w:rPr>
        <w:tab/>
      </w:r>
      <w:proofErr w:type="spellStart"/>
      <w:r w:rsidRPr="00677227">
        <w:rPr>
          <w:sz w:val="24"/>
          <w:lang w:val="cs-CZ"/>
        </w:rPr>
        <w:t>Úř</w:t>
      </w:r>
      <w:proofErr w:type="spellEnd"/>
      <w:r w:rsidRPr="00677227">
        <w:rPr>
          <w:sz w:val="24"/>
          <w:lang w:val="cs-CZ"/>
        </w:rPr>
        <w:t xml:space="preserve">. </w:t>
      </w:r>
      <w:proofErr w:type="spellStart"/>
      <w:r w:rsidRPr="00677227">
        <w:rPr>
          <w:sz w:val="24"/>
          <w:lang w:val="cs-CZ"/>
        </w:rPr>
        <w:t>věst</w:t>
      </w:r>
      <w:proofErr w:type="spellEnd"/>
      <w:r w:rsidRPr="00677227">
        <w:rPr>
          <w:sz w:val="24"/>
          <w:lang w:val="cs-CZ"/>
        </w:rPr>
        <w:t>. C, C/2025/5519, 10.10.2025, ELI: </w:t>
      </w:r>
      <w:r>
        <w:fldChar w:fldCharType="begin"/>
      </w:r>
      <w:r w:rsidRPr="0076689B">
        <w:rPr>
          <w:lang w:val="cs-CZ"/>
        </w:rPr>
        <w:instrText>HYPERLINK "http://data.europa.eu/eli/C/2025/5519/oj" \t "_blank" \o "Umožňuje přístup k tomuto dokumentu prostřednictvím jeho identifikátoru URI v rámci ELI."</w:instrText>
      </w:r>
      <w:r>
        <w:fldChar w:fldCharType="separate"/>
      </w:r>
      <w:r w:rsidRPr="00677227">
        <w:rPr>
          <w:rStyle w:val="Hyperlink"/>
          <w:sz w:val="24"/>
          <w:lang w:val="cs-CZ"/>
        </w:rPr>
        <w:t>http://data.europa.eu/</w:t>
      </w:r>
      <w:proofErr w:type="spellStart"/>
      <w:r w:rsidRPr="00677227">
        <w:rPr>
          <w:rStyle w:val="Hyperlink"/>
          <w:sz w:val="24"/>
          <w:lang w:val="cs-CZ"/>
        </w:rPr>
        <w:t>eli</w:t>
      </w:r>
      <w:proofErr w:type="spellEnd"/>
      <w:r w:rsidRPr="00677227">
        <w:rPr>
          <w:rStyle w:val="Hyperlink"/>
          <w:sz w:val="24"/>
          <w:lang w:val="cs-CZ"/>
        </w:rPr>
        <w:t>/C/2025/5519/oj</w:t>
      </w:r>
      <w:r>
        <w:fldChar w:fldCharType="end"/>
      </w:r>
      <w:r w:rsidRPr="00677227">
        <w:rPr>
          <w:sz w:val="24"/>
          <w:lang w:val="cs-CZ"/>
        </w:rPr>
        <w:t>.</w:t>
      </w:r>
    </w:p>
  </w:footnote>
  <w:footnote w:id="9">
    <w:p w14:paraId="0AF934B6" w14:textId="2AF1BE74" w:rsidR="00861357" w:rsidRPr="00677227" w:rsidRDefault="00861357" w:rsidP="00677227">
      <w:pPr>
        <w:pStyle w:val="FootnoteText"/>
        <w:ind w:left="567" w:hanging="567"/>
        <w:rPr>
          <w:sz w:val="24"/>
          <w:lang w:val="cs-CZ"/>
        </w:rPr>
      </w:pPr>
      <w:r w:rsidRPr="00677227">
        <w:rPr>
          <w:rStyle w:val="FootnoteReference"/>
          <w:sz w:val="24"/>
          <w:lang w:val="cs-CZ"/>
        </w:rPr>
        <w:footnoteRef/>
      </w:r>
      <w:r w:rsidR="00677227" w:rsidRPr="00677227">
        <w:rPr>
          <w:sz w:val="24"/>
          <w:lang w:val="cs-CZ"/>
        </w:rPr>
        <w:t xml:space="preserve"> </w:t>
      </w:r>
      <w:r w:rsidR="00677227" w:rsidRPr="00677227">
        <w:rPr>
          <w:sz w:val="24"/>
          <w:lang w:val="cs-CZ"/>
        </w:rPr>
        <w:tab/>
      </w:r>
      <w:proofErr w:type="spellStart"/>
      <w:r w:rsidRPr="00677227">
        <w:rPr>
          <w:sz w:val="24"/>
          <w:lang w:val="cs-CZ"/>
        </w:rPr>
        <w:t>Maza</w:t>
      </w:r>
      <w:proofErr w:type="spellEnd"/>
      <w:r w:rsidRPr="00677227">
        <w:rPr>
          <w:sz w:val="24"/>
          <w:lang w:val="cs-CZ"/>
        </w:rPr>
        <w:t>, M.T. et al., „</w:t>
      </w:r>
      <w:proofErr w:type="spellStart"/>
      <w:r w:rsidRPr="00677227">
        <w:rPr>
          <w:sz w:val="24"/>
          <w:lang w:val="cs-CZ"/>
        </w:rPr>
        <w:t>Association</w:t>
      </w:r>
      <w:proofErr w:type="spellEnd"/>
      <w:r w:rsidRPr="00677227">
        <w:rPr>
          <w:sz w:val="24"/>
          <w:lang w:val="cs-CZ"/>
        </w:rPr>
        <w:t xml:space="preserve"> </w:t>
      </w:r>
      <w:proofErr w:type="spellStart"/>
      <w:r w:rsidRPr="00677227">
        <w:rPr>
          <w:sz w:val="24"/>
          <w:lang w:val="cs-CZ"/>
        </w:rPr>
        <w:t>of</w:t>
      </w:r>
      <w:proofErr w:type="spellEnd"/>
      <w:r w:rsidRPr="00677227">
        <w:rPr>
          <w:sz w:val="24"/>
          <w:lang w:val="cs-CZ"/>
        </w:rPr>
        <w:t xml:space="preserve"> </w:t>
      </w:r>
      <w:proofErr w:type="spellStart"/>
      <w:r w:rsidRPr="00677227">
        <w:rPr>
          <w:sz w:val="24"/>
          <w:lang w:val="cs-CZ"/>
        </w:rPr>
        <w:t>Habitual</w:t>
      </w:r>
      <w:proofErr w:type="spellEnd"/>
      <w:r w:rsidRPr="00677227">
        <w:rPr>
          <w:sz w:val="24"/>
          <w:lang w:val="cs-CZ"/>
        </w:rPr>
        <w:t xml:space="preserve"> </w:t>
      </w:r>
      <w:proofErr w:type="spellStart"/>
      <w:r w:rsidRPr="00677227">
        <w:rPr>
          <w:sz w:val="24"/>
          <w:lang w:val="cs-CZ"/>
        </w:rPr>
        <w:t>Checking</w:t>
      </w:r>
      <w:proofErr w:type="spellEnd"/>
      <w:r w:rsidRPr="00677227">
        <w:rPr>
          <w:sz w:val="24"/>
          <w:lang w:val="cs-CZ"/>
        </w:rPr>
        <w:t xml:space="preserve"> </w:t>
      </w:r>
      <w:proofErr w:type="spellStart"/>
      <w:r w:rsidRPr="00677227">
        <w:rPr>
          <w:sz w:val="24"/>
          <w:lang w:val="cs-CZ"/>
        </w:rPr>
        <w:t>Behaviors</w:t>
      </w:r>
      <w:proofErr w:type="spellEnd"/>
      <w:r w:rsidRPr="00677227">
        <w:rPr>
          <w:sz w:val="24"/>
          <w:lang w:val="cs-CZ"/>
        </w:rPr>
        <w:t xml:space="preserve"> on </w:t>
      </w:r>
      <w:proofErr w:type="spellStart"/>
      <w:r w:rsidRPr="00677227">
        <w:rPr>
          <w:sz w:val="24"/>
          <w:lang w:val="cs-CZ"/>
        </w:rPr>
        <w:t>Social</w:t>
      </w:r>
      <w:proofErr w:type="spellEnd"/>
      <w:r w:rsidRPr="00677227">
        <w:rPr>
          <w:sz w:val="24"/>
          <w:lang w:val="cs-CZ"/>
        </w:rPr>
        <w:t xml:space="preserve"> Media </w:t>
      </w:r>
      <w:proofErr w:type="spellStart"/>
      <w:r w:rsidRPr="00677227">
        <w:rPr>
          <w:sz w:val="24"/>
          <w:lang w:val="cs-CZ"/>
        </w:rPr>
        <w:t>with</w:t>
      </w:r>
      <w:proofErr w:type="spellEnd"/>
      <w:r w:rsidRPr="00677227">
        <w:rPr>
          <w:sz w:val="24"/>
          <w:lang w:val="cs-CZ"/>
        </w:rPr>
        <w:t xml:space="preserve"> </w:t>
      </w:r>
      <w:proofErr w:type="spellStart"/>
      <w:r w:rsidRPr="00677227">
        <w:rPr>
          <w:sz w:val="24"/>
          <w:lang w:val="cs-CZ"/>
        </w:rPr>
        <w:t>Longitudinal</w:t>
      </w:r>
      <w:proofErr w:type="spellEnd"/>
      <w:r w:rsidRPr="00677227">
        <w:rPr>
          <w:sz w:val="24"/>
          <w:lang w:val="cs-CZ"/>
        </w:rPr>
        <w:t xml:space="preserve"> </w:t>
      </w:r>
      <w:proofErr w:type="spellStart"/>
      <w:r w:rsidRPr="00677227">
        <w:rPr>
          <w:sz w:val="24"/>
          <w:lang w:val="cs-CZ"/>
        </w:rPr>
        <w:t>Functional</w:t>
      </w:r>
      <w:proofErr w:type="spellEnd"/>
      <w:r w:rsidRPr="00677227">
        <w:rPr>
          <w:sz w:val="24"/>
          <w:lang w:val="cs-CZ"/>
        </w:rPr>
        <w:t xml:space="preserve"> Brain Development“, </w:t>
      </w:r>
      <w:r w:rsidRPr="00677227">
        <w:rPr>
          <w:i/>
          <w:sz w:val="24"/>
          <w:lang w:val="cs-CZ"/>
        </w:rPr>
        <w:t xml:space="preserve">JAMA </w:t>
      </w:r>
      <w:proofErr w:type="spellStart"/>
      <w:r w:rsidRPr="00677227">
        <w:rPr>
          <w:i/>
          <w:sz w:val="24"/>
          <w:lang w:val="cs-CZ"/>
        </w:rPr>
        <w:t>Pediatrics</w:t>
      </w:r>
      <w:proofErr w:type="spellEnd"/>
      <w:r w:rsidRPr="00677227">
        <w:rPr>
          <w:sz w:val="24"/>
          <w:lang w:val="cs-CZ"/>
        </w:rPr>
        <w:t xml:space="preserve">, svazek 177, č. 2, 2023, s. 160-167.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420BE" w14:textId="77777777" w:rsidR="00064002" w:rsidRPr="0067722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D1B40" w14:textId="77777777" w:rsidR="00064002" w:rsidRPr="0067722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367DC" w14:textId="77777777" w:rsidR="00064002" w:rsidRPr="0067722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88807455">
    <w:abstractNumId w:val="9"/>
  </w:num>
  <w:num w:numId="2" w16cid:durableId="2064601182">
    <w:abstractNumId w:val="9"/>
  </w:num>
  <w:num w:numId="3" w16cid:durableId="773286917">
    <w:abstractNumId w:val="7"/>
  </w:num>
  <w:num w:numId="4" w16cid:durableId="339815945">
    <w:abstractNumId w:val="7"/>
  </w:num>
  <w:num w:numId="5" w16cid:durableId="660349006">
    <w:abstractNumId w:val="6"/>
  </w:num>
  <w:num w:numId="6" w16cid:durableId="2105221393">
    <w:abstractNumId w:val="6"/>
  </w:num>
  <w:num w:numId="7" w16cid:durableId="760491944">
    <w:abstractNumId w:val="5"/>
  </w:num>
  <w:num w:numId="8" w16cid:durableId="986009388">
    <w:abstractNumId w:val="5"/>
  </w:num>
  <w:num w:numId="9" w16cid:durableId="1542328827">
    <w:abstractNumId w:val="4"/>
  </w:num>
  <w:num w:numId="10" w16cid:durableId="1099913767">
    <w:abstractNumId w:val="4"/>
  </w:num>
  <w:num w:numId="11" w16cid:durableId="925959900">
    <w:abstractNumId w:val="8"/>
  </w:num>
  <w:num w:numId="12" w16cid:durableId="494994699">
    <w:abstractNumId w:val="8"/>
  </w:num>
  <w:num w:numId="13" w16cid:durableId="575818947">
    <w:abstractNumId w:val="3"/>
  </w:num>
  <w:num w:numId="14" w16cid:durableId="1840343239">
    <w:abstractNumId w:val="3"/>
  </w:num>
  <w:num w:numId="15" w16cid:durableId="237137370">
    <w:abstractNumId w:val="2"/>
  </w:num>
  <w:num w:numId="16" w16cid:durableId="1073238555">
    <w:abstractNumId w:val="2"/>
  </w:num>
  <w:num w:numId="17" w16cid:durableId="2064331194">
    <w:abstractNumId w:val="1"/>
  </w:num>
  <w:num w:numId="18" w16cid:durableId="900675369">
    <w:abstractNumId w:val="1"/>
  </w:num>
  <w:num w:numId="19" w16cid:durableId="124585511">
    <w:abstractNumId w:val="0"/>
  </w:num>
  <w:num w:numId="20" w16cid:durableId="842429937">
    <w:abstractNumId w:val="0"/>
  </w:num>
  <w:num w:numId="21" w16cid:durableId="1816215446">
    <w:abstractNumId w:val="9"/>
  </w:num>
  <w:num w:numId="22" w16cid:durableId="565535355">
    <w:abstractNumId w:val="7"/>
  </w:num>
  <w:num w:numId="23" w16cid:durableId="1537355592">
    <w:abstractNumId w:val="6"/>
  </w:num>
  <w:num w:numId="24" w16cid:durableId="15011357">
    <w:abstractNumId w:val="5"/>
  </w:num>
  <w:num w:numId="25" w16cid:durableId="1953854616">
    <w:abstractNumId w:val="4"/>
  </w:num>
  <w:num w:numId="26" w16cid:durableId="1275164727">
    <w:abstractNumId w:val="8"/>
  </w:num>
  <w:num w:numId="27" w16cid:durableId="1932539415">
    <w:abstractNumId w:val="3"/>
  </w:num>
  <w:num w:numId="28" w16cid:durableId="899705756">
    <w:abstractNumId w:val="2"/>
  </w:num>
  <w:num w:numId="29" w16cid:durableId="2046559901">
    <w:abstractNumId w:val="1"/>
  </w:num>
  <w:num w:numId="30" w16cid:durableId="1082920083">
    <w:abstractNumId w:val="0"/>
  </w:num>
  <w:num w:numId="31" w16cid:durableId="84813100">
    <w:abstractNumId w:val="9"/>
  </w:num>
  <w:num w:numId="32" w16cid:durableId="1238514235">
    <w:abstractNumId w:val="7"/>
  </w:num>
  <w:num w:numId="33" w16cid:durableId="1647397793">
    <w:abstractNumId w:val="6"/>
  </w:num>
  <w:num w:numId="34" w16cid:durableId="981695751">
    <w:abstractNumId w:val="5"/>
  </w:num>
  <w:num w:numId="35" w16cid:durableId="1935672708">
    <w:abstractNumId w:val="4"/>
  </w:num>
  <w:num w:numId="36" w16cid:durableId="675963122">
    <w:abstractNumId w:val="8"/>
  </w:num>
  <w:num w:numId="37" w16cid:durableId="986782348">
    <w:abstractNumId w:val="3"/>
  </w:num>
  <w:num w:numId="38" w16cid:durableId="14968872">
    <w:abstractNumId w:val="2"/>
  </w:num>
  <w:num w:numId="39" w16cid:durableId="1699701818">
    <w:abstractNumId w:val="1"/>
  </w:num>
  <w:num w:numId="40" w16cid:durableId="1505826717">
    <w:abstractNumId w:val="0"/>
  </w:num>
  <w:num w:numId="41" w16cid:durableId="788933828">
    <w:abstractNumId w:val="10"/>
  </w:num>
  <w:num w:numId="42" w16cid:durableId="1898054250">
    <w:abstractNumId w:val="10"/>
  </w:num>
  <w:num w:numId="43" w16cid:durableId="1640844989">
    <w:abstractNumId w:val="10"/>
  </w:num>
  <w:num w:numId="44" w16cid:durableId="14085722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3/2026"/>
    <w:docVar w:name="dvlangue" w:val="CS"/>
    <w:docVar w:name="dvnumam" w:val="0"/>
    <w:docVar w:name="dvpe" w:val="784.483"/>
    <w:docVar w:name="dvrapporteur" w:val="Zpravodaj: "/>
    <w:docVar w:name="dvtitre" w:val="Usnesení Evropského parlamentu ze dne.... 2026 o nové strategii pro mediální gramotnost a digitální učení(2025/2181(INI))"/>
  </w:docVars>
  <w:rsids>
    <w:rsidRoot w:val="00790F4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6D80"/>
    <w:rsid w:val="00545827"/>
    <w:rsid w:val="00560270"/>
    <w:rsid w:val="005C2568"/>
    <w:rsid w:val="005F1B17"/>
    <w:rsid w:val="006037C0"/>
    <w:rsid w:val="00634B0C"/>
    <w:rsid w:val="006631B6"/>
    <w:rsid w:val="00677227"/>
    <w:rsid w:val="00680577"/>
    <w:rsid w:val="006F74FA"/>
    <w:rsid w:val="00731ADD"/>
    <w:rsid w:val="00734777"/>
    <w:rsid w:val="00747932"/>
    <w:rsid w:val="00751A4A"/>
    <w:rsid w:val="00756632"/>
    <w:rsid w:val="00762C74"/>
    <w:rsid w:val="0076689B"/>
    <w:rsid w:val="00786EC0"/>
    <w:rsid w:val="00790F44"/>
    <w:rsid w:val="007D1690"/>
    <w:rsid w:val="007E22AD"/>
    <w:rsid w:val="00817416"/>
    <w:rsid w:val="00842779"/>
    <w:rsid w:val="00861357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4598"/>
    <w:rsid w:val="00ED169E"/>
    <w:rsid w:val="00ED4235"/>
    <w:rsid w:val="00F04346"/>
    <w:rsid w:val="00F075DC"/>
    <w:rsid w:val="00F149E9"/>
    <w:rsid w:val="00F5134D"/>
    <w:rsid w:val="00F74202"/>
    <w:rsid w:val="00F87713"/>
    <w:rsid w:val="00F91625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93D733"/>
  <w15:chartTrackingRefBased/>
  <w15:docId w15:val="{F46C4FD6-3B82-483C-923D-08D754503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861357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  <w:szCs w:val="24"/>
      <w:lang w:eastAsia="en-US"/>
    </w:rPr>
  </w:style>
  <w:style w:type="paragraph" w:customStyle="1" w:styleId="Normal12a">
    <w:name w:val="Normal12a"/>
    <w:basedOn w:val="Normal"/>
    <w:rsid w:val="00861357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link w:val="NormalHanging12aChar"/>
    <w:rsid w:val="00861357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EPFooter">
    <w:name w:val="EPFooter"/>
    <w:basedOn w:val="Normal"/>
    <w:rsid w:val="00861357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  <w:szCs w:val="24"/>
      <w:lang w:eastAsia="en-US"/>
    </w:rPr>
  </w:style>
  <w:style w:type="paragraph" w:customStyle="1" w:styleId="Normal12">
    <w:name w:val="Normal12"/>
    <w:basedOn w:val="Normal"/>
    <w:rsid w:val="00861357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861357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861357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861357"/>
    <w:rPr>
      <w:color w:val="0000FF"/>
      <w:u w:val="single"/>
    </w:rPr>
  </w:style>
  <w:style w:type="paragraph" w:styleId="Header">
    <w:name w:val="header"/>
    <w:basedOn w:val="Normal"/>
    <w:link w:val="HeaderChar"/>
    <w:rsid w:val="00861357"/>
    <w:pPr>
      <w:tabs>
        <w:tab w:val="center" w:pos="4513"/>
        <w:tab w:val="right" w:pos="9026"/>
      </w:tabs>
    </w:pPr>
    <w:rPr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861357"/>
    <w:rPr>
      <w:sz w:val="24"/>
      <w:szCs w:val="24"/>
      <w:lang w:val="cs-CZ"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861357"/>
    <w:rPr>
      <w:sz w:val="24"/>
      <w:szCs w:val="24"/>
      <w:lang w:val="cs-CZ" w:eastAsia="en-US"/>
    </w:rPr>
  </w:style>
  <w:style w:type="paragraph" w:styleId="Footer">
    <w:name w:val="footer"/>
    <w:basedOn w:val="Normal"/>
    <w:link w:val="FooterChar"/>
    <w:rsid w:val="00526D8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26D80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4072</Words>
  <Characters>25576</Characters>
  <Application>Microsoft Office Word</Application>
  <DocSecurity>0</DocSecurity>
  <Lines>213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2026-07-07T11:18:00Z</dcterms:created>
  <dcterms:modified xsi:type="dcterms:W3CDTF">2026-07-07T11:18:00Z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A10-0173/2026</vt:lpwstr>
  </property>
  <property fmtid="{D5CDD505-2E9C-101B-9397-08002B2CF9AE}" pid="4" name="&lt;Type&gt;">
    <vt:lpwstr>RR</vt:lpwstr>
  </property>
</Properties>
</file>