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17463" w14:paraId="7F98E32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1BF1B83" w14:textId="77777777" w:rsidR="00751A4A" w:rsidRPr="00D17463" w:rsidRDefault="00E41C92" w:rsidP="0010095E">
            <w:pPr>
              <w:pStyle w:val="EPName"/>
            </w:pPr>
            <w:r w:rsidRPr="00D17463">
              <w:t>Europski parlament</w:t>
            </w:r>
          </w:p>
          <w:p w14:paraId="6B8F1A8C" w14:textId="77777777" w:rsidR="00751A4A" w:rsidRPr="00D1746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17463">
              <w:t>2024</w:t>
            </w:r>
            <w:r w:rsidR="00817416" w:rsidRPr="00D17463">
              <w:t>-202</w:t>
            </w:r>
            <w:r w:rsidRPr="00D17463">
              <w:t>9</w:t>
            </w:r>
          </w:p>
        </w:tc>
        <w:tc>
          <w:tcPr>
            <w:tcW w:w="2268" w:type="dxa"/>
            <w:shd w:val="clear" w:color="auto" w:fill="auto"/>
          </w:tcPr>
          <w:p w14:paraId="6BFA6245" w14:textId="77777777" w:rsidR="00751A4A" w:rsidRPr="00D17463" w:rsidRDefault="00187494" w:rsidP="0010095E">
            <w:pPr>
              <w:pStyle w:val="EPLogo"/>
            </w:pPr>
            <w:r w:rsidRPr="00D17463">
              <w:rPr>
                <w:noProof/>
                <w:lang w:eastAsia="ja-JP"/>
              </w:rPr>
              <w:drawing>
                <wp:inline distT="0" distB="0" distL="0" distR="0" wp14:anchorId="5201CEF0" wp14:editId="2A6CB43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504E21" w14:textId="77777777" w:rsidR="00D058B8" w:rsidRPr="00D17463" w:rsidRDefault="00D058B8" w:rsidP="004C5D52">
      <w:pPr>
        <w:pStyle w:val="LineTop"/>
      </w:pPr>
    </w:p>
    <w:p w14:paraId="4ED2098D" w14:textId="77777777" w:rsidR="00680577" w:rsidRPr="00D17463" w:rsidRDefault="00E41C92" w:rsidP="00680577">
      <w:pPr>
        <w:pStyle w:val="EPBodyTA1"/>
      </w:pPr>
      <w:r w:rsidRPr="00D17463">
        <w:t>USVOJENI TEKSTOVI</w:t>
      </w:r>
    </w:p>
    <w:p w14:paraId="6AC53D96" w14:textId="77777777" w:rsidR="00D058B8" w:rsidRPr="00D17463" w:rsidRDefault="00D058B8" w:rsidP="00D058B8">
      <w:pPr>
        <w:pStyle w:val="LineBottom"/>
      </w:pPr>
    </w:p>
    <w:p w14:paraId="2BD89BC1" w14:textId="2B6723A6" w:rsidR="00E41C92" w:rsidRPr="00D17463" w:rsidRDefault="00E41C92" w:rsidP="00E41C92">
      <w:pPr>
        <w:pStyle w:val="ATHeading1"/>
      </w:pPr>
      <w:bookmarkStart w:id="0" w:name="TANumber"/>
      <w:r w:rsidRPr="00D17463">
        <w:t>P10_TA(2026)0</w:t>
      </w:r>
      <w:bookmarkEnd w:id="0"/>
      <w:r w:rsidR="001762E3">
        <w:t>249</w:t>
      </w:r>
    </w:p>
    <w:p w14:paraId="2FDC031F" w14:textId="77777777" w:rsidR="00E41C92" w:rsidRPr="00D17463" w:rsidRDefault="00E41C92" w:rsidP="00E41C92">
      <w:pPr>
        <w:pStyle w:val="ATHeading2"/>
      </w:pPr>
      <w:bookmarkStart w:id="1" w:name="title"/>
      <w:r w:rsidRPr="00D17463">
        <w:t>Nova strategija za medijsku pismenost i digitalno učenje</w:t>
      </w:r>
      <w:bookmarkEnd w:id="1"/>
    </w:p>
    <w:p w14:paraId="26708518" w14:textId="77777777" w:rsidR="00E41C92" w:rsidRPr="00D17463" w:rsidRDefault="00E41C92" w:rsidP="00E41C92">
      <w:pPr>
        <w:rPr>
          <w:i/>
          <w:vanish/>
        </w:rPr>
      </w:pPr>
      <w:r w:rsidRPr="00D17463">
        <w:rPr>
          <w:i/>
        </w:rPr>
        <w:fldChar w:fldCharType="begin"/>
      </w:r>
      <w:r w:rsidRPr="00D17463">
        <w:rPr>
          <w:i/>
        </w:rPr>
        <w:instrText xml:space="preserve"> TC"(</w:instrText>
      </w:r>
      <w:bookmarkStart w:id="2" w:name="DocNumber"/>
      <w:r w:rsidRPr="00D17463">
        <w:rPr>
          <w:i/>
        </w:rPr>
        <w:instrText>A10-0173/2026</w:instrText>
      </w:r>
      <w:bookmarkEnd w:id="2"/>
      <w:r w:rsidRPr="00D17463">
        <w:rPr>
          <w:i/>
        </w:rPr>
        <w:instrText xml:space="preserve"> - Izvjestitelj: </w:instrText>
      </w:r>
      <w:proofErr w:type="spellStart"/>
      <w:r w:rsidRPr="00D17463">
        <w:rPr>
          <w:i/>
        </w:rPr>
        <w:instrText>Marcos</w:instrText>
      </w:r>
      <w:proofErr w:type="spellEnd"/>
      <w:r w:rsidRPr="00D17463">
        <w:rPr>
          <w:i/>
        </w:rPr>
        <w:instrText xml:space="preserve"> </w:instrText>
      </w:r>
      <w:proofErr w:type="spellStart"/>
      <w:r w:rsidRPr="00D17463">
        <w:rPr>
          <w:i/>
        </w:rPr>
        <w:instrText>Ros</w:instrText>
      </w:r>
      <w:proofErr w:type="spellEnd"/>
      <w:r w:rsidRPr="00D17463">
        <w:rPr>
          <w:i/>
        </w:rPr>
        <w:instrText xml:space="preserve"> </w:instrText>
      </w:r>
      <w:proofErr w:type="spellStart"/>
      <w:r w:rsidRPr="00D17463">
        <w:rPr>
          <w:i/>
        </w:rPr>
        <w:instrText>Sempere</w:instrText>
      </w:r>
      <w:proofErr w:type="spellEnd"/>
      <w:r w:rsidRPr="00D17463">
        <w:rPr>
          <w:i/>
        </w:rPr>
        <w:instrText xml:space="preserve">)"\l3 \n&gt; \* MERGEFORMAT </w:instrText>
      </w:r>
      <w:r w:rsidRPr="00D17463">
        <w:rPr>
          <w:i/>
        </w:rPr>
        <w:fldChar w:fldCharType="end"/>
      </w:r>
    </w:p>
    <w:p w14:paraId="45AEB279" w14:textId="77777777" w:rsidR="00E41C92" w:rsidRPr="00D17463" w:rsidRDefault="00E41C92" w:rsidP="00E41C92">
      <w:pPr>
        <w:rPr>
          <w:vanish/>
        </w:rPr>
      </w:pPr>
      <w:bookmarkStart w:id="3" w:name="Commission"/>
      <w:r w:rsidRPr="00D17463">
        <w:rPr>
          <w:vanish/>
        </w:rPr>
        <w:t>Odbor za kulturu i obrazovanje</w:t>
      </w:r>
      <w:bookmarkEnd w:id="3"/>
    </w:p>
    <w:p w14:paraId="5A01B41B" w14:textId="77777777" w:rsidR="00E41C92" w:rsidRPr="00D17463" w:rsidRDefault="00E41C92" w:rsidP="00E41C92">
      <w:pPr>
        <w:rPr>
          <w:vanish/>
        </w:rPr>
      </w:pPr>
      <w:bookmarkStart w:id="4" w:name="PE"/>
      <w:r w:rsidRPr="00D17463">
        <w:rPr>
          <w:vanish/>
        </w:rPr>
        <w:t>PE784.483</w:t>
      </w:r>
      <w:bookmarkEnd w:id="4"/>
    </w:p>
    <w:p w14:paraId="0E675C15" w14:textId="070EBBEE" w:rsidR="00E41C92" w:rsidRPr="00D17463" w:rsidRDefault="00E41C92" w:rsidP="00E41C92">
      <w:pPr>
        <w:pStyle w:val="ATHeading3"/>
      </w:pPr>
      <w:bookmarkStart w:id="5" w:name="Sujet"/>
      <w:r w:rsidRPr="00D17463">
        <w:t xml:space="preserve">Rezolucija Europskog parlamenta od </w:t>
      </w:r>
      <w:r w:rsidR="005E717B">
        <w:t>7. srpnja</w:t>
      </w:r>
      <w:r w:rsidRPr="00D17463">
        <w:t xml:space="preserve"> 2026. o novoj strategiji za medijsku pismenost i digitalno učenje</w:t>
      </w:r>
      <w:bookmarkEnd w:id="5"/>
      <w:r w:rsidRPr="00D17463">
        <w:t xml:space="preserve"> </w:t>
      </w:r>
      <w:bookmarkStart w:id="6" w:name="References"/>
      <w:r w:rsidRPr="00D17463">
        <w:t>(2025/2181(INI))</w:t>
      </w:r>
      <w:bookmarkEnd w:id="6"/>
    </w:p>
    <w:p w14:paraId="2812A649" w14:textId="77777777" w:rsidR="00606CC3" w:rsidRPr="00D17463" w:rsidRDefault="00606CC3" w:rsidP="00606CC3">
      <w:pPr>
        <w:pStyle w:val="Normal12"/>
      </w:pPr>
      <w:r w:rsidRPr="00D17463">
        <w:rPr>
          <w:i/>
          <w:iCs/>
        </w:rPr>
        <w:t>Europski parlament</w:t>
      </w:r>
      <w:r w:rsidRPr="00D17463">
        <w:t>,</w:t>
      </w:r>
    </w:p>
    <w:p w14:paraId="6E81F750" w14:textId="0B92AEC4" w:rsidR="00606CC3" w:rsidRPr="00D17463" w:rsidRDefault="00606CC3" w:rsidP="00606CC3">
      <w:pPr>
        <w:pStyle w:val="NormalHanging"/>
      </w:pPr>
      <w:r w:rsidRPr="00D17463">
        <w:t>–</w:t>
      </w:r>
      <w:r w:rsidRPr="00D17463">
        <w:tab/>
        <w:t>uzimajući u obzir Direktivu (EU) 2018/1808 Europskog parlamenta i Vijeća od 14. studenoga 2018. o izmjeni Direktive 2010/13/EU o koordinaciji određenih odredaba utvrđenih zakonima i drugim propisima u državama članicama o pružanju audiovizualnih medijskih usluga (Direktiva o audiovizualnim medijskim uslugama) u pogledu promjenjivog stanja na tržištu</w:t>
      </w:r>
      <w:r w:rsidR="005E717B">
        <w:rPr>
          <w:rStyle w:val="FootnoteReference"/>
        </w:rPr>
        <w:footnoteReference w:id="1"/>
      </w:r>
      <w:r w:rsidRPr="00D17463">
        <w:t>,</w:t>
      </w:r>
    </w:p>
    <w:p w14:paraId="0AF9AC21" w14:textId="77777777" w:rsidR="00606CC3" w:rsidRPr="00D17463" w:rsidRDefault="00606CC3" w:rsidP="00606CC3">
      <w:pPr>
        <w:pStyle w:val="NormalHanging12a"/>
      </w:pPr>
      <w:r w:rsidRPr="00D17463">
        <w:t>–</w:t>
      </w:r>
      <w:r w:rsidRPr="00D17463">
        <w:tab/>
        <w:t>uzimajući u obzir Uredbu (EU) 2024/1083 Europskog parlamenta i Vijeća od 11. travnja 2024. o uspostavi zajedničkog okvira za medijske usluge na unutarnjem tržištu i izmjeni Direktive 2010/13/EU (Europski akt o slobodi medija)</w:t>
      </w:r>
      <w:r w:rsidRPr="00D17463">
        <w:rPr>
          <w:rStyle w:val="FootnoteReference"/>
        </w:rPr>
        <w:footnoteReference w:id="2"/>
      </w:r>
      <w:r w:rsidRPr="00D17463">
        <w:t>,</w:t>
      </w:r>
    </w:p>
    <w:p w14:paraId="274D2F67" w14:textId="77777777" w:rsidR="00606CC3" w:rsidRPr="00D17463" w:rsidRDefault="00606CC3" w:rsidP="00606CC3">
      <w:pPr>
        <w:pStyle w:val="NormalHanging12a"/>
      </w:pPr>
      <w:r w:rsidRPr="00D17463">
        <w:t>–</w:t>
      </w:r>
      <w:r w:rsidRPr="00D17463">
        <w:tab/>
        <w:t>uzimajući u obzir Uredbu (EU) 2022/2065 Europskog parlamenta i Vijeća od 19. listopada 2022. o jedinstvenom tržištu digitalnih usluga i izmjeni Direktive 2000/31/EZ (Akt o digitalnim uslugama)</w:t>
      </w:r>
      <w:r w:rsidRPr="00D17463">
        <w:rPr>
          <w:vertAlign w:val="superscript"/>
        </w:rPr>
        <w:footnoteReference w:id="3"/>
      </w:r>
      <w:r w:rsidRPr="00D17463">
        <w:t>,</w:t>
      </w:r>
    </w:p>
    <w:p w14:paraId="57204BD9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rPr>
          <w:i/>
        </w:rPr>
        <w:tab/>
      </w:r>
      <w:r w:rsidRPr="00D17463">
        <w:t>uzimajući u obzir Uredbu (EU) 2024/1689 Europskog parlamenta i Vijeća od 13. lipnja 2024. o utvrđivanju usklađenih pravila o umjetnoj inteligenciji i o izmjeni uredaba (EZ) br. 300/2008, (EU) br. 167/2013, (EU) br. 168/2013, (EU) 2018/858, (EU) 2018/1139 i (EU) 2019/2144 te direktiva 2014/90/EU, (EU) 2016/797 i (EU) 2020/1828 (Akt o umjetnoj inteligenciji)</w:t>
      </w:r>
      <w:r w:rsidRPr="00D17463">
        <w:rPr>
          <w:rStyle w:val="FootnoteReference"/>
          <w:bCs/>
          <w:iCs/>
        </w:rPr>
        <w:footnoteReference w:id="4"/>
      </w:r>
      <w:r w:rsidRPr="00D17463">
        <w:t>,</w:t>
      </w:r>
    </w:p>
    <w:p w14:paraId="0D0A9DF9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>uzimajući u obzir svoju Rezoluciju od 25. ožujka 2021. o oblikovanju politike digitalnog obrazovanja</w:t>
      </w:r>
      <w:r w:rsidRPr="00D17463">
        <w:rPr>
          <w:rStyle w:val="FootnoteReference"/>
          <w:bCs/>
          <w:iCs/>
        </w:rPr>
        <w:footnoteReference w:id="5"/>
      </w:r>
      <w:r w:rsidRPr="00D17463">
        <w:t>,</w:t>
      </w:r>
    </w:p>
    <w:p w14:paraId="6B5B20A3" w14:textId="77777777" w:rsidR="00606CC3" w:rsidRPr="00D17463" w:rsidRDefault="00606CC3" w:rsidP="00606CC3">
      <w:pPr>
        <w:pStyle w:val="NormalHanging"/>
      </w:pPr>
      <w:r w:rsidRPr="00D17463">
        <w:lastRenderedPageBreak/>
        <w:t>–</w:t>
      </w:r>
      <w:r w:rsidRPr="00D17463">
        <w:tab/>
        <w:t>uzimajući u obzir komunikaciju Komisije od 11. svibnja 2022. naslovljenu „Digitalno desetljeće za djecu i mlade: nova Europska strategija za bolji internet za djecu (BIK+)” (COM(2022)0212),</w:t>
      </w:r>
    </w:p>
    <w:p w14:paraId="21FFFC7C" w14:textId="77777777" w:rsidR="00606CC3" w:rsidRPr="00D17463" w:rsidRDefault="00606CC3" w:rsidP="00606CC3">
      <w:pPr>
        <w:pStyle w:val="NormalHanging12a"/>
      </w:pPr>
      <w:r w:rsidRPr="00D17463">
        <w:t>–</w:t>
      </w:r>
      <w:r w:rsidRPr="00D17463">
        <w:tab/>
        <w:t>uzimajući u obzir zajedničku komunikaciju Komisije i visoke predstavnice Unije za vanjske poslove i sigurnosnu politiku od 12. studenoga 2025. naslovljenu „Europski štit za zaštitu demokracije: za jača i otpornija demokratska društva” (JOIN(2025)0791),</w:t>
      </w:r>
    </w:p>
    <w:p w14:paraId="7485F0D8" w14:textId="77777777" w:rsidR="00606CC3" w:rsidRPr="00D17463" w:rsidRDefault="00606CC3" w:rsidP="00606CC3">
      <w:pPr>
        <w:pStyle w:val="NormalHanging"/>
      </w:pPr>
      <w:r w:rsidRPr="00D17463">
        <w:t>–</w:t>
      </w:r>
      <w:r w:rsidRPr="00D17463">
        <w:tab/>
        <w:t>uzimajući u obzir Komunikaciju Komisije od 5. ožujka 2025. o Akcijskom planu za osnovne vještine (COM(2025)0088),</w:t>
      </w:r>
    </w:p>
    <w:p w14:paraId="51757977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>uzimajući u obzir komunikaciju Komisije od 3. prosinca 2020. naslovljenu „Europski mediji u digitalnom desetljeću: akcijski plan za potporu oporavku i transformaciji” (COM(2020)0784),</w:t>
      </w:r>
    </w:p>
    <w:p w14:paraId="22C1B2C2" w14:textId="77777777" w:rsidR="00606CC3" w:rsidRPr="00D17463" w:rsidRDefault="00606CC3" w:rsidP="00606CC3">
      <w:pPr>
        <w:pStyle w:val="NormalHanging"/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>uzimajući u obzir komunikaciju Komisije od 10. veljače 2026. naslovljenu „Akcijski plan za borbu protiv zlostavljanja na internetu – ,Sigurniji na internetu, snažniji zajedno’” (COM(2026)0071),</w:t>
      </w:r>
    </w:p>
    <w:p w14:paraId="7BF37EDC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>uzimajući u obzir komunikaciju Komisije od 5. ožujka 2026. naslovljenu „Strategija za međugeneracijsku pravednost” (COM(2026)0110),</w:t>
      </w:r>
    </w:p>
    <w:p w14:paraId="4756BB94" w14:textId="77777777" w:rsidR="00606CC3" w:rsidRPr="00D17463" w:rsidRDefault="00606CC3" w:rsidP="00606CC3">
      <w:pPr>
        <w:pStyle w:val="NormalHanging"/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>uzimajući u obzir svoju Rezoluciju od 26. studenoga 2025. o zaštiti maloljetnika na internetu</w:t>
      </w:r>
      <w:r w:rsidRPr="00D17463">
        <w:rPr>
          <w:rStyle w:val="FootnoteReference"/>
        </w:rPr>
        <w:footnoteReference w:id="6"/>
      </w:r>
      <w:r w:rsidRPr="00D17463">
        <w:t>,</w:t>
      </w:r>
    </w:p>
    <w:p w14:paraId="6566E7C4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rPr>
          <w:b/>
          <w:i/>
        </w:rPr>
        <w:t>–</w:t>
      </w:r>
      <w:r w:rsidRPr="00D17463">
        <w:tab/>
        <w:t>uzimajući u obzir pakt UN-a za budućnost od 22. rujna 2024.,</w:t>
      </w:r>
    </w:p>
    <w:p w14:paraId="37D64396" w14:textId="77777777" w:rsidR="00606CC3" w:rsidRPr="00D17463" w:rsidRDefault="00606CC3" w:rsidP="00606CC3">
      <w:pPr>
        <w:pStyle w:val="NormalHanging"/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>uzimajući u obzir rezoluciju Vijeća Europske unije i predstavnika vlada država članica, koji su se sastali unutar Vijeća, o okviru za europsku suradnju u području mladih naslovljenu „Strategija Europske unije za mlade za razdoblje 2019. – 2027.”</w:t>
      </w:r>
      <w:r w:rsidRPr="00D17463">
        <w:rPr>
          <w:rStyle w:val="FootnoteReference"/>
        </w:rPr>
        <w:footnoteReference w:id="7"/>
      </w:r>
      <w:r w:rsidRPr="00D17463">
        <w:t>,</w:t>
      </w:r>
    </w:p>
    <w:p w14:paraId="31EBB539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>uzimajući u obzir publikaciju Komisije naslovljenu „Etičke smjernice za upotrebu umjetne inteligencije i podataka u poučavanju i učenju”, objavljenu 2026.,</w:t>
      </w:r>
    </w:p>
    <w:p w14:paraId="3A941C7B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tab/>
        <w:t>uzimajući u obzir publikaciju Komisije naslovljenu „</w:t>
      </w:r>
      <w:proofErr w:type="spellStart"/>
      <w:r w:rsidRPr="00D17463">
        <w:t>Guidelines</w:t>
      </w:r>
      <w:proofErr w:type="spellEnd"/>
      <w:r w:rsidRPr="00D17463">
        <w:t xml:space="preserve"> for </w:t>
      </w:r>
      <w:proofErr w:type="spellStart"/>
      <w:r w:rsidRPr="00D17463">
        <w:t>teaching</w:t>
      </w:r>
      <w:proofErr w:type="spellEnd"/>
      <w:r w:rsidRPr="00D17463">
        <w:t xml:space="preserve"> </w:t>
      </w:r>
      <w:proofErr w:type="spellStart"/>
      <w:r w:rsidRPr="00D17463">
        <w:t>informatics</w:t>
      </w:r>
      <w:proofErr w:type="spellEnd"/>
      <w:r w:rsidRPr="00D17463">
        <w:t xml:space="preserve">: </w:t>
      </w:r>
      <w:proofErr w:type="spellStart"/>
      <w:r w:rsidRPr="00D17463">
        <w:t>practical</w:t>
      </w:r>
      <w:proofErr w:type="spellEnd"/>
      <w:r w:rsidRPr="00D17463">
        <w:t xml:space="preserve"> </w:t>
      </w:r>
      <w:proofErr w:type="spellStart"/>
      <w:r w:rsidRPr="00D17463">
        <w:t>strategies</w:t>
      </w:r>
      <w:proofErr w:type="spellEnd"/>
      <w:r w:rsidRPr="00D17463">
        <w:t xml:space="preserve"> for European </w:t>
      </w:r>
      <w:proofErr w:type="spellStart"/>
      <w:r w:rsidRPr="00D17463">
        <w:t>classrooms</w:t>
      </w:r>
      <w:proofErr w:type="spellEnd"/>
      <w:r w:rsidRPr="00D17463">
        <w:t>” (Smjernice za poučavanje informatike: praktične strategije za europske učionice), objavljenu 2026.,</w:t>
      </w:r>
    </w:p>
    <w:p w14:paraId="5F156D2E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>uzimajući u obzir publikaciju Komisije naslovljenu „</w:t>
      </w:r>
      <w:proofErr w:type="spellStart"/>
      <w:r w:rsidRPr="00D17463">
        <w:t>Wellbeing</w:t>
      </w:r>
      <w:proofErr w:type="spellEnd"/>
      <w:r w:rsidRPr="00D17463">
        <w:t xml:space="preserve"> </w:t>
      </w:r>
      <w:proofErr w:type="spellStart"/>
      <w:r w:rsidRPr="00D17463">
        <w:t>and</w:t>
      </w:r>
      <w:proofErr w:type="spellEnd"/>
      <w:r w:rsidRPr="00D17463">
        <w:t xml:space="preserve"> </w:t>
      </w:r>
      <w:proofErr w:type="spellStart"/>
      <w:r w:rsidRPr="00D17463">
        <w:t>mental</w:t>
      </w:r>
      <w:proofErr w:type="spellEnd"/>
      <w:r w:rsidRPr="00D17463">
        <w:t xml:space="preserve"> </w:t>
      </w:r>
      <w:proofErr w:type="spellStart"/>
      <w:r w:rsidRPr="00D17463">
        <w:t>health</w:t>
      </w:r>
      <w:proofErr w:type="spellEnd"/>
      <w:r w:rsidRPr="00D17463">
        <w:t xml:space="preserve"> at </w:t>
      </w:r>
      <w:proofErr w:type="spellStart"/>
      <w:r w:rsidRPr="00D17463">
        <w:t>school</w:t>
      </w:r>
      <w:proofErr w:type="spellEnd"/>
      <w:r w:rsidRPr="00D17463">
        <w:t xml:space="preserve"> – </w:t>
      </w:r>
      <w:proofErr w:type="spellStart"/>
      <w:r w:rsidRPr="00D17463">
        <w:t>Guidelines</w:t>
      </w:r>
      <w:proofErr w:type="spellEnd"/>
      <w:r w:rsidRPr="00D17463">
        <w:t xml:space="preserve"> for </w:t>
      </w:r>
      <w:proofErr w:type="spellStart"/>
      <w:r w:rsidRPr="00D17463">
        <w:t>education</w:t>
      </w:r>
      <w:proofErr w:type="spellEnd"/>
      <w:r w:rsidRPr="00D17463">
        <w:t xml:space="preserve"> </w:t>
      </w:r>
      <w:proofErr w:type="spellStart"/>
      <w:r w:rsidRPr="00D17463">
        <w:t>policymakers</w:t>
      </w:r>
      <w:proofErr w:type="spellEnd"/>
      <w:r w:rsidRPr="00D17463">
        <w:t xml:space="preserve">” (Dobrobit i mentalno zdravlje u školi – smjernice za </w:t>
      </w:r>
      <w:proofErr w:type="spellStart"/>
      <w:r w:rsidRPr="00D17463">
        <w:t>oblikovatelje</w:t>
      </w:r>
      <w:proofErr w:type="spellEnd"/>
      <w:r w:rsidRPr="00D17463">
        <w:t xml:space="preserve"> obrazovnih politika), objavljenu 2024.,</w:t>
      </w:r>
    </w:p>
    <w:p w14:paraId="540A5706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>uzimajući u obzir publikaciju Zajedničkog istraživačkog centra naslovljenu „</w:t>
      </w:r>
      <w:proofErr w:type="spellStart"/>
      <w:r w:rsidRPr="00D17463">
        <w:t>Social</w:t>
      </w:r>
      <w:proofErr w:type="spellEnd"/>
      <w:r w:rsidRPr="00D17463">
        <w:t xml:space="preserve"> </w:t>
      </w:r>
      <w:proofErr w:type="spellStart"/>
      <w:r w:rsidRPr="00D17463">
        <w:t>media</w:t>
      </w:r>
      <w:proofErr w:type="spellEnd"/>
      <w:r w:rsidRPr="00D17463">
        <w:t xml:space="preserve"> </w:t>
      </w:r>
      <w:proofErr w:type="spellStart"/>
      <w:r w:rsidRPr="00D17463">
        <w:t>usage</w:t>
      </w:r>
      <w:proofErr w:type="spellEnd"/>
      <w:r w:rsidRPr="00D17463">
        <w:t xml:space="preserve"> </w:t>
      </w:r>
      <w:proofErr w:type="spellStart"/>
      <w:r w:rsidRPr="00D17463">
        <w:t>and</w:t>
      </w:r>
      <w:proofErr w:type="spellEnd"/>
      <w:r w:rsidRPr="00D17463">
        <w:t xml:space="preserve"> </w:t>
      </w:r>
      <w:proofErr w:type="spellStart"/>
      <w:r w:rsidRPr="00D17463">
        <w:t>adolescents</w:t>
      </w:r>
      <w:proofErr w:type="spellEnd"/>
      <w:r w:rsidRPr="00D17463">
        <w:t xml:space="preserve">’ </w:t>
      </w:r>
      <w:proofErr w:type="spellStart"/>
      <w:r w:rsidRPr="00D17463">
        <w:t>mental</w:t>
      </w:r>
      <w:proofErr w:type="spellEnd"/>
      <w:r w:rsidRPr="00D17463">
        <w:t xml:space="preserve"> </w:t>
      </w:r>
      <w:proofErr w:type="spellStart"/>
      <w:r w:rsidRPr="00D17463">
        <w:t>health</w:t>
      </w:r>
      <w:proofErr w:type="spellEnd"/>
      <w:r w:rsidRPr="00D17463">
        <w:t xml:space="preserve"> </w:t>
      </w:r>
      <w:proofErr w:type="spellStart"/>
      <w:r w:rsidRPr="00D17463">
        <w:t>in</w:t>
      </w:r>
      <w:proofErr w:type="spellEnd"/>
      <w:r w:rsidRPr="00D17463">
        <w:t xml:space="preserve"> </w:t>
      </w:r>
      <w:proofErr w:type="spellStart"/>
      <w:r w:rsidRPr="00D17463">
        <w:t>the</w:t>
      </w:r>
      <w:proofErr w:type="spellEnd"/>
      <w:r w:rsidRPr="00D17463">
        <w:t xml:space="preserve"> EU” (Uporaba društvenih medija i mentalno zdravlje adolescenata u EU-u), objavljenu 2025.,</w:t>
      </w:r>
    </w:p>
    <w:p w14:paraId="2BB96ECD" w14:textId="77777777" w:rsidR="00606CC3" w:rsidRPr="00D17463" w:rsidRDefault="00606CC3" w:rsidP="00606CC3">
      <w:pPr>
        <w:pStyle w:val="NormalHanging"/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 xml:space="preserve">uzimajući u obzir izvješća UNESCO-a, a posebno izvješće naslovljeno „Media </w:t>
      </w:r>
      <w:proofErr w:type="spellStart"/>
      <w:r w:rsidRPr="00D17463">
        <w:t>and</w:t>
      </w:r>
      <w:proofErr w:type="spellEnd"/>
      <w:r w:rsidRPr="00D17463">
        <w:t xml:space="preserve"> </w:t>
      </w:r>
      <w:proofErr w:type="spellStart"/>
      <w:r w:rsidRPr="00D17463">
        <w:t>information</w:t>
      </w:r>
      <w:proofErr w:type="spellEnd"/>
      <w:r w:rsidRPr="00D17463">
        <w:t xml:space="preserve"> </w:t>
      </w:r>
      <w:proofErr w:type="spellStart"/>
      <w:r w:rsidRPr="00D17463">
        <w:t>literacy</w:t>
      </w:r>
      <w:proofErr w:type="spellEnd"/>
      <w:r w:rsidRPr="00D17463">
        <w:t xml:space="preserve"> for </w:t>
      </w:r>
      <w:proofErr w:type="spellStart"/>
      <w:r w:rsidRPr="00D17463">
        <w:t>all</w:t>
      </w:r>
      <w:proofErr w:type="spellEnd"/>
      <w:r w:rsidRPr="00D17463">
        <w:t xml:space="preserve">: </w:t>
      </w:r>
      <w:proofErr w:type="spellStart"/>
      <w:r w:rsidRPr="00D17463">
        <w:t>closing</w:t>
      </w:r>
      <w:proofErr w:type="spellEnd"/>
      <w:r w:rsidRPr="00D17463">
        <w:t xml:space="preserve"> </w:t>
      </w:r>
      <w:proofErr w:type="spellStart"/>
      <w:r w:rsidRPr="00D17463">
        <w:t>the</w:t>
      </w:r>
      <w:proofErr w:type="spellEnd"/>
      <w:r w:rsidRPr="00D17463">
        <w:t xml:space="preserve"> </w:t>
      </w:r>
      <w:proofErr w:type="spellStart"/>
      <w:r w:rsidRPr="00D17463">
        <w:t>gaps</w:t>
      </w:r>
      <w:proofErr w:type="spellEnd"/>
      <w:r w:rsidRPr="00D17463">
        <w:t xml:space="preserve">: global </w:t>
      </w:r>
      <w:proofErr w:type="spellStart"/>
      <w:r w:rsidRPr="00D17463">
        <w:t>analysis</w:t>
      </w:r>
      <w:proofErr w:type="spellEnd"/>
      <w:r w:rsidRPr="00D17463">
        <w:t xml:space="preserve"> </w:t>
      </w:r>
      <w:proofErr w:type="spellStart"/>
      <w:r w:rsidRPr="00D17463">
        <w:t>of</w:t>
      </w:r>
      <w:proofErr w:type="spellEnd"/>
      <w:r w:rsidRPr="00D17463">
        <w:t xml:space="preserve"> </w:t>
      </w:r>
      <w:proofErr w:type="spellStart"/>
      <w:r w:rsidRPr="00D17463">
        <w:t>the</w:t>
      </w:r>
      <w:proofErr w:type="spellEnd"/>
      <w:r w:rsidRPr="00D17463">
        <w:t xml:space="preserve"> </w:t>
      </w:r>
      <w:proofErr w:type="spellStart"/>
      <w:r w:rsidRPr="00D17463">
        <w:t>current</w:t>
      </w:r>
      <w:proofErr w:type="spellEnd"/>
      <w:r w:rsidRPr="00D17463">
        <w:t xml:space="preserve"> </w:t>
      </w:r>
      <w:proofErr w:type="spellStart"/>
      <w:r w:rsidRPr="00D17463">
        <w:t>state</w:t>
      </w:r>
      <w:proofErr w:type="spellEnd"/>
      <w:r w:rsidRPr="00D17463">
        <w:t xml:space="preserve"> </w:t>
      </w:r>
      <w:proofErr w:type="spellStart"/>
      <w:r w:rsidRPr="00D17463">
        <w:t>of</w:t>
      </w:r>
      <w:proofErr w:type="spellEnd"/>
      <w:r w:rsidRPr="00D17463">
        <w:t xml:space="preserve"> </w:t>
      </w:r>
      <w:proofErr w:type="spellStart"/>
      <w:r w:rsidRPr="00D17463">
        <w:t>play</w:t>
      </w:r>
      <w:proofErr w:type="spellEnd"/>
      <w:r w:rsidRPr="00D17463">
        <w:t xml:space="preserve"> </w:t>
      </w:r>
      <w:proofErr w:type="spellStart"/>
      <w:r w:rsidRPr="00D17463">
        <w:t>of</w:t>
      </w:r>
      <w:proofErr w:type="spellEnd"/>
      <w:r w:rsidRPr="00D17463">
        <w:t xml:space="preserve"> </w:t>
      </w:r>
      <w:proofErr w:type="spellStart"/>
      <w:r w:rsidRPr="00D17463">
        <w:t>media</w:t>
      </w:r>
      <w:proofErr w:type="spellEnd"/>
      <w:r w:rsidRPr="00D17463">
        <w:t xml:space="preserve"> </w:t>
      </w:r>
      <w:proofErr w:type="spellStart"/>
      <w:r w:rsidRPr="00D17463">
        <w:t>and</w:t>
      </w:r>
      <w:proofErr w:type="spellEnd"/>
      <w:r w:rsidRPr="00D17463">
        <w:t xml:space="preserve"> </w:t>
      </w:r>
      <w:proofErr w:type="spellStart"/>
      <w:r w:rsidRPr="00D17463">
        <w:t>information</w:t>
      </w:r>
      <w:proofErr w:type="spellEnd"/>
      <w:r w:rsidRPr="00D17463">
        <w:t xml:space="preserve"> </w:t>
      </w:r>
      <w:proofErr w:type="spellStart"/>
      <w:r w:rsidRPr="00D17463">
        <w:t>literacy</w:t>
      </w:r>
      <w:proofErr w:type="spellEnd"/>
      <w:r w:rsidRPr="00D17463">
        <w:t xml:space="preserve">” (Medijska i informacijska pismenost za sve: </w:t>
      </w:r>
      <w:r w:rsidRPr="00D17463">
        <w:lastRenderedPageBreak/>
        <w:t>uklanjanje nedostataka: globalna analiza trenutačnog stanja medijske i informacijske pismenosti), objavljeno 2025.,</w:t>
      </w:r>
    </w:p>
    <w:p w14:paraId="03DC7E5A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>uzimajući u obzir publikaciju OECD-a naslovljenu „</w:t>
      </w:r>
      <w:proofErr w:type="spellStart"/>
      <w:r w:rsidRPr="00D17463">
        <w:t>Pisa</w:t>
      </w:r>
      <w:proofErr w:type="spellEnd"/>
      <w:r w:rsidRPr="00D17463">
        <w:t xml:space="preserve"> 2022 </w:t>
      </w:r>
      <w:proofErr w:type="spellStart"/>
      <w:r w:rsidRPr="00D17463">
        <w:t>Results</w:t>
      </w:r>
      <w:proofErr w:type="spellEnd"/>
      <w:r w:rsidRPr="00D17463">
        <w:t xml:space="preserve"> (</w:t>
      </w:r>
      <w:proofErr w:type="spellStart"/>
      <w:r w:rsidRPr="00D17463">
        <w:t>Volume</w:t>
      </w:r>
      <w:proofErr w:type="spellEnd"/>
      <w:r w:rsidRPr="00D17463">
        <w:t xml:space="preserve"> II): </w:t>
      </w:r>
      <w:proofErr w:type="spellStart"/>
      <w:r w:rsidRPr="00D17463">
        <w:t>Learning</w:t>
      </w:r>
      <w:proofErr w:type="spellEnd"/>
      <w:r w:rsidRPr="00D17463">
        <w:t xml:space="preserve"> </w:t>
      </w:r>
      <w:proofErr w:type="spellStart"/>
      <w:r w:rsidRPr="00D17463">
        <w:t>During</w:t>
      </w:r>
      <w:proofErr w:type="spellEnd"/>
      <w:r w:rsidRPr="00D17463">
        <w:t xml:space="preserve"> – </w:t>
      </w:r>
      <w:proofErr w:type="spellStart"/>
      <w:r w:rsidRPr="00D17463">
        <w:t>and</w:t>
      </w:r>
      <w:proofErr w:type="spellEnd"/>
      <w:r w:rsidRPr="00D17463">
        <w:t xml:space="preserve"> </w:t>
      </w:r>
      <w:proofErr w:type="spellStart"/>
      <w:r w:rsidRPr="00D17463">
        <w:t>From</w:t>
      </w:r>
      <w:proofErr w:type="spellEnd"/>
      <w:r w:rsidRPr="00D17463">
        <w:t xml:space="preserve"> – </w:t>
      </w:r>
      <w:proofErr w:type="spellStart"/>
      <w:r w:rsidRPr="00D17463">
        <w:t>Disruption</w:t>
      </w:r>
      <w:proofErr w:type="spellEnd"/>
      <w:r w:rsidRPr="00D17463">
        <w:t>” (Rezultati istraživanja PISA 2022. (svezak II.): učenje tijekom poremećaja i iz njih), objavljenu 2023.,</w:t>
      </w:r>
    </w:p>
    <w:p w14:paraId="3CE7E7EF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>uzimajući u obzir komunikaciju Komisije od 10. listopada 2025. naslovljenu „Smjernice o mjerama za postizanje visoke razine privatnosti, sigurnosti i zaštite maloljetnika na internetu, u skladu s člankom 28. stavkom 4. Uredbe (EU) 2022/2065”</w:t>
      </w:r>
      <w:r w:rsidRPr="00D17463">
        <w:rPr>
          <w:rStyle w:val="FootnoteReference"/>
          <w:bCs/>
          <w:iCs/>
        </w:rPr>
        <w:footnoteReference w:id="8"/>
      </w:r>
      <w:r w:rsidRPr="00D17463">
        <w:t>,</w:t>
      </w:r>
    </w:p>
    <w:p w14:paraId="27B9A03B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tab/>
        <w:t>uzimajući u obzir Konvenciju UN-a o pravima djeteta od 20. studenoga 1989. i Opću napomenu br. 25 iz 2021. o pravima djeteta u pogledu digitalnog okružja,</w:t>
      </w:r>
    </w:p>
    <w:p w14:paraId="1744BA33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>uzimajući u obzir publikaciju OECD-a naslovljenu „</w:t>
      </w:r>
      <w:proofErr w:type="spellStart"/>
      <w:r w:rsidRPr="00D17463">
        <w:t>Recommendation</w:t>
      </w:r>
      <w:proofErr w:type="spellEnd"/>
      <w:r w:rsidRPr="00D17463">
        <w:t xml:space="preserve"> </w:t>
      </w:r>
      <w:proofErr w:type="spellStart"/>
      <w:r w:rsidRPr="00D17463">
        <w:t>of</w:t>
      </w:r>
      <w:proofErr w:type="spellEnd"/>
      <w:r w:rsidRPr="00D17463">
        <w:t xml:space="preserve"> </w:t>
      </w:r>
      <w:proofErr w:type="spellStart"/>
      <w:r w:rsidRPr="00D17463">
        <w:t>the</w:t>
      </w:r>
      <w:proofErr w:type="spellEnd"/>
      <w:r w:rsidRPr="00D17463">
        <w:t xml:space="preserve"> Council on </w:t>
      </w:r>
      <w:proofErr w:type="spellStart"/>
      <w:r w:rsidRPr="00D17463">
        <w:t>Children</w:t>
      </w:r>
      <w:proofErr w:type="spellEnd"/>
      <w:r w:rsidRPr="00D17463">
        <w:t xml:space="preserve"> </w:t>
      </w:r>
      <w:proofErr w:type="spellStart"/>
      <w:r w:rsidRPr="00D17463">
        <w:t>in</w:t>
      </w:r>
      <w:proofErr w:type="spellEnd"/>
      <w:r w:rsidRPr="00D17463">
        <w:t xml:space="preserve"> </w:t>
      </w:r>
      <w:proofErr w:type="spellStart"/>
      <w:r w:rsidRPr="00D17463">
        <w:t>the</w:t>
      </w:r>
      <w:proofErr w:type="spellEnd"/>
      <w:r w:rsidRPr="00D17463">
        <w:t xml:space="preserve"> Digital </w:t>
      </w:r>
      <w:proofErr w:type="spellStart"/>
      <w:r w:rsidRPr="00D17463">
        <w:t>Environment</w:t>
      </w:r>
      <w:proofErr w:type="spellEnd"/>
      <w:r w:rsidRPr="00D17463">
        <w:t>” (Preporuka Vijeća o djeci u digitalnom okružju), objavljenu 2025.,</w:t>
      </w:r>
    </w:p>
    <w:p w14:paraId="42A7E3EF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>uzimajući u obzir smjernice Vijeća Europe za poštovanje, zaštitu i ostvarivanje prava djeteta u digitalnom okružju, objavljene 2018.,</w:t>
      </w:r>
    </w:p>
    <w:p w14:paraId="3DE02483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 xml:space="preserve">uzimajući u obzir izvješće Vijeća Europe naslovljeno „Media </w:t>
      </w:r>
      <w:proofErr w:type="spellStart"/>
      <w:r w:rsidRPr="00D17463">
        <w:t>Literacy</w:t>
      </w:r>
      <w:proofErr w:type="spellEnd"/>
      <w:r w:rsidRPr="00D17463">
        <w:t xml:space="preserve"> for </w:t>
      </w:r>
      <w:proofErr w:type="spellStart"/>
      <w:r w:rsidRPr="00D17463">
        <w:t>all</w:t>
      </w:r>
      <w:proofErr w:type="spellEnd"/>
      <w:r w:rsidRPr="00D17463">
        <w:t xml:space="preserve">: </w:t>
      </w:r>
      <w:proofErr w:type="spellStart"/>
      <w:r w:rsidRPr="00D17463">
        <w:t>Supporting</w:t>
      </w:r>
      <w:proofErr w:type="spellEnd"/>
      <w:r w:rsidRPr="00D17463">
        <w:t xml:space="preserve"> </w:t>
      </w:r>
      <w:proofErr w:type="spellStart"/>
      <w:r w:rsidRPr="00D17463">
        <w:t>marginalised</w:t>
      </w:r>
      <w:proofErr w:type="spellEnd"/>
      <w:r w:rsidRPr="00D17463">
        <w:t xml:space="preserve"> </w:t>
      </w:r>
      <w:proofErr w:type="spellStart"/>
      <w:r w:rsidRPr="00D17463">
        <w:t>groups</w:t>
      </w:r>
      <w:proofErr w:type="spellEnd"/>
      <w:r w:rsidRPr="00D17463">
        <w:t xml:space="preserve"> </w:t>
      </w:r>
      <w:proofErr w:type="spellStart"/>
      <w:r w:rsidRPr="00D17463">
        <w:t>through</w:t>
      </w:r>
      <w:proofErr w:type="spellEnd"/>
      <w:r w:rsidRPr="00D17463">
        <w:t xml:space="preserve"> </w:t>
      </w:r>
      <w:proofErr w:type="spellStart"/>
      <w:r w:rsidRPr="00D17463">
        <w:t>community</w:t>
      </w:r>
      <w:proofErr w:type="spellEnd"/>
      <w:r w:rsidRPr="00D17463">
        <w:t xml:space="preserve"> </w:t>
      </w:r>
      <w:proofErr w:type="spellStart"/>
      <w:r w:rsidRPr="00D17463">
        <w:t>media</w:t>
      </w:r>
      <w:proofErr w:type="spellEnd"/>
      <w:r w:rsidRPr="00D17463">
        <w:t>” (Medijska pismenost za sve: potpora marginaliziranim skupinama preko medija Zajednice), objavljeno 2020.,</w:t>
      </w:r>
    </w:p>
    <w:p w14:paraId="5AE58384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 xml:space="preserve">uzimajući u obzir dokument o politici Upravljačkog odbora Vijeća Europe za medije i informacijsko društvo (CDMSI) naslovljen „National Media </w:t>
      </w:r>
      <w:proofErr w:type="spellStart"/>
      <w:r w:rsidRPr="00D17463">
        <w:t>and</w:t>
      </w:r>
      <w:proofErr w:type="spellEnd"/>
      <w:r w:rsidRPr="00D17463">
        <w:t xml:space="preserve"> </w:t>
      </w:r>
      <w:proofErr w:type="spellStart"/>
      <w:r w:rsidRPr="00D17463">
        <w:t>Information</w:t>
      </w:r>
      <w:proofErr w:type="spellEnd"/>
      <w:r w:rsidRPr="00D17463">
        <w:t xml:space="preserve"> </w:t>
      </w:r>
      <w:proofErr w:type="spellStart"/>
      <w:r w:rsidRPr="00D17463">
        <w:t>Literacy</w:t>
      </w:r>
      <w:proofErr w:type="spellEnd"/>
      <w:r w:rsidRPr="00D17463">
        <w:t xml:space="preserve"> (MIL) </w:t>
      </w:r>
      <w:proofErr w:type="spellStart"/>
      <w:r w:rsidRPr="00D17463">
        <w:t>Strategies</w:t>
      </w:r>
      <w:proofErr w:type="spellEnd"/>
      <w:r w:rsidRPr="00D17463">
        <w:t xml:space="preserve">: </w:t>
      </w:r>
      <w:proofErr w:type="spellStart"/>
      <w:r w:rsidRPr="00D17463">
        <w:t>Practical</w:t>
      </w:r>
      <w:proofErr w:type="spellEnd"/>
      <w:r w:rsidRPr="00D17463">
        <w:t xml:space="preserve"> </w:t>
      </w:r>
      <w:proofErr w:type="spellStart"/>
      <w:r w:rsidRPr="00D17463">
        <w:t>Steps</w:t>
      </w:r>
      <w:proofErr w:type="spellEnd"/>
      <w:r w:rsidRPr="00D17463">
        <w:t xml:space="preserve"> </w:t>
      </w:r>
      <w:proofErr w:type="spellStart"/>
      <w:r w:rsidRPr="00D17463">
        <w:t>and</w:t>
      </w:r>
      <w:proofErr w:type="spellEnd"/>
      <w:r w:rsidRPr="00D17463">
        <w:t xml:space="preserve"> </w:t>
      </w:r>
      <w:proofErr w:type="spellStart"/>
      <w:r w:rsidRPr="00D17463">
        <w:t>Indicators</w:t>
      </w:r>
      <w:proofErr w:type="spellEnd"/>
      <w:r w:rsidRPr="00D17463">
        <w:t>” (Nacionalne strategije za medijsku i informacijsku pismenost: praktični koraci i pokazatelji), donesen u prosincu 2025.,</w:t>
      </w:r>
    </w:p>
    <w:p w14:paraId="31F33532" w14:textId="77777777" w:rsidR="00606CC3" w:rsidRPr="00D17463" w:rsidRDefault="00606CC3" w:rsidP="00606CC3">
      <w:pPr>
        <w:pStyle w:val="NormalHanging"/>
      </w:pPr>
      <w:r w:rsidRPr="00D17463">
        <w:rPr>
          <w:b/>
          <w:i/>
        </w:rPr>
        <w:t>–</w:t>
      </w:r>
      <w:r w:rsidRPr="00D17463">
        <w:rPr>
          <w:b/>
          <w:i/>
        </w:rPr>
        <w:tab/>
      </w:r>
      <w:r w:rsidRPr="00D17463">
        <w:t>uzimajući u obzir članak 55. Poslovnika,</w:t>
      </w:r>
    </w:p>
    <w:p w14:paraId="5A4C9BA0" w14:textId="77777777" w:rsidR="00606CC3" w:rsidRPr="00D17463" w:rsidRDefault="00606CC3" w:rsidP="00606CC3">
      <w:pPr>
        <w:pStyle w:val="NormalHanging"/>
      </w:pPr>
      <w:r w:rsidRPr="00D17463">
        <w:t>–</w:t>
      </w:r>
      <w:r w:rsidRPr="00D17463">
        <w:tab/>
        <w:t>uzimajući u obzir izvješće Odbora za kulturu i obrazovanje (A10-0173/2026),</w:t>
      </w:r>
    </w:p>
    <w:p w14:paraId="47FB2882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t>A.</w:t>
      </w:r>
      <w:r w:rsidRPr="00D17463">
        <w:rPr>
          <w:b/>
          <w:i/>
        </w:rPr>
        <w:tab/>
      </w:r>
      <w:r w:rsidRPr="00D17463">
        <w:t>budući da su medijska pismenost i digitalno učenje presudni za osnaživanje građana ključnim vještinama potrebnima za autonomnu i odgovornu procjenu, provjeru, stvaranje i dijeljenje informacija i medijskog sadržaja na tradicionalnim i internetskim platformama te za donošenje informiranih odluka u informacijskom okružju koje se stalno mijenja; budući da te vještine jačaju građansko sudjelovanje, socijalnu uključenost i demokratsku otpornost;</w:t>
      </w:r>
    </w:p>
    <w:p w14:paraId="094DE5D6" w14:textId="77777777" w:rsidR="00606CC3" w:rsidRPr="00D17463" w:rsidRDefault="00606CC3" w:rsidP="00606CC3">
      <w:pPr>
        <w:pStyle w:val="NormalHanging12a"/>
      </w:pPr>
      <w:r w:rsidRPr="00D17463">
        <w:t>B.</w:t>
      </w:r>
      <w:r w:rsidRPr="00D17463">
        <w:tab/>
        <w:t xml:space="preserve">budući da medijska pismenost i digitalno učenje pružaju osnovne vještine u modernom društvu te su presudni za borbu protiv širenja dezinformacija, slabljenja povjerenja u medije i utjecaja internetskih platformi, novih medijskih aktera, kao što su </w:t>
      </w:r>
      <w:proofErr w:type="spellStart"/>
      <w:r w:rsidRPr="00D17463">
        <w:t>influenceri</w:t>
      </w:r>
      <w:proofErr w:type="spellEnd"/>
      <w:r w:rsidRPr="00D17463">
        <w:t xml:space="preserve"> i stvaratelji sadržaja, te umjetne inteligencije; budući da su medijska pismenost i digitalno učenje nužni u kontekstu promijenjenih obrazaca konzumiranja informacija, koji se temelje na „kulturi </w:t>
      </w:r>
      <w:proofErr w:type="spellStart"/>
      <w:r w:rsidRPr="00D17463">
        <w:t>skrolanja</w:t>
      </w:r>
      <w:proofErr w:type="spellEnd"/>
      <w:r w:rsidRPr="00D17463">
        <w:t>”;</w:t>
      </w:r>
    </w:p>
    <w:p w14:paraId="0C76F7B8" w14:textId="77777777" w:rsidR="00606CC3" w:rsidRPr="00D17463" w:rsidRDefault="00606CC3" w:rsidP="00606CC3">
      <w:pPr>
        <w:pStyle w:val="NormalHanging12a"/>
      </w:pPr>
      <w:r w:rsidRPr="00D17463">
        <w:lastRenderedPageBreak/>
        <w:t>C.</w:t>
      </w:r>
      <w:r w:rsidRPr="00D17463">
        <w:tab/>
        <w:t>budući da su medijska pismenost i digitalno učenje neophodni za osiguravanje dobrobiti korisnika u digitalnom okružju;</w:t>
      </w:r>
    </w:p>
    <w:p w14:paraId="4B0A116E" w14:textId="77777777" w:rsidR="00606CC3" w:rsidRPr="00D17463" w:rsidRDefault="00606CC3" w:rsidP="00606CC3">
      <w:pPr>
        <w:pStyle w:val="NormalHanging12a"/>
      </w:pPr>
      <w:r w:rsidRPr="00D17463">
        <w:t>D.</w:t>
      </w:r>
      <w:r w:rsidRPr="00D17463">
        <w:tab/>
        <w:t xml:space="preserve">budući da se način pristupanja medijima i digitalnom sadržaju znatno promijenio, pri čemu korisnici, posebno maloljetnici i mladi, sve više odabiru prilagođen sadržaj na platformama društvenih medija, pomno prate aktivnosti </w:t>
      </w:r>
      <w:proofErr w:type="spellStart"/>
      <w:r w:rsidRPr="00D17463">
        <w:t>influencera</w:t>
      </w:r>
      <w:proofErr w:type="spellEnd"/>
      <w:r w:rsidRPr="00D17463">
        <w:t>, uvelike se oslanjaju na algoritamske preporuke i često imaju kraći raspon pozornosti nego pri upotrebi sadržaja tradicionalnih medija; budući da društveni mediji mogu brzo personalizirati svoje sadržaje, čime korisnike, posebno maloljetnike, starije korisnike i ostale ranjive korisnike, izlažu riziku od umnožavanja štetnog sadržaja ili zatvaranja u informacijske mjehuriće;</w:t>
      </w:r>
    </w:p>
    <w:p w14:paraId="5C4B7CA8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E.</w:t>
      </w:r>
      <w:r w:rsidRPr="00D17463">
        <w:tab/>
        <w:t>budući da određene značajke dizajna digitalnih platformi, uključujući algoritamske sustave za preporučivanje, mogu utjecati na odabir i vidljivost sadržaja te mogu doprinijeti rizicima povezanima s dobrobiti korisnika i izloženošću štetnom sadržaju;</w:t>
      </w:r>
    </w:p>
    <w:p w14:paraId="56FA0EC0" w14:textId="77777777" w:rsidR="00606CC3" w:rsidRPr="00D17463" w:rsidRDefault="00606CC3" w:rsidP="00606CC3">
      <w:pPr>
        <w:pStyle w:val="NormalHanging12a"/>
      </w:pPr>
      <w:r w:rsidRPr="00D17463">
        <w:t>F.</w:t>
      </w:r>
      <w:r w:rsidRPr="00D17463">
        <w:tab/>
        <w:t>budući da bi u trenutačnoj geopolitičkoj situaciji ljudi u EU-u trebali imati širok raspon kognitivnih, tehničkih i socijalnih vještina za učinkovit pristup medijskom sadržaju i njegovu analizu te bi stoga trebali ostati otporni na moguće manipulativne radnje ili hibridne napade čiji je cilj destabilizacija građanskog diskursa i demokratskih procesa;</w:t>
      </w:r>
    </w:p>
    <w:p w14:paraId="5214ADCC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t>G.</w:t>
      </w:r>
      <w:r w:rsidRPr="00D17463">
        <w:rPr>
          <w:b/>
          <w:i/>
        </w:rPr>
        <w:tab/>
      </w:r>
      <w:r w:rsidRPr="00D17463">
        <w:t>budući da je visokokvalitetno, neovisno i pluralističko novinarstvo temelj demokratskih društava te da ima ključnu ulogu u jačanju medijske pismenosti, suzbijanju dezinformacija i povećanju povjerenja građana u informacijski ekosustav, s pozitivnim učinkom na gospodarsku održivost medijskog sektora; budući da javni mediji imaju ključnu ulogu u ostvarivanju tih ciljeva te da, kako bi ispunili svoju misiju, iziskuju odgovarajuće i održivo financiranje;</w:t>
      </w:r>
    </w:p>
    <w:p w14:paraId="7E5C40F9" w14:textId="77777777" w:rsidR="00606CC3" w:rsidRPr="00D17463" w:rsidRDefault="00606CC3" w:rsidP="00606CC3">
      <w:pPr>
        <w:pStyle w:val="NormalHanging12a"/>
      </w:pPr>
      <w:r w:rsidRPr="00D17463">
        <w:t>H.</w:t>
      </w:r>
      <w:r w:rsidRPr="00D17463">
        <w:tab/>
        <w:t xml:space="preserve">budući da se medijska pismenost i digitalno obrazovanje moraju smatrati sastavnim dijelovima sveobuhvatne strategije cjeloživotnog učenja, koja bi trebala obuhvaćati posebne potrebe učenika i dionika u obrazovnom i informacijskom ekosustavu, uključujući roditelje, njegovatelje, edukatore, medije, novinare, knjižnice, organizacije civilnog društva i nove medijske aktere, kao što su </w:t>
      </w:r>
      <w:proofErr w:type="spellStart"/>
      <w:r w:rsidRPr="00D17463">
        <w:t>influenceri</w:t>
      </w:r>
      <w:proofErr w:type="spellEnd"/>
      <w:r w:rsidRPr="00D17463">
        <w:t xml:space="preserve"> i kreatori sadržaja; budući da su u Strategiji za međugeneracijsku pravednost cjeloživotno učenje, digitalne vještine, medijska pismenost i aktivno sudjelovanje svih dobnih skupina prepoznati kao ključni uvjeti za međugeneracijsku pravednost i otpornost demokratskih društava;</w:t>
      </w:r>
    </w:p>
    <w:p w14:paraId="343596CE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I.</w:t>
      </w:r>
      <w:r w:rsidRPr="00D17463">
        <w:tab/>
        <w:t>budući da učinkovita medijska pismenost i digitalno učenje iziskuju jednake mogućnosti u pristupu obrazovanju i pluralističko informacijsko okružje;</w:t>
      </w:r>
    </w:p>
    <w:p w14:paraId="06E72A8A" w14:textId="77777777" w:rsidR="00606CC3" w:rsidRPr="00D17463" w:rsidRDefault="00606CC3" w:rsidP="00606CC3">
      <w:pPr>
        <w:pStyle w:val="NormalHanging12a"/>
      </w:pPr>
      <w:r w:rsidRPr="00D17463">
        <w:t>J.</w:t>
      </w:r>
      <w:r w:rsidRPr="00D17463">
        <w:tab/>
        <w:t>budući da djeca pristupaju društvenim medijima u sve mlađoj dobi, pri čemu se 97 % mladih u EU-u svakodnevno koristi internetom, a platforme društvenih medija postaju glavni izvor informacija za mlade u dobi od 15 do 24 godine</w:t>
      </w:r>
      <w:r w:rsidRPr="00D17463">
        <w:rPr>
          <w:vertAlign w:val="superscript"/>
        </w:rPr>
        <w:footnoteReference w:id="9"/>
      </w:r>
      <w:r w:rsidRPr="00D17463">
        <w:t>;</w:t>
      </w:r>
    </w:p>
    <w:p w14:paraId="6D57B178" w14:textId="77777777" w:rsidR="00606CC3" w:rsidRPr="00D17463" w:rsidRDefault="00606CC3" w:rsidP="00606CC3">
      <w:pPr>
        <w:pStyle w:val="NormalHanging12a"/>
      </w:pPr>
      <w:r w:rsidRPr="00D17463">
        <w:t>K.</w:t>
      </w:r>
      <w:r w:rsidRPr="00D17463">
        <w:tab/>
        <w:t xml:space="preserve">budući da se pristupi medijskoj pismenosti i digitalnom učenju razlikuju diljem EU-a, uz znatne razlike u pogledu njihova uvrštavanja u školske kurikulume i razine </w:t>
      </w:r>
      <w:r w:rsidRPr="00D17463">
        <w:lastRenderedPageBreak/>
        <w:t>financijske ili administrativne potpore koja se pruža za povezane mjere ili programe, kao i u pogledu nadležnih vlasti ili tijela i njihove suradnje;</w:t>
      </w:r>
    </w:p>
    <w:p w14:paraId="5840316B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L.</w:t>
      </w:r>
      <w:r w:rsidRPr="00D17463">
        <w:tab/>
        <w:t>budući da se u Općoj napomeni br. 25 o pravima djeteta u pogledu digitalnog okružja, koju je 2021. donio Odbor UN-a za prava djeteta, utvrđuje da se prava djeteta moraju poštovati, štititi i ostvarivati u digitalnom okružju te da pružatelji digitalnih usluga pri stavljanju svojih proizvoda i usluga na raspolaganje djeci moraju poštovati najviše standarde etike, privatnosti i sigurnosti te primjerenosti dobi;</w:t>
      </w:r>
    </w:p>
    <w:p w14:paraId="31B4B435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M.</w:t>
      </w:r>
      <w:r w:rsidRPr="00D17463">
        <w:tab/>
        <w:t>budući da bi se medijska pismenost i digitalne vještine učenja trebale razvijati od rane dobi, pri čemu bi njihovo uvođenje u osnovno obrazovanje doprinijelo boljoj pripremi djece za izazove digitalnog okružja, na način primjeren njihovoj dobi i razvoju; budući da su te vještine jednako presudne tijekom cijelog života osobe, što iziskuje pristup utemeljen na cjeloživotnom učenju;</w:t>
      </w:r>
    </w:p>
    <w:p w14:paraId="7C722307" w14:textId="77777777" w:rsidR="00606CC3" w:rsidRPr="00D17463" w:rsidRDefault="00606CC3" w:rsidP="00606CC3">
      <w:pPr>
        <w:pStyle w:val="NormalHanging12a"/>
      </w:pPr>
      <w:r w:rsidRPr="00D17463">
        <w:t>N.</w:t>
      </w:r>
      <w:r w:rsidRPr="00D17463">
        <w:tab/>
        <w:t xml:space="preserve">budući da se prijevremenim uvođenjem digitalnih alata ili tehnologija maloljetnicima, prije razvoja osnovnih vještina medijske pismenosti i kritičkog razmišljanja s pomoću analognih alata, maloljetnici izlažu mnoštvu digitalnih rizika i vrsta štete na </w:t>
      </w:r>
      <w:proofErr w:type="spellStart"/>
      <w:r w:rsidRPr="00D17463">
        <w:t>internetu,a</w:t>
      </w:r>
      <w:proofErr w:type="spellEnd"/>
      <w:r w:rsidRPr="00D17463">
        <w:t xml:space="preserve"> da možda još nisu educirani za njihovo prepoznavanje ili upravljanje njima;</w:t>
      </w:r>
    </w:p>
    <w:p w14:paraId="41B6B236" w14:textId="77777777" w:rsidR="00606CC3" w:rsidRPr="00D17463" w:rsidRDefault="00606CC3" w:rsidP="00606CC3">
      <w:pPr>
        <w:pStyle w:val="NormalHanging12a"/>
      </w:pPr>
      <w:r w:rsidRPr="00D17463">
        <w:t>O.</w:t>
      </w:r>
      <w:r w:rsidRPr="00D17463">
        <w:tab/>
        <w:t xml:space="preserve">budući da su svi, a posebno maloljetnici, mladi, starije osobe, osobe s invaliditetom te osobe u ruralnim ili udaljenim područjima s ograničenom digitalnom infrastrukturom, i dalje izloženi većem riziku od iskorištavanja u digitalnom okružju; budući da su građani svih dobnih skupina, posebno maloljetnici čije se kognitivne sposobnosti još razvijaju, osjetljivi na rizike povezane sa sadržajem koji je generiran umjetnom inteligencijom i sa </w:t>
      </w:r>
      <w:proofErr w:type="spellStart"/>
      <w:r w:rsidRPr="00D17463">
        <w:t>chatbotovima</w:t>
      </w:r>
      <w:proofErr w:type="spellEnd"/>
      <w:r w:rsidRPr="00D17463">
        <w:t>;</w:t>
      </w:r>
    </w:p>
    <w:p w14:paraId="18DFA666" w14:textId="77777777" w:rsidR="00606CC3" w:rsidRPr="00D17463" w:rsidRDefault="00606CC3" w:rsidP="00606CC3">
      <w:pPr>
        <w:pStyle w:val="NormalHanging12a"/>
      </w:pPr>
      <w:r w:rsidRPr="00D17463">
        <w:t>P.</w:t>
      </w:r>
      <w:r w:rsidRPr="00D17463">
        <w:tab/>
        <w:t xml:space="preserve">budući da </w:t>
      </w:r>
      <w:proofErr w:type="spellStart"/>
      <w:r w:rsidRPr="00D17463">
        <w:t>oblikovatelji</w:t>
      </w:r>
      <w:proofErr w:type="spellEnd"/>
      <w:r w:rsidRPr="00D17463">
        <w:t xml:space="preserve"> politika na nacionalnoj razini i na razini EU-a raspravljaju o uvođenju minimalne dobne granice za zaštitu maloljetnika pri korištenju internetskih platformi, uključujući rasprave o minimalnoj dobnoj granici, provjeri dobi i roditeljskoj kontroli;</w:t>
      </w:r>
    </w:p>
    <w:p w14:paraId="56FF564B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Q.</w:t>
      </w:r>
      <w:r w:rsidRPr="00D17463">
        <w:tab/>
        <w:t>budući da je Komisija u ožujku 2026. osnovala posebnu namjensku skupinu stručnjaka za sigurnost djece na internetu, koja ima zadaću izraditi preporuke za bolju zaštitu i osnaživanje djece u digitalnom okružju; budući da se ta skupina također bavi važnošću medijske pismenosti i digitalnog učenja za djecu, roditelje i edukatore;</w:t>
      </w:r>
    </w:p>
    <w:p w14:paraId="1C9E60C7" w14:textId="77777777" w:rsidR="00606CC3" w:rsidRPr="00D17463" w:rsidRDefault="00606CC3" w:rsidP="00606CC3">
      <w:pPr>
        <w:pStyle w:val="NormalHanging12a"/>
      </w:pPr>
      <w:r w:rsidRPr="00D17463">
        <w:t>R.</w:t>
      </w:r>
      <w:r w:rsidRPr="00D17463">
        <w:tab/>
        <w:t>budući da se u zakonodavstvu EU-a u području audiovizualnih medija pruža definicija i prepoznaje važnost medijske pismenosti, posebno u članku 2. stavku 21. Europskog akta o slobodi medija (EMFA) i u okviru obveza povezanih s medijskom pismenošću u skladu s Direktivom o audiovizualnim medijskim uslugama (AVMSD); budući da se člankom 13. Europskog akta o slobodi medija Europskom odboru za medijske usluge dodjeljuje zadaća razmjene primjera najbolje prakse u području medijske pismenosti;</w:t>
      </w:r>
    </w:p>
    <w:p w14:paraId="02F36A7E" w14:textId="77777777" w:rsidR="00606CC3" w:rsidRPr="00D17463" w:rsidRDefault="00606CC3" w:rsidP="00606CC3">
      <w:pPr>
        <w:pStyle w:val="Normal12a"/>
        <w:rPr>
          <w:i/>
          <w:iCs/>
        </w:rPr>
      </w:pPr>
      <w:r w:rsidRPr="00D17463">
        <w:rPr>
          <w:b/>
          <w:i/>
        </w:rPr>
        <w:t>Ključni elementi novog pristupa medijskoj pismenosti i digitalnom učenju</w:t>
      </w:r>
    </w:p>
    <w:p w14:paraId="4F492017" w14:textId="77777777" w:rsidR="00606CC3" w:rsidRPr="00D17463" w:rsidRDefault="00606CC3" w:rsidP="00606CC3">
      <w:pPr>
        <w:pStyle w:val="NormalHanging12a"/>
      </w:pPr>
      <w:r w:rsidRPr="00D17463">
        <w:t>1.</w:t>
      </w:r>
      <w:r w:rsidRPr="00D17463">
        <w:tab/>
        <w:t>naglašava da bi pristup medijskoj pismenosti i digitalnom učenju okrenut prema budućnosti trebao biti usmjeren na osnaživanje ljudi svake životne dobi, i to preko osnovnih vještina koje bi im omogućile da u potpunosti iskoriste digitalno okružje, poboljšaju svoje kreativne vještine, iskoriste izloženost raznim izvorima i izbjegnu rizike povezane s upotrebom i dizajnom internetskih platformi;</w:t>
      </w:r>
    </w:p>
    <w:p w14:paraId="4360F4AA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lastRenderedPageBreak/>
        <w:t>2.</w:t>
      </w:r>
      <w:r w:rsidRPr="00D17463">
        <w:tab/>
        <w:t>ističe ulogu medijske pismenosti u tome da se pojedincima pruže vještine kritičkog razmišljanja koje doprinose informiranom i autonomnom donošenju odluka u demokratskim procesima i povećavaju građansku odgovornost za suzbijanje dezinformacija, polarizacije te inozemnog upletanja i manipuliranja informacijama, posebno u kontekstu izbora;</w:t>
      </w:r>
    </w:p>
    <w:p w14:paraId="7996F439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3.</w:t>
      </w:r>
      <w:r w:rsidRPr="00D17463">
        <w:tab/>
        <w:t>naglašava da bi se medijska pismenost i digitalno učenje trebali odražavati u širim inicijativama EU-a usmjerenima na zaštitu demokratskih procesa, među ostalim u kontekstu europskog štita za zaštitu demokracije;</w:t>
      </w:r>
    </w:p>
    <w:p w14:paraId="2F242013" w14:textId="77777777" w:rsidR="00606CC3" w:rsidRPr="00D17463" w:rsidRDefault="00606CC3" w:rsidP="00606CC3">
      <w:pPr>
        <w:pStyle w:val="NormalHanging12a"/>
      </w:pPr>
      <w:r w:rsidRPr="00D17463">
        <w:t>4.</w:t>
      </w:r>
      <w:r w:rsidRPr="00D17463">
        <w:tab/>
        <w:t>uviđa da pristupi poučavanju medijske pismenosti i digitalnom učenju moraju biti inovativni, namijenjeni svim skupinama stanovništva i prilagođeni potrebama učenika, posebno ranjivih korisnika koji se nalaze u nepovoljnom položaju zbog geografskih, socijalnih, kulturnih i gospodarskih čimbenika;</w:t>
      </w:r>
    </w:p>
    <w:p w14:paraId="17EF4C00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5.</w:t>
      </w:r>
      <w:r w:rsidRPr="00D17463">
        <w:tab/>
        <w:t xml:space="preserve">prepoznaje vrijednost </w:t>
      </w:r>
      <w:proofErr w:type="spellStart"/>
      <w:r w:rsidRPr="00D17463">
        <w:t>istorazinskog</w:t>
      </w:r>
      <w:proofErr w:type="spellEnd"/>
      <w:r w:rsidRPr="00D17463">
        <w:t xml:space="preserve"> (vršnjačkog) poučavanja koje provode centri za sigurniji internet i organizacije civilnog društva kao učinkovitog alata za dopiranje do djece i adolescenata porukama o sigurnoj upotrebi interneta, čime se dopunjuje formalno obrazovanje;</w:t>
      </w:r>
    </w:p>
    <w:p w14:paraId="52436055" w14:textId="77777777" w:rsidR="00606CC3" w:rsidRPr="00D17463" w:rsidRDefault="00606CC3" w:rsidP="00606CC3">
      <w:pPr>
        <w:pStyle w:val="NormalHanging12a"/>
      </w:pPr>
      <w:r w:rsidRPr="00D17463">
        <w:t>6.</w:t>
      </w:r>
      <w:r w:rsidRPr="00D17463">
        <w:tab/>
        <w:t>ističe ključne uloge medijske pismenosti i digitalnog učenja u omogućavanju korisnicima da se sigurno snalaze u digitalnom okružju, među ostalim u borbi protiv zlostavljanja na internetu i ostalih oblika štete na internetu; posebno ističe da je medijsko opismenjavanje i pružanje vještina digitalnog učenja tijekom cijelog obrazovanja i u okviru aktivnosti cjeloživotnog učenja presudno za razvoj i jačanje kritičkog razmišljanja, samosvijesti i odgovornog ponašanja na internetu;</w:t>
      </w:r>
    </w:p>
    <w:p w14:paraId="7DD38FE4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7.</w:t>
      </w:r>
      <w:r w:rsidRPr="00D17463">
        <w:tab/>
        <w:t>naglašava da bi politikama u području medijske pismenosti trebalo podići razinu osviještenosti o tome kako digitalna okružja i dizajn platformi utječu na način pristupanja informacijama, uključujući sposobnost razumijevanja funkcioniranja algoritama te prepoznavanja dizajna koji stvara ovisnost i emocionalno manipulativnog sadržaja;</w:t>
      </w:r>
    </w:p>
    <w:p w14:paraId="38441710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8.</w:t>
      </w:r>
      <w:r w:rsidRPr="00D17463">
        <w:tab/>
        <w:t>ističe sve veći utjecaj digitalnih okružja na mentalno zdravlje i dobrobit korisnika; poziva Komisiju i države članice da u programe medijske pismenosti i digitalnog učenja uvrste razvoj digitalne empatije, odgovorno ponašanje na internetu i razumijevanje utjecaja digitalnog okružja na mentalno zdravlje i dobrobit kao važne elemente u sprečavanju zlostavljanja na internetu i promicanju digitalne dobrobiti;</w:t>
      </w:r>
    </w:p>
    <w:p w14:paraId="273596C2" w14:textId="77777777" w:rsidR="00606CC3" w:rsidRPr="00D17463" w:rsidRDefault="00606CC3" w:rsidP="00606CC3">
      <w:pPr>
        <w:pStyle w:val="NormalHanging12a"/>
      </w:pPr>
      <w:r w:rsidRPr="00D17463">
        <w:t>9.</w:t>
      </w:r>
      <w:r w:rsidRPr="00D17463">
        <w:tab/>
        <w:t>ističe važnost upotrebe svih dostupnih relevantnih regulatornih instrumenata i poticanja suradnje među svim relevantnim akterima, prema potrebi, kako bi se stvorio zajednički pristup EU-a medijskoj pismenosti i digitalnom učenju;</w:t>
      </w:r>
    </w:p>
    <w:p w14:paraId="4DE55110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10.</w:t>
      </w:r>
      <w:r w:rsidRPr="00D17463">
        <w:tab/>
        <w:t>ističe važnost jačanja suradnje javnih i privatnih dionika radi promicanja medijske pismenosti diljem EU-a; ističe važnu ulogu organizacija civilnog društva, inicijativa zajednice, volontera i kulturnih aktera u izgradnji povjerenja, čime se potiče dijalog u javnoj raspravi;</w:t>
      </w:r>
    </w:p>
    <w:p w14:paraId="7163C2AE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11.</w:t>
      </w:r>
      <w:r w:rsidRPr="00D17463">
        <w:tab/>
        <w:t xml:space="preserve">pozdravlja rad Stručne skupine za medijsku pismenost i Europskog opservatorija za digitalne medije (EDMO) te njihovu važnu ulogu u okupljanju </w:t>
      </w:r>
      <w:proofErr w:type="spellStart"/>
      <w:r w:rsidRPr="00D17463">
        <w:t>oblikovatelja</w:t>
      </w:r>
      <w:proofErr w:type="spellEnd"/>
      <w:r w:rsidRPr="00D17463">
        <w:t xml:space="preserve"> politika, istraživača i stručnjaka kako bi se uspostavila multidisciplinarna zajednica stručnjaka, </w:t>
      </w:r>
      <w:r w:rsidRPr="00D17463">
        <w:lastRenderedPageBreak/>
        <w:t>razmjenjivale najbolje prakse i povećala razina osviještenosti; poziva na jačanje njihovih aktivnosti u području medijske pismenosti kako bi se poduprla suradnja među državama članicama;</w:t>
      </w:r>
    </w:p>
    <w:p w14:paraId="1B306E52" w14:textId="77777777" w:rsidR="00606CC3" w:rsidRPr="00D17463" w:rsidRDefault="00606CC3" w:rsidP="00606CC3">
      <w:pPr>
        <w:pStyle w:val="NormalHanging12a"/>
      </w:pPr>
      <w:r w:rsidRPr="00D17463">
        <w:t>12.</w:t>
      </w:r>
      <w:r w:rsidRPr="00D17463">
        <w:tab/>
        <w:t>ističe važnost uvođenja medijske pismenosti i digitalnog učenja u školske kurikulume tijekom cijelog procesa formalnog obrazovanja te potrebu za razvojem holističkog pristupa, utemeljenog na dokazima, za upotrebu digitalnih tehnologija u školama;</w:t>
      </w:r>
    </w:p>
    <w:p w14:paraId="2C0502DA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13.</w:t>
      </w:r>
      <w:r w:rsidRPr="00D17463">
        <w:tab/>
        <w:t>ističe važnost promicanja medijske pismenosti i digitalnog učenja izvan formalnog obrazovanja i na radnom mjestu, čime se osigurava cjeloživotno učenje i pristup na razini cijelog društva koji uključuje vlade, obrazovne ustanove, civilno društvo, medijske organizacije, tehnološke platforme i obitelji;</w:t>
      </w:r>
    </w:p>
    <w:p w14:paraId="574B2E79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14.</w:t>
      </w:r>
      <w:r w:rsidRPr="00D17463">
        <w:tab/>
        <w:t>poziva Komisiju da u suradnji s državama članicama uspostavi strukturiran okvir za praćenje i evaluaciju nacionalnih mjera za postizanje medijske pismenosti, uključujući mjerljive pokazatelje za procjenu znanja, ishoda ponašanja, razvoja kritičkog razmišljanja i otpornosti na dezinformacije, među ostalim longitudinalnim studijama te evaluacijom pristupa prilagođenih dobi i programa roditeljske potpore;</w:t>
      </w:r>
    </w:p>
    <w:p w14:paraId="7A42CA85" w14:textId="77777777" w:rsidR="00606CC3" w:rsidRPr="00D17463" w:rsidRDefault="00606CC3" w:rsidP="00606CC3">
      <w:pPr>
        <w:pStyle w:val="Normal12a"/>
        <w:rPr>
          <w:b/>
          <w:bCs/>
          <w:i/>
          <w:iCs/>
        </w:rPr>
      </w:pPr>
      <w:r w:rsidRPr="00D17463">
        <w:rPr>
          <w:b/>
          <w:i/>
        </w:rPr>
        <w:t>Medijska pismenost i digitalno učenje: jačanje stupova modernog medijskog ekosustava</w:t>
      </w:r>
    </w:p>
    <w:p w14:paraId="6F60461A" w14:textId="77777777" w:rsidR="00606CC3" w:rsidRPr="00D17463" w:rsidRDefault="00606CC3" w:rsidP="00606CC3">
      <w:pPr>
        <w:pStyle w:val="NormalHanging12a"/>
      </w:pPr>
      <w:r w:rsidRPr="00D17463">
        <w:t>15.</w:t>
      </w:r>
      <w:r w:rsidRPr="00D17463">
        <w:tab/>
        <w:t>poziva institucije EU-a i države članice da surađuju pri uspostavi koordiniranog pristupa EU-a medijskoj pismenosti i digitalnom učenju;</w:t>
      </w:r>
    </w:p>
    <w:p w14:paraId="5B6E41F7" w14:textId="77777777" w:rsidR="00606CC3" w:rsidRPr="00D17463" w:rsidRDefault="00606CC3" w:rsidP="00606CC3">
      <w:pPr>
        <w:pStyle w:val="NormalHanging12a"/>
      </w:pPr>
      <w:r w:rsidRPr="00D17463">
        <w:t>16.</w:t>
      </w:r>
      <w:r w:rsidRPr="00D17463">
        <w:tab/>
        <w:t>poziva Komisiju da procijeni i po potrebi predloži jasan zajednički pristup EU-a u pogledu pristupanja internetskim platformama, posebno platformama društvenih medija, primjerenog dobi, u skladu s pristupom koji se temelji na zaštiti dobrobiti djece, uvažavanju potreba u području kognitivnog i emocionalnog razvoja maloljetnika i potrebi za osiguravanjem sigurnog digitalnog okružja primjerenog dobi, uz potpuno poštovanje temeljnih prava i razlika u nacionalnim pristupima;</w:t>
      </w:r>
    </w:p>
    <w:p w14:paraId="2FE57793" w14:textId="77777777" w:rsidR="00606CC3" w:rsidRPr="00D17463" w:rsidRDefault="00606CC3" w:rsidP="00606CC3">
      <w:pPr>
        <w:pStyle w:val="NormalHanging12a"/>
      </w:pPr>
      <w:r w:rsidRPr="00D17463">
        <w:t>17.</w:t>
      </w:r>
      <w:r w:rsidRPr="00D17463">
        <w:tab/>
        <w:t xml:space="preserve">poziva Komisiju da ocijeni relevantne odredbe Direktive o audiovizualnim medijskim uslugama, osigura njezinu provedbu i predloži ciljane izmjene kako bi se dodatno povećala razina zaštite korisnika na platformama za razmjenu videozapisa, posebno maloljetnika, kako bi se proširila pravila o medijskom sadržaju na </w:t>
      </w:r>
      <w:proofErr w:type="spellStart"/>
      <w:r w:rsidRPr="00D17463">
        <w:t>influencere</w:t>
      </w:r>
      <w:proofErr w:type="spellEnd"/>
      <w:r w:rsidRPr="00D17463">
        <w:t xml:space="preserve"> i kreatore sadržaja te osiguralo učinkovito označivanje sadržaja generiranog umjetnom inteligencijom, sadržaja kojim manipulira umjetna inteligencija i sadržaja koji je komercijalno sponzoriran, bez oslanjanja isključivo na oznake ili automatizirane pokazatelje;</w:t>
      </w:r>
    </w:p>
    <w:p w14:paraId="112909E3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18.</w:t>
      </w:r>
      <w:r w:rsidRPr="00D17463">
        <w:tab/>
        <w:t xml:space="preserve">poziva na razvoj i promicanje kodeksa ponašanja i jasnih smjernica za </w:t>
      </w:r>
      <w:proofErr w:type="spellStart"/>
      <w:r w:rsidRPr="00D17463">
        <w:t>influencere</w:t>
      </w:r>
      <w:proofErr w:type="spellEnd"/>
      <w:r w:rsidRPr="00D17463">
        <w:t xml:space="preserve"> i kreatore sadržaja u pogledu integracije medijske pismenosti i načela digitalnog učenja u njihov sadržaj s obzirom na važnu ulogu koju imaju u oblikovanju obrazaca konzumiranja informacija, posebno među mladima; potiče internetske platforme da osiguraju veću vidljivost sadržaja kojim se aktivno promiču medijska pismenost, kritičko razmišljanje i sigurnost na internetu, među ostalim preko sustava preporučivanja;</w:t>
      </w:r>
    </w:p>
    <w:p w14:paraId="6E6D07E1" w14:textId="77777777" w:rsidR="00606CC3" w:rsidRPr="00D17463" w:rsidRDefault="00606CC3" w:rsidP="00606CC3">
      <w:pPr>
        <w:pStyle w:val="NormalHanging12a"/>
      </w:pPr>
      <w:r w:rsidRPr="00D17463">
        <w:t>19.</w:t>
      </w:r>
      <w:r w:rsidRPr="00D17463">
        <w:tab/>
        <w:t xml:space="preserve">poziva države članice da osiguraju djelotvoran nadzor te da osiguraju da platforme za razmjenu videozapisa ispunjavaju obvezu pružanja djelotvornih mjera i alata za medijsku pismenost te podizanja razine osviještenosti korisnika o takvim mjerama i </w:t>
      </w:r>
      <w:r w:rsidRPr="00D17463">
        <w:lastRenderedPageBreak/>
        <w:t>alatima, kako je utvrđeno u članku 28.b stavku 3. Direktive o audiovizualnim medijskim uslugama; poziva nacionalna regulatorna tijela da se koriste mehanizmom suradnje uspostavljenim člankom 15. Europskog akta o slobodi medija kako bi se osigurala djelotvorna provedba te obveze u cijelom EU-u;</w:t>
      </w:r>
    </w:p>
    <w:p w14:paraId="67D42857" w14:textId="77777777" w:rsidR="00606CC3" w:rsidRPr="00D17463" w:rsidRDefault="00606CC3" w:rsidP="00606CC3">
      <w:pPr>
        <w:pStyle w:val="NormalHanging12a"/>
      </w:pPr>
      <w:r w:rsidRPr="00D17463">
        <w:t>20.</w:t>
      </w:r>
      <w:r w:rsidRPr="00D17463">
        <w:tab/>
        <w:t>podsjeća na to da su države članice u skladu s člankom 33.a Direktive o audiovizualnim medijskim uslugama obvezne promicati i poduzimati mjere za razvoj vještina medijske pismenosti te izvješćivati Komisiju o njihovoj provedbi; potiče nacionalna regulatorna tijela za medije da se pri osmišljavanju takvih mjera savjetuju s predstavnicima svih skupina stanovništva te da pri njihovoj provedbi primijene prilagođen pristup kojim se uzimaju u obzir potrebe svih dobnih skupina; poziva države članice da takvim tijelima osiguraju stabilno i namjensko financiranje za promicanje i provedbu mjera za medijsku pismenost;</w:t>
      </w:r>
    </w:p>
    <w:p w14:paraId="511C7722" w14:textId="77777777" w:rsidR="00606CC3" w:rsidRPr="00D17463" w:rsidRDefault="00606CC3" w:rsidP="00606CC3">
      <w:pPr>
        <w:pStyle w:val="NormalHanging12a"/>
      </w:pPr>
      <w:r w:rsidRPr="00D17463">
        <w:t>21.</w:t>
      </w:r>
      <w:r w:rsidRPr="00D17463">
        <w:tab/>
        <w:t>potiče vrlo velike internetske platforme da uspostave razumne, razmjerne i učinkovite mjere za ublažavanje sistemskih rizika koji proizlaze iz iskorištavanja nedovoljne medijske pismenosti i vještina digitalnog učenja korisnika, posebno maloljetnika, kako je propisano Aktom o digitalnim uslugama; poziva vrlo velike internetske platforme da provode procjene učinka na medijsku pismenost i digitalno učenje kako bi proaktivno utvrđivale kako dizajn njihovih usluga može utjecati na sposobnost korisnika da pristupe sadržaju, da ga stvaraju te da se njime koriste;</w:t>
      </w:r>
    </w:p>
    <w:p w14:paraId="4C1331E9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22.</w:t>
      </w:r>
      <w:r w:rsidRPr="00D17463">
        <w:tab/>
        <w:t>naglašava da bi u takvim procjenama učinka trebalo uzeti u obzir i učinke na dobrobit korisnika te na kognitivni i socijalno-emocionalni razvoj i mentalno zdravlje, kao i rizike povezane sa značajkama dizajna koje se temelje na angažmanu ili potencijalno stvaraju ovisnost; poziva na to da takve procjene budu transparentne, neovisne i javno dostupne;</w:t>
      </w:r>
    </w:p>
    <w:p w14:paraId="176E9A54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t>23.</w:t>
      </w:r>
      <w:r w:rsidRPr="00D17463">
        <w:tab/>
        <w:t>poziva Komisiju da osigura učinkovito ispunjavanje obveza u pogledu medijske pismenosti u skladu s Kodeksom ponašanja u suzbijanju dezinformacija iz Akta o digitalnim uslugama;</w:t>
      </w:r>
    </w:p>
    <w:p w14:paraId="09234476" w14:textId="77777777" w:rsidR="00606CC3" w:rsidRPr="00D17463" w:rsidRDefault="00606CC3" w:rsidP="00606CC3">
      <w:pPr>
        <w:pStyle w:val="NormalHanging12a"/>
      </w:pPr>
      <w:r w:rsidRPr="00D17463">
        <w:t>24.</w:t>
      </w:r>
      <w:r w:rsidRPr="00D17463">
        <w:tab/>
        <w:t>poziva Komisiju da medijsku pismenost i digitalno učenje obuhvati revizijom smjernica Akta o digitalnim uslugama o mjerama za osiguravanje visoke razine privatnosti, sigurnosti i zaštite maloljetnika na internetu, posebno u pogledu mjera za medijsku pismenost i digitalno učenje koje bi internetske platforme mogle poduzeti kako bi se maloljetnicima na internetu osiguralo iskustvo primjereno njihovoj dobi;</w:t>
      </w:r>
    </w:p>
    <w:p w14:paraId="29062255" w14:textId="77777777" w:rsidR="00606CC3" w:rsidRPr="00D17463" w:rsidRDefault="00606CC3" w:rsidP="00606CC3">
      <w:pPr>
        <w:pStyle w:val="NormalHanging12a"/>
      </w:pPr>
      <w:r w:rsidRPr="00D17463">
        <w:t>25.</w:t>
      </w:r>
      <w:r w:rsidRPr="00D17463">
        <w:tab/>
        <w:t>poziva Europski odbor za medijske usluge da iskoristi strukturirani dijalog iz članka 19. Europskog akta o slobodi medija, za praćenje mjera u pogledu medijske pismenosti koje poduzimaju vrlo velike internetske platforme te da ojača dijalog među pružateljima medijskih usluga o promicanju medijske pismenosti i digitalnog učenja, kao i da poboljša vidljivosti uglednih medija na internetu;</w:t>
      </w:r>
    </w:p>
    <w:p w14:paraId="6B5FEAF2" w14:textId="77777777" w:rsidR="00606CC3" w:rsidRPr="00D17463" w:rsidRDefault="00606CC3" w:rsidP="00606CC3">
      <w:pPr>
        <w:pStyle w:val="NormalHanging12a"/>
        <w:rPr>
          <w:b/>
          <w:i/>
        </w:rPr>
      </w:pPr>
      <w:r w:rsidRPr="00D17463">
        <w:t>26.</w:t>
      </w:r>
      <w:r w:rsidRPr="00D17463">
        <w:tab/>
        <w:t>naglašava da se politikama medijske pismenosti moraju u potpunosti poštovati sloboda izražavanja i medijski pluralizam te da bi njima trebalo osnažiti korisnike bez ograničavanja pristupa raznim izvorima informacija;</w:t>
      </w:r>
    </w:p>
    <w:p w14:paraId="59C53E79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27.</w:t>
      </w:r>
      <w:r w:rsidRPr="00D17463">
        <w:tab/>
        <w:t xml:space="preserve">naglašava da medijska pismenost ne ovisi samo o sposobnosti korisnika da kritički procjenjuju informacije već i o čvrstom, kvalitetnom i neovisnom novinarstvu koje pruža pouzdane, provjerene i pluralističke informacije; poziva Komisiju da ojača </w:t>
      </w:r>
      <w:r w:rsidRPr="00D17463">
        <w:lastRenderedPageBreak/>
        <w:t xml:space="preserve">potporu tradicionalnim medijima na europskoj, nacionalnoj, regionalnoj i lokalnoj razini s obzirom na njihovu ključnu ulogu u informiranju građana, među ostalim promicanjem pravedne naknade za novinarski sadržaj i osiguravanjem održivog financiranja, posebno preko programa kao što je budući program </w:t>
      </w:r>
      <w:proofErr w:type="spellStart"/>
      <w:r w:rsidRPr="00D17463">
        <w:t>AgoraEU</w:t>
      </w:r>
      <w:proofErr w:type="spellEnd"/>
      <w:r w:rsidRPr="00D17463">
        <w:t>;</w:t>
      </w:r>
    </w:p>
    <w:p w14:paraId="7EFA8BD5" w14:textId="77777777" w:rsidR="00606CC3" w:rsidRPr="00D17463" w:rsidRDefault="00606CC3" w:rsidP="00606CC3">
      <w:pPr>
        <w:pStyle w:val="NormalHanging12a"/>
      </w:pPr>
      <w:r w:rsidRPr="00D17463">
        <w:t>28.</w:t>
      </w:r>
      <w:r w:rsidRPr="00D17463">
        <w:tab/>
        <w:t>traži od Komisije da prednost da mjerama za medijsku pismenost u okviru programa za otpornost medija te da osigura da takve mjere dopru do svih dobnih kategorija (mladi, odrasli, starije osobe) u ruralnim, udaljenim i urbanim područjima;</w:t>
      </w:r>
    </w:p>
    <w:p w14:paraId="6CD36F73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29.</w:t>
      </w:r>
      <w:r w:rsidRPr="00D17463">
        <w:tab/>
        <w:t>poziva države članice da osiguraju da nacionalne mjere za medijsku pismenost uključuju posebne strategije informiranja za skupine u nepovoljnom socioekonomskom položaju, osobe s invaliditetom, osobe koje žive u udaljenim područjima i osobe s nižim razinama digitalnih vještina kako bi se spriječilo da razlike u medijskoj pismenosti i digitalnom učenju povećavaju nejednakosti;</w:t>
      </w:r>
    </w:p>
    <w:p w14:paraId="06677F66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30.</w:t>
      </w:r>
      <w:r w:rsidRPr="00D17463">
        <w:tab/>
        <w:t xml:space="preserve">naglašava da je za medijsku pismenost i digitalno učenje potrebno osigurati stabilno i dugoročno financiranje sredstvima EU-a; poziva Komisiju da prednost da inicijativama za medijsku pismenost u okviru relevantnih programa EU-a, uključujući budući program </w:t>
      </w:r>
      <w:proofErr w:type="spellStart"/>
      <w:r w:rsidRPr="00D17463">
        <w:t>AgoraEU</w:t>
      </w:r>
      <w:proofErr w:type="spellEnd"/>
      <w:r w:rsidRPr="00D17463">
        <w:t>, s naglaskom na kritičkom razmišljanju, otpornosti na dezinformacije i medijskom pluralizmu;</w:t>
      </w:r>
    </w:p>
    <w:p w14:paraId="4B8F1FD4" w14:textId="77777777" w:rsidR="00606CC3" w:rsidRPr="00D17463" w:rsidRDefault="00606CC3" w:rsidP="00606CC3">
      <w:pPr>
        <w:pStyle w:val="NormalHanging12a"/>
      </w:pPr>
      <w:r w:rsidRPr="00D17463">
        <w:t>31.</w:t>
      </w:r>
      <w:r w:rsidRPr="00D17463">
        <w:tab/>
        <w:t>poziva Stručnu skupinu Komisije za medijsku pismenost, Europski odbor za medijske usluge i Europski odbor za digitalne usluge da blisko surađuju u pitanjima povezanima s medijskom pismenošću i digitalnim učenjem te da pruže dodatne smjernice o praktičnim mjerama koje bi se mogle poduzeti na nacionalnoj razini;</w:t>
      </w:r>
    </w:p>
    <w:p w14:paraId="4CC4F58F" w14:textId="77777777" w:rsidR="00606CC3" w:rsidRPr="00D17463" w:rsidRDefault="00606CC3" w:rsidP="00606CC3">
      <w:pPr>
        <w:pStyle w:val="NormalHanging12a"/>
      </w:pPr>
      <w:r w:rsidRPr="00D17463">
        <w:t>32.</w:t>
      </w:r>
      <w:r w:rsidRPr="00D17463">
        <w:tab/>
        <w:t>traži od Komisije da iskoristi Europski tjedan medijske pismenosti kao vodeće godišnje događanje kako bi se predstavili primjeri najbolje prakse i osigurao uključiv forum za raspravu i izgradnju kapaciteta te kako bi se širok raspon dionika i institucija, uključujući urede za vezu Europskog parlamenta u državama članicama i međunarodne organizacije, potaknuo na aktivno sudjelovanje u promicanju medijske pismenosti i digitalnog učenja, pri čemu treba osigurati da takva događanja odražavaju istinski pluralizam stajališta;</w:t>
      </w:r>
    </w:p>
    <w:p w14:paraId="3B0D5E38" w14:textId="77777777" w:rsidR="00606CC3" w:rsidRPr="00D17463" w:rsidRDefault="00606CC3" w:rsidP="00606CC3">
      <w:pPr>
        <w:pStyle w:val="Normal12a"/>
        <w:rPr>
          <w:b/>
          <w:i/>
          <w:iCs/>
        </w:rPr>
      </w:pPr>
      <w:r w:rsidRPr="00D17463">
        <w:rPr>
          <w:b/>
          <w:i/>
        </w:rPr>
        <w:t xml:space="preserve">Medijska pismenost i digitalno učenje: promicanje holističkog obrazovnog sustava usmjerenog na budućnost </w:t>
      </w:r>
    </w:p>
    <w:p w14:paraId="0AE45A12" w14:textId="77777777" w:rsidR="00606CC3" w:rsidRPr="00D17463" w:rsidRDefault="00606CC3" w:rsidP="00606CC3">
      <w:pPr>
        <w:pStyle w:val="NormalHanging12a"/>
      </w:pPr>
      <w:r w:rsidRPr="00D17463">
        <w:t>33.</w:t>
      </w:r>
      <w:r w:rsidRPr="00D17463">
        <w:tab/>
        <w:t>poziva Komisiju da prepozna medijsku pismenost i digitalno učenje kao osnovne vještine za sve građane; poziva države članice da medijsku pismenost i digitalno učenje uvrste u svoje obrazovne kurikulume, i to na način prilagođen dobi; naglašava da se analogni alati mogu koristiti za poticanje medijske pismenosti;</w:t>
      </w:r>
    </w:p>
    <w:p w14:paraId="75602234" w14:textId="77777777" w:rsidR="00606CC3" w:rsidRPr="00D17463" w:rsidRDefault="00606CC3" w:rsidP="00606CC3">
      <w:pPr>
        <w:pStyle w:val="NormalHanging12a"/>
      </w:pPr>
      <w:r w:rsidRPr="00D17463">
        <w:t>34.</w:t>
      </w:r>
      <w:r w:rsidRPr="00D17463">
        <w:tab/>
        <w:t>poziva Komisiju da u Planu za budućnost digitalnog obrazovanja i vještina do 2030. posebnu pozornost posveti medijskoj pismenosti te jačanju digitalnih kompetencija, sprečavanju zlostavljanja na internetu i promicanju digitalne dobrobiti;</w:t>
      </w:r>
    </w:p>
    <w:p w14:paraId="040D118A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35.</w:t>
      </w:r>
      <w:r w:rsidRPr="00D17463">
        <w:tab/>
        <w:t xml:space="preserve">poziva Komisiju da u suradnji s državama članicama izradi europski vodič i ostale obrazovne materijale o medijskoj pismenosti prilagođene svim dobnim skupinama i razinama obrazovanja te da organizira redovite radionice usmjerene na kritičko razmišljanje, provjeru izvora informacija, medijski pluralizam, odgovorno sudjelovanje u medijima te ulogu organizacija za provjeru činjenica, novinarskih </w:t>
      </w:r>
      <w:proofErr w:type="spellStart"/>
      <w:r w:rsidRPr="00D17463">
        <w:t>samoregulatornih</w:t>
      </w:r>
      <w:proofErr w:type="spellEnd"/>
      <w:r w:rsidRPr="00D17463">
        <w:t xml:space="preserve"> </w:t>
      </w:r>
      <w:r w:rsidRPr="00D17463">
        <w:lastRenderedPageBreak/>
        <w:t>tijela i medija u zajednici, kao i da izradi smjernice za roditelje i pružatelje skrbi o upotrebi medija primjerenoj dobi, o internetskim rizicima i alatima umjetne inteligencije;</w:t>
      </w:r>
    </w:p>
    <w:p w14:paraId="04669D4C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36.</w:t>
      </w:r>
      <w:r w:rsidRPr="00D17463">
        <w:tab/>
        <w:t>potiče države članice da se pri razvoju i ocjenjivanju inicijativa za medijsku pismenost i digitalno učenje savjetuju i da surađuju s nastavnicima, istraživačima, akademskom zajednicom, organizacijama civilnog društva, roditeljima, pružateljima skrbi i organizacijama mladih kako bi se osiguralo da te inicijative odgovaraju potrebama učenika i nastavnog osoblja;</w:t>
      </w:r>
    </w:p>
    <w:p w14:paraId="6FAD2EFE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37.</w:t>
      </w:r>
      <w:r w:rsidRPr="00D17463">
        <w:tab/>
        <w:t>poziva države članice i Komisiju da osiguraju da uvođenje digitalnih alata za učenje u obrazovanje ne bude izloženo neprimjerenom komercijalnom utjecaju; naglašava da bi suradnja s akterima iz privatnog sektora trebala biti transparentna, usmjerena na obrazovanje i u javnom interesu;</w:t>
      </w:r>
    </w:p>
    <w:p w14:paraId="61F0C3ED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38.</w:t>
      </w:r>
      <w:r w:rsidRPr="00D17463">
        <w:tab/>
        <w:t>poziva države članice da poboljšaju programe medijske pismenosti i digitalnog učenja kako bi se korisnicima omogućilo da razlikuju urednički, komercijalni i sintetički sadržaj te da prepoznaju uvjerljive tehnike; ističe potrebu za integracijom pismenosti u području umjetne inteligencije u te programe kako bi se omogućilo prepoznavanje sadržaja generiranog umjetnom inteligencijom i s njim povezanih rizika od manipulacije i pogrešnih informacija;</w:t>
      </w:r>
    </w:p>
    <w:p w14:paraId="6C994C76" w14:textId="77777777" w:rsidR="00606CC3" w:rsidRPr="00D17463" w:rsidRDefault="00606CC3" w:rsidP="00606CC3">
      <w:pPr>
        <w:pStyle w:val="NormalHanging12a"/>
      </w:pPr>
      <w:r w:rsidRPr="00D17463">
        <w:t>39.</w:t>
      </w:r>
      <w:r w:rsidRPr="00D17463">
        <w:tab/>
        <w:t>poziva Komisiju da u bliskoj suradnji s državama članicama hitno i sveobuhvatno procijeni učinak digitalnih uređaja i usluga, uključujući alate umjetne inteligencije, u obrazovnom okružju na ishod učenja, kognitivni razvoj, dobrobit, mentalno zdravlje i koncentraciju kako bi se podržala njihova odgovorna upotreba u školama; potiče Komisiju da po potrebi predloži mjere politike kojima bi se mogla predvidjeti ciljana ograničenja ili zabrane, posebno u ranom i predškolskom odgoju i obrazovanju, kako bi se osiguralo da je upotreba digitalnih tehnologija u obrazovanju strogo opravdana s pedagoškog stajališta, primjerena dobi, razmjerna i utemeljena na neovisnim znanstvenim dokazima kako bi se tim alatima podržali procesi učenja, a ne kako bi ih zamijenili;</w:t>
      </w:r>
    </w:p>
    <w:p w14:paraId="50174440" w14:textId="77777777" w:rsidR="00606CC3" w:rsidRPr="00D17463" w:rsidRDefault="00606CC3" w:rsidP="00606CC3">
      <w:pPr>
        <w:pStyle w:val="NormalHanging12a"/>
      </w:pPr>
      <w:r w:rsidRPr="00D17463">
        <w:t>40.</w:t>
      </w:r>
      <w:r w:rsidRPr="00D17463">
        <w:tab/>
        <w:t xml:space="preserve">potiče države članice da osiguraju kontinuirano osposobljavanje edukatora, u formalnom, neformalnom i </w:t>
      </w:r>
      <w:proofErr w:type="spellStart"/>
      <w:r w:rsidRPr="00D17463">
        <w:t>informalnom</w:t>
      </w:r>
      <w:proofErr w:type="spellEnd"/>
      <w:r w:rsidRPr="00D17463">
        <w:t xml:space="preserve"> obrazovanju, i knjižničara u medijskom i digitalnom obrazovanju, uz odgovarajuće financiranje; poziva Komisiju da poboljša osposobljavanje u području medijske pismenosti preko centara za sigurniji internet, platforme Bolji internet za djecu i relevantnih platformi EU-a;</w:t>
      </w:r>
    </w:p>
    <w:p w14:paraId="27A22EFB" w14:textId="77777777" w:rsidR="00606CC3" w:rsidRPr="00D17463" w:rsidRDefault="00606CC3" w:rsidP="00606CC3">
      <w:pPr>
        <w:pStyle w:val="NormalHanging12a"/>
      </w:pPr>
      <w:r w:rsidRPr="00D17463">
        <w:t>41.</w:t>
      </w:r>
      <w:r w:rsidRPr="00D17463">
        <w:tab/>
        <w:t>poziva Komisiju i relevantna nacionalna regulatorna tijela da provedu obrazovne kampanje i kampanje za informiranje javnosti o medijskoj pismenosti i digitalnom učenju da bi se povećala osviještenost o tome kako digitalna okružja oblikuju ponašanje na internetu, kao i o dostupnim mjerama roditeljske kontrole, postojećim pravnim obvezama internetskih platformi i dostupnim mehanizmima potpore, uključujući organizacije koje pružaju pristupačnu potporu u području mentalnog zdravlja;</w:t>
      </w:r>
    </w:p>
    <w:p w14:paraId="13F123F6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42.</w:t>
      </w:r>
      <w:r w:rsidRPr="00D17463">
        <w:tab/>
        <w:t>poziva Komisiju i države članice da promiču cjeloživotnu medijsku pismenost i digitalno učenje za sve građane, pri čemu se treba usredotočiti na odrasle, starije osobe i ranjivo stanovništvo;</w:t>
      </w:r>
    </w:p>
    <w:p w14:paraId="24FD4080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lastRenderedPageBreak/>
        <w:t>43.</w:t>
      </w:r>
      <w:r w:rsidRPr="00D17463">
        <w:tab/>
        <w:t xml:space="preserve">prepoznaje ulogu javnih knjižnica, društvenih centara i organizacija civilnog društva kao pouzdanih, pristupačnih i </w:t>
      </w:r>
      <w:proofErr w:type="spellStart"/>
      <w:r w:rsidRPr="00D17463">
        <w:t>uključivih</w:t>
      </w:r>
      <w:proofErr w:type="spellEnd"/>
      <w:r w:rsidRPr="00D17463">
        <w:t xml:space="preserve"> centara za medijsku pismenost i digitalno učenje koji doprinose socijalnoj uključenosti, demokratskom sudjelovanju te jednakom pristupu znanju, kulturi i informacijama; poziva države članice da učvrste partnerstva i povećaju ulaganja u tu ključnu lokalnu infrastrukturu odgovarajućim financiranjem, osposobljavanjem osoblja te pristupom ažuriranim digitalnim alatima i resursima;</w:t>
      </w:r>
    </w:p>
    <w:p w14:paraId="22A047D1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44.</w:t>
      </w:r>
      <w:r w:rsidRPr="00D17463">
        <w:tab/>
        <w:t>poziva Komisiju i države članice da u suradnji s akterima od javnog interesa i relevantnim dionicima podrže razvoj otpornih i pouzdanih digitalnih ekosustava kojima se jačaju digitalna otpornost Europe, medijski pluralizam i pristup građana točnim i pouzdanim informacijama;</w:t>
      </w:r>
    </w:p>
    <w:p w14:paraId="79EFE42E" w14:textId="77777777" w:rsidR="00606CC3" w:rsidRPr="00D17463" w:rsidRDefault="00606CC3" w:rsidP="00606CC3">
      <w:pPr>
        <w:pStyle w:val="NormalHanging12a"/>
        <w:rPr>
          <w:bCs/>
          <w:iCs/>
        </w:rPr>
      </w:pPr>
      <w:r w:rsidRPr="00D17463">
        <w:t>45.</w:t>
      </w:r>
      <w:r w:rsidRPr="00D17463">
        <w:tab/>
        <w:t>poziva države članice te njihove regionalne i lokalne vlasti, da na inovativan i kreativan način promiču medijsku pismenost i digitalno obrazovanje u svim urbanim okružjima, kako fizičkim tako i digitalnim, kako bi se potaknulo demokratsko sudjelovanje i građanski angažman; naglašava da gradovi imaju presudnu ulogu u jamčenju sigurnosti i zaštite javnih prostora, na koje sve više utječe informacijsko okružje;</w:t>
      </w:r>
    </w:p>
    <w:p w14:paraId="06D9ED6F" w14:textId="71766535" w:rsidR="005E717B" w:rsidRDefault="005E717B" w:rsidP="005E717B">
      <w:pPr>
        <w:pStyle w:val="NormalCenter12a"/>
      </w:pPr>
      <w:r>
        <w:t>°</w:t>
      </w:r>
    </w:p>
    <w:p w14:paraId="645CF2F9" w14:textId="5CE23364" w:rsidR="005E717B" w:rsidRDefault="005E717B" w:rsidP="005E717B">
      <w:pPr>
        <w:pStyle w:val="NormalCenter12a"/>
      </w:pPr>
      <w:r>
        <w:t>°     °</w:t>
      </w:r>
    </w:p>
    <w:p w14:paraId="124A3AE4" w14:textId="6622DA94" w:rsidR="00D17463" w:rsidRPr="00D17463" w:rsidRDefault="00606CC3" w:rsidP="00D17463">
      <w:pPr>
        <w:pStyle w:val="NormalHanging12a"/>
      </w:pPr>
      <w:r w:rsidRPr="00D17463">
        <w:t>46.</w:t>
      </w:r>
      <w:r w:rsidRPr="00D17463">
        <w:tab/>
        <w:t>nalaže svojoj predsjednici da ovu Rezoluciju proslijedi Vijeću i Komisiji.</w:t>
      </w:r>
    </w:p>
    <w:p w14:paraId="76E26DB8" w14:textId="0CB2DC55" w:rsidR="00E365E1" w:rsidRPr="00D17463" w:rsidRDefault="00E365E1" w:rsidP="00E41C92"/>
    <w:sectPr w:rsidR="00E365E1" w:rsidRPr="00D17463" w:rsidSect="00D174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C231E" w14:textId="77777777" w:rsidR="00E41C92" w:rsidRPr="00D17463" w:rsidRDefault="00E41C92">
      <w:r w:rsidRPr="00D17463">
        <w:separator/>
      </w:r>
    </w:p>
  </w:endnote>
  <w:endnote w:type="continuationSeparator" w:id="0">
    <w:p w14:paraId="739ACB3F" w14:textId="77777777" w:rsidR="00E41C92" w:rsidRPr="00D17463" w:rsidRDefault="00E41C92">
      <w:r w:rsidRPr="00D174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4EAEB" w14:textId="77777777" w:rsidR="00064002" w:rsidRPr="00D1746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05C22" w14:textId="77777777" w:rsidR="00064002" w:rsidRPr="00D1746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3CCB6" w14:textId="77777777" w:rsidR="00064002" w:rsidRPr="00D1746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5A920" w14:textId="77777777" w:rsidR="00E41C92" w:rsidRPr="00D17463" w:rsidRDefault="00E41C92">
      <w:r w:rsidRPr="00D17463">
        <w:separator/>
      </w:r>
    </w:p>
  </w:footnote>
  <w:footnote w:type="continuationSeparator" w:id="0">
    <w:p w14:paraId="15308D5C" w14:textId="77777777" w:rsidR="00E41C92" w:rsidRPr="00D17463" w:rsidRDefault="00E41C92">
      <w:r w:rsidRPr="00D17463">
        <w:continuationSeparator/>
      </w:r>
    </w:p>
  </w:footnote>
  <w:footnote w:id="1">
    <w:p w14:paraId="57E8730D" w14:textId="6923DF3F" w:rsidR="005E717B" w:rsidRPr="00D17463" w:rsidRDefault="005E717B" w:rsidP="00D17463">
      <w:pPr>
        <w:pStyle w:val="FootnoteText"/>
        <w:ind w:left="567" w:hanging="567"/>
        <w:rPr>
          <w:sz w:val="24"/>
          <w:lang w:val="hr-HR"/>
        </w:rPr>
      </w:pPr>
      <w:r>
        <w:rPr>
          <w:rStyle w:val="FootnoteReference"/>
        </w:rPr>
        <w:footnoteRef/>
      </w:r>
      <w:r w:rsidRPr="00D17463">
        <w:rPr>
          <w:sz w:val="24"/>
          <w:vertAlign w:val="superscript"/>
          <w:lang w:val="hr-HR"/>
        </w:rPr>
        <w:t xml:space="preserve"> </w:t>
      </w:r>
      <w:r w:rsidRPr="00D17463">
        <w:rPr>
          <w:sz w:val="24"/>
          <w:vertAlign w:val="superscript"/>
          <w:lang w:val="hr-HR"/>
        </w:rPr>
        <w:tab/>
      </w:r>
      <w:r w:rsidRPr="00D17463">
        <w:rPr>
          <w:sz w:val="24"/>
          <w:lang w:val="hr-HR"/>
        </w:rPr>
        <w:t xml:space="preserve">SL L 303, 28.11.2018., str. 69., ELI: </w:t>
      </w:r>
      <w:hyperlink r:id="rId1" w:tgtFrame="http://data.europa.eu/eli/dir/2018/1808/oj" w:history="1">
        <w:r w:rsidRPr="00D17463">
          <w:rPr>
            <w:rStyle w:val="Hyperlink"/>
            <w:sz w:val="24"/>
            <w:lang w:val="hr-HR"/>
          </w:rPr>
          <w:t>http://data.europa.</w:t>
        </w:r>
        <w:r w:rsidRPr="00D17463">
          <w:rPr>
            <w:rStyle w:val="Hyperlink"/>
            <w:sz w:val="24"/>
            <w:lang w:val="hr-HR"/>
          </w:rPr>
          <w:t>e</w:t>
        </w:r>
        <w:r w:rsidRPr="00D17463">
          <w:rPr>
            <w:rStyle w:val="Hyperlink"/>
            <w:sz w:val="24"/>
            <w:lang w:val="hr-HR"/>
          </w:rPr>
          <w:t>u/eli/dir/2018/1808/oj</w:t>
        </w:r>
      </w:hyperlink>
      <w:r w:rsidRPr="00D17463">
        <w:rPr>
          <w:sz w:val="24"/>
          <w:lang w:val="hr-HR"/>
        </w:rPr>
        <w:t>.</w:t>
      </w:r>
    </w:p>
  </w:footnote>
  <w:footnote w:id="2">
    <w:p w14:paraId="002DE642" w14:textId="5D0CBA5D" w:rsidR="00606CC3" w:rsidRPr="00D17463" w:rsidRDefault="00606CC3" w:rsidP="00D17463">
      <w:pPr>
        <w:pStyle w:val="FootnoteText"/>
        <w:ind w:left="567" w:hanging="567"/>
        <w:rPr>
          <w:sz w:val="24"/>
          <w:lang w:val="hr-HR"/>
        </w:rPr>
      </w:pPr>
      <w:r w:rsidRPr="00D17463">
        <w:rPr>
          <w:rStyle w:val="FootnoteReference"/>
          <w:sz w:val="24"/>
          <w:lang w:val="hr-HR"/>
        </w:rPr>
        <w:footnoteRef/>
      </w:r>
      <w:r w:rsidR="00D17463" w:rsidRPr="00D17463">
        <w:rPr>
          <w:sz w:val="24"/>
          <w:lang w:val="hr-HR"/>
        </w:rPr>
        <w:t xml:space="preserve"> </w:t>
      </w:r>
      <w:r w:rsidR="00D17463" w:rsidRPr="00D17463">
        <w:rPr>
          <w:sz w:val="24"/>
          <w:lang w:val="hr-HR"/>
        </w:rPr>
        <w:tab/>
      </w:r>
      <w:r w:rsidRPr="00D17463">
        <w:rPr>
          <w:sz w:val="24"/>
          <w:lang w:val="hr-HR"/>
        </w:rPr>
        <w:t>SL L, 2024/1083, 17.4.2024., ELI: </w:t>
      </w:r>
      <w:hyperlink r:id="rId2" w:tgtFrame="_blank" w:tooltip="ELI URI za pristup dokumentu." w:history="1">
        <w:r w:rsidRPr="00D17463">
          <w:rPr>
            <w:rStyle w:val="Hyperlink"/>
            <w:sz w:val="24"/>
            <w:lang w:val="hr-HR"/>
          </w:rPr>
          <w:t>http://data.</w:t>
        </w:r>
        <w:r w:rsidRPr="00D17463">
          <w:rPr>
            <w:rStyle w:val="Hyperlink"/>
            <w:sz w:val="24"/>
            <w:lang w:val="hr-HR"/>
          </w:rPr>
          <w:t>e</w:t>
        </w:r>
        <w:r w:rsidRPr="00D17463">
          <w:rPr>
            <w:rStyle w:val="Hyperlink"/>
            <w:sz w:val="24"/>
            <w:lang w:val="hr-HR"/>
          </w:rPr>
          <w:t>uropa.eu/eli/reg/2024/1083/oj</w:t>
        </w:r>
      </w:hyperlink>
      <w:r w:rsidRPr="00D17463">
        <w:rPr>
          <w:sz w:val="24"/>
          <w:lang w:val="hr-HR"/>
        </w:rPr>
        <w:t>.</w:t>
      </w:r>
    </w:p>
  </w:footnote>
  <w:footnote w:id="3">
    <w:p w14:paraId="7BE7169D" w14:textId="2BF6CD68" w:rsidR="00606CC3" w:rsidRPr="00D17463" w:rsidRDefault="00606CC3" w:rsidP="00D17463">
      <w:pPr>
        <w:pStyle w:val="FootnoteText"/>
        <w:ind w:left="567" w:hanging="567"/>
        <w:rPr>
          <w:sz w:val="24"/>
          <w:lang w:val="hr-HR"/>
        </w:rPr>
      </w:pPr>
      <w:r w:rsidRPr="00D17463">
        <w:rPr>
          <w:rStyle w:val="FootnoteReference"/>
          <w:sz w:val="24"/>
          <w:lang w:val="hr-HR"/>
        </w:rPr>
        <w:footnoteRef/>
      </w:r>
      <w:r w:rsidR="00D17463" w:rsidRPr="00D17463">
        <w:rPr>
          <w:sz w:val="24"/>
          <w:lang w:val="hr-HR"/>
        </w:rPr>
        <w:t xml:space="preserve"> </w:t>
      </w:r>
      <w:r w:rsidR="00D17463" w:rsidRPr="00D17463">
        <w:rPr>
          <w:sz w:val="24"/>
          <w:lang w:val="hr-HR"/>
        </w:rPr>
        <w:tab/>
      </w:r>
      <w:r w:rsidRPr="00D17463">
        <w:rPr>
          <w:sz w:val="24"/>
          <w:lang w:val="hr-HR"/>
        </w:rPr>
        <w:t>SL L 277, 27.10.2022., str. </w:t>
      </w:r>
      <w:r w:rsidRPr="00D17463">
        <w:rPr>
          <w:sz w:val="24"/>
          <w:lang w:val="hr-HR"/>
        </w:rPr>
        <w:t>1., ELI: </w:t>
      </w:r>
      <w:hyperlink r:id="rId3" w:tooltip="ELI URI za pristup dokumentu." w:history="1">
        <w:r w:rsidRPr="00D17463">
          <w:rPr>
            <w:rStyle w:val="Hyperlink"/>
            <w:sz w:val="24"/>
            <w:lang w:val="hr-HR"/>
          </w:rPr>
          <w:t>http://data.eur</w:t>
        </w:r>
        <w:r w:rsidRPr="00D17463">
          <w:rPr>
            <w:rStyle w:val="Hyperlink"/>
            <w:sz w:val="24"/>
            <w:lang w:val="hr-HR"/>
          </w:rPr>
          <w:t>o</w:t>
        </w:r>
        <w:r w:rsidRPr="00D17463">
          <w:rPr>
            <w:rStyle w:val="Hyperlink"/>
            <w:sz w:val="24"/>
            <w:lang w:val="hr-HR"/>
          </w:rPr>
          <w:t>pa.eu/eli/reg/2022/2065/oj</w:t>
        </w:r>
      </w:hyperlink>
      <w:r w:rsidRPr="00D17463">
        <w:rPr>
          <w:sz w:val="24"/>
          <w:lang w:val="hr-HR"/>
        </w:rPr>
        <w:t>.</w:t>
      </w:r>
    </w:p>
  </w:footnote>
  <w:footnote w:id="4">
    <w:p w14:paraId="6B5B7E6B" w14:textId="55F3FCE5" w:rsidR="00606CC3" w:rsidRPr="00D17463" w:rsidRDefault="00606CC3" w:rsidP="00D17463">
      <w:pPr>
        <w:pStyle w:val="FootnoteText"/>
        <w:ind w:left="567" w:hanging="567"/>
        <w:rPr>
          <w:sz w:val="24"/>
          <w:lang w:val="hr-HR"/>
        </w:rPr>
      </w:pPr>
      <w:r w:rsidRPr="00D17463">
        <w:rPr>
          <w:rStyle w:val="FootnoteReference"/>
          <w:sz w:val="24"/>
          <w:lang w:val="hr-HR"/>
        </w:rPr>
        <w:footnoteRef/>
      </w:r>
      <w:r w:rsidR="00D17463" w:rsidRPr="00D17463">
        <w:rPr>
          <w:sz w:val="24"/>
          <w:lang w:val="hr-HR"/>
        </w:rPr>
        <w:t xml:space="preserve"> </w:t>
      </w:r>
      <w:r w:rsidR="00D17463" w:rsidRPr="00D17463">
        <w:rPr>
          <w:sz w:val="24"/>
          <w:lang w:val="hr-HR"/>
        </w:rPr>
        <w:tab/>
      </w:r>
      <w:r w:rsidRPr="00D17463">
        <w:rPr>
          <w:sz w:val="24"/>
          <w:lang w:val="hr-HR"/>
        </w:rPr>
        <w:t>SL L, 2024/1689, 12.7.2024., ELI: </w:t>
      </w:r>
      <w:hyperlink r:id="rId4" w:tgtFrame="_blank" w:tooltip="ELI URI za pristup dokumentu." w:history="1">
        <w:r w:rsidRPr="00D17463">
          <w:rPr>
            <w:rStyle w:val="Hyperlink"/>
            <w:sz w:val="24"/>
            <w:lang w:val="hr-HR"/>
          </w:rPr>
          <w:t>http://data.eu</w:t>
        </w:r>
        <w:r w:rsidRPr="00D17463">
          <w:rPr>
            <w:rStyle w:val="Hyperlink"/>
            <w:sz w:val="24"/>
            <w:lang w:val="hr-HR"/>
          </w:rPr>
          <w:t>r</w:t>
        </w:r>
        <w:r w:rsidRPr="00D17463">
          <w:rPr>
            <w:rStyle w:val="Hyperlink"/>
            <w:sz w:val="24"/>
            <w:lang w:val="hr-HR"/>
          </w:rPr>
          <w:t>opa.eu/eli/reg/2024/1689/oj</w:t>
        </w:r>
      </w:hyperlink>
      <w:r w:rsidRPr="00D17463">
        <w:rPr>
          <w:sz w:val="24"/>
          <w:lang w:val="hr-HR"/>
        </w:rPr>
        <w:t>.</w:t>
      </w:r>
    </w:p>
  </w:footnote>
  <w:footnote w:id="5">
    <w:p w14:paraId="300DC0FD" w14:textId="1F8E044B" w:rsidR="00606CC3" w:rsidRPr="00D17463" w:rsidRDefault="00606CC3" w:rsidP="00D17463">
      <w:pPr>
        <w:pStyle w:val="FootnoteText"/>
        <w:ind w:left="567" w:hanging="567"/>
        <w:rPr>
          <w:sz w:val="24"/>
          <w:lang w:val="hr-HR"/>
        </w:rPr>
      </w:pPr>
      <w:r w:rsidRPr="00D17463">
        <w:rPr>
          <w:rStyle w:val="FootnoteReference"/>
          <w:sz w:val="24"/>
          <w:lang w:val="hr-HR"/>
        </w:rPr>
        <w:footnoteRef/>
      </w:r>
      <w:r w:rsidR="00D17463" w:rsidRPr="00D17463">
        <w:rPr>
          <w:sz w:val="24"/>
          <w:lang w:val="hr-HR"/>
        </w:rPr>
        <w:t xml:space="preserve"> </w:t>
      </w:r>
      <w:r w:rsidR="00D17463" w:rsidRPr="00D17463">
        <w:rPr>
          <w:sz w:val="24"/>
          <w:lang w:val="hr-HR"/>
        </w:rPr>
        <w:tab/>
      </w:r>
      <w:r w:rsidRPr="00D17463">
        <w:rPr>
          <w:sz w:val="24"/>
          <w:lang w:val="hr-HR"/>
        </w:rPr>
        <w:t xml:space="preserve">SL C 494, 8.12.2021., str. 2. </w:t>
      </w:r>
    </w:p>
  </w:footnote>
  <w:footnote w:id="6">
    <w:p w14:paraId="1AB175F7" w14:textId="1DCA298B" w:rsidR="00606CC3" w:rsidRPr="00D17463" w:rsidRDefault="00606CC3" w:rsidP="00D17463">
      <w:pPr>
        <w:pStyle w:val="FootnoteText"/>
        <w:ind w:left="567" w:hanging="567"/>
        <w:rPr>
          <w:sz w:val="24"/>
          <w:lang w:val="hr-HR"/>
        </w:rPr>
      </w:pPr>
      <w:r w:rsidRPr="00D17463">
        <w:rPr>
          <w:rStyle w:val="FootnoteReference"/>
          <w:sz w:val="24"/>
          <w:lang w:val="hr-HR"/>
        </w:rPr>
        <w:footnoteRef/>
      </w:r>
      <w:r w:rsidR="00D17463" w:rsidRPr="00D17463">
        <w:rPr>
          <w:sz w:val="24"/>
          <w:lang w:val="hr-HR"/>
        </w:rPr>
        <w:t xml:space="preserve"> </w:t>
      </w:r>
      <w:r w:rsidR="00D17463" w:rsidRPr="00D17463">
        <w:rPr>
          <w:sz w:val="24"/>
          <w:lang w:val="hr-HR"/>
        </w:rPr>
        <w:tab/>
      </w:r>
      <w:r w:rsidRPr="00D17463">
        <w:rPr>
          <w:sz w:val="24"/>
          <w:lang w:val="hr-HR"/>
        </w:rPr>
        <w:t>SL C, C/2026/1708, 24.4.2026., ELI: </w:t>
      </w:r>
      <w:hyperlink r:id="rId5" w:tgtFrame="_blank" w:tooltip="ELI URI za pristup dokumentu." w:history="1">
        <w:r w:rsidRPr="00D17463">
          <w:rPr>
            <w:rStyle w:val="Hyperlink"/>
            <w:sz w:val="24"/>
            <w:lang w:val="hr-HR"/>
          </w:rPr>
          <w:t>http://data.europa.eu/eli/C/</w:t>
        </w:r>
        <w:r w:rsidRPr="00D17463">
          <w:rPr>
            <w:rStyle w:val="Hyperlink"/>
            <w:sz w:val="24"/>
            <w:lang w:val="hr-HR"/>
          </w:rPr>
          <w:t>2</w:t>
        </w:r>
        <w:r w:rsidRPr="00D17463">
          <w:rPr>
            <w:rStyle w:val="Hyperlink"/>
            <w:sz w:val="24"/>
            <w:lang w:val="hr-HR"/>
          </w:rPr>
          <w:t>026/1708/oj</w:t>
        </w:r>
      </w:hyperlink>
      <w:r w:rsidRPr="00D17463">
        <w:rPr>
          <w:sz w:val="24"/>
          <w:lang w:val="hr-HR"/>
        </w:rPr>
        <w:t>.</w:t>
      </w:r>
    </w:p>
  </w:footnote>
  <w:footnote w:id="7">
    <w:p w14:paraId="25074638" w14:textId="2CED6CAC" w:rsidR="00606CC3" w:rsidRPr="00D17463" w:rsidRDefault="00606CC3" w:rsidP="00D17463">
      <w:pPr>
        <w:pStyle w:val="FootnoteText"/>
        <w:ind w:left="567" w:hanging="567"/>
        <w:rPr>
          <w:sz w:val="24"/>
          <w:lang w:val="hr-HR"/>
        </w:rPr>
      </w:pPr>
      <w:r w:rsidRPr="00D17463">
        <w:rPr>
          <w:rStyle w:val="FootnoteReference"/>
          <w:sz w:val="24"/>
          <w:lang w:val="hr-HR"/>
        </w:rPr>
        <w:footnoteRef/>
      </w:r>
      <w:r w:rsidR="00D17463" w:rsidRPr="00D17463">
        <w:rPr>
          <w:sz w:val="24"/>
          <w:lang w:val="hr-HR"/>
        </w:rPr>
        <w:t xml:space="preserve"> </w:t>
      </w:r>
      <w:r w:rsidR="00D17463" w:rsidRPr="00D17463">
        <w:rPr>
          <w:sz w:val="24"/>
          <w:lang w:val="hr-HR"/>
        </w:rPr>
        <w:tab/>
      </w:r>
      <w:r w:rsidRPr="00D17463">
        <w:rPr>
          <w:sz w:val="24"/>
          <w:lang w:val="hr-HR"/>
        </w:rPr>
        <w:t>SL C 456, 18.12.2018., str. 1.</w:t>
      </w:r>
    </w:p>
  </w:footnote>
  <w:footnote w:id="8">
    <w:p w14:paraId="231DA2BE" w14:textId="54160FB5" w:rsidR="00606CC3" w:rsidRPr="00D17463" w:rsidRDefault="00606CC3" w:rsidP="00D17463">
      <w:pPr>
        <w:pStyle w:val="FootnoteText"/>
        <w:ind w:left="567" w:hanging="567"/>
        <w:rPr>
          <w:sz w:val="24"/>
          <w:lang w:val="hr-HR"/>
        </w:rPr>
      </w:pPr>
      <w:r w:rsidRPr="00D17463">
        <w:rPr>
          <w:rStyle w:val="FootnoteReference"/>
          <w:sz w:val="24"/>
          <w:lang w:val="hr-HR"/>
        </w:rPr>
        <w:footnoteRef/>
      </w:r>
      <w:r w:rsidR="00D17463" w:rsidRPr="00D17463">
        <w:rPr>
          <w:sz w:val="24"/>
          <w:lang w:val="hr-HR"/>
        </w:rPr>
        <w:t xml:space="preserve"> </w:t>
      </w:r>
      <w:r w:rsidR="00D17463" w:rsidRPr="00D17463">
        <w:rPr>
          <w:sz w:val="24"/>
          <w:lang w:val="hr-HR"/>
        </w:rPr>
        <w:tab/>
      </w:r>
      <w:r w:rsidRPr="00D17463">
        <w:rPr>
          <w:sz w:val="24"/>
          <w:lang w:val="hr-HR"/>
        </w:rPr>
        <w:t>SL C, C/2025/5519, 10.10.2025., ELI: </w:t>
      </w:r>
      <w:hyperlink r:id="rId6" w:tgtFrame="_blank" w:tooltip="ELI URI za pristup dokumentu." w:history="1">
        <w:r w:rsidRPr="00D17463">
          <w:rPr>
            <w:rStyle w:val="Hyperlink"/>
            <w:sz w:val="24"/>
            <w:lang w:val="hr-HR"/>
          </w:rPr>
          <w:t>http://data.euro</w:t>
        </w:r>
        <w:r w:rsidRPr="00D17463">
          <w:rPr>
            <w:rStyle w:val="Hyperlink"/>
            <w:sz w:val="24"/>
            <w:lang w:val="hr-HR"/>
          </w:rPr>
          <w:t>p</w:t>
        </w:r>
        <w:r w:rsidRPr="00D17463">
          <w:rPr>
            <w:rStyle w:val="Hyperlink"/>
            <w:sz w:val="24"/>
            <w:lang w:val="hr-HR"/>
          </w:rPr>
          <w:t>a.eu/eli/C/2025/5519/oj</w:t>
        </w:r>
      </w:hyperlink>
      <w:r w:rsidRPr="00D17463">
        <w:rPr>
          <w:sz w:val="24"/>
          <w:lang w:val="hr-HR"/>
        </w:rPr>
        <w:t>.</w:t>
      </w:r>
    </w:p>
  </w:footnote>
  <w:footnote w:id="9">
    <w:p w14:paraId="42F9290B" w14:textId="67C74C18" w:rsidR="00606CC3" w:rsidRPr="00D17463" w:rsidRDefault="00606CC3" w:rsidP="00D17463">
      <w:pPr>
        <w:pStyle w:val="FootnoteText"/>
        <w:ind w:left="567" w:hanging="567"/>
        <w:rPr>
          <w:sz w:val="24"/>
          <w:lang w:val="hr-HR"/>
        </w:rPr>
      </w:pPr>
      <w:r w:rsidRPr="00D17463">
        <w:rPr>
          <w:rStyle w:val="FootnoteReference"/>
          <w:sz w:val="24"/>
          <w:lang w:val="hr-HR"/>
        </w:rPr>
        <w:footnoteRef/>
      </w:r>
      <w:r w:rsidR="00D17463" w:rsidRPr="00D17463">
        <w:rPr>
          <w:sz w:val="24"/>
          <w:lang w:val="hr-HR"/>
        </w:rPr>
        <w:t xml:space="preserve"> </w:t>
      </w:r>
      <w:r w:rsidR="00D17463" w:rsidRPr="00D17463">
        <w:rPr>
          <w:sz w:val="24"/>
          <w:lang w:val="hr-HR"/>
        </w:rPr>
        <w:tab/>
      </w:r>
      <w:r w:rsidRPr="00D17463">
        <w:rPr>
          <w:sz w:val="24"/>
          <w:lang w:val="hr-HR"/>
        </w:rPr>
        <w:t>Maza, M.T. i dr., „</w:t>
      </w:r>
      <w:proofErr w:type="spellStart"/>
      <w:r w:rsidRPr="00D17463">
        <w:rPr>
          <w:sz w:val="24"/>
          <w:lang w:val="hr-HR"/>
        </w:rPr>
        <w:t>Association</w:t>
      </w:r>
      <w:proofErr w:type="spellEnd"/>
      <w:r w:rsidRPr="00D17463">
        <w:rPr>
          <w:sz w:val="24"/>
          <w:lang w:val="hr-HR"/>
        </w:rPr>
        <w:t xml:space="preserve"> </w:t>
      </w:r>
      <w:proofErr w:type="spellStart"/>
      <w:r w:rsidRPr="00D17463">
        <w:rPr>
          <w:sz w:val="24"/>
          <w:lang w:val="hr-HR"/>
        </w:rPr>
        <w:t>of</w:t>
      </w:r>
      <w:proofErr w:type="spellEnd"/>
      <w:r w:rsidRPr="00D17463">
        <w:rPr>
          <w:sz w:val="24"/>
          <w:lang w:val="hr-HR"/>
        </w:rPr>
        <w:t xml:space="preserve"> </w:t>
      </w:r>
      <w:proofErr w:type="spellStart"/>
      <w:r w:rsidRPr="00D17463">
        <w:rPr>
          <w:sz w:val="24"/>
          <w:lang w:val="hr-HR"/>
        </w:rPr>
        <w:t>Habitual</w:t>
      </w:r>
      <w:proofErr w:type="spellEnd"/>
      <w:r w:rsidRPr="00D17463">
        <w:rPr>
          <w:sz w:val="24"/>
          <w:lang w:val="hr-HR"/>
        </w:rPr>
        <w:t xml:space="preserve"> </w:t>
      </w:r>
      <w:proofErr w:type="spellStart"/>
      <w:r w:rsidRPr="00D17463">
        <w:rPr>
          <w:sz w:val="24"/>
          <w:lang w:val="hr-HR"/>
        </w:rPr>
        <w:t>Checking</w:t>
      </w:r>
      <w:proofErr w:type="spellEnd"/>
      <w:r w:rsidRPr="00D17463">
        <w:rPr>
          <w:sz w:val="24"/>
          <w:lang w:val="hr-HR"/>
        </w:rPr>
        <w:t xml:space="preserve"> </w:t>
      </w:r>
      <w:proofErr w:type="spellStart"/>
      <w:r w:rsidRPr="00D17463">
        <w:rPr>
          <w:sz w:val="24"/>
          <w:lang w:val="hr-HR"/>
        </w:rPr>
        <w:t>Behaviors</w:t>
      </w:r>
      <w:proofErr w:type="spellEnd"/>
      <w:r w:rsidRPr="00D17463">
        <w:rPr>
          <w:sz w:val="24"/>
          <w:lang w:val="hr-HR"/>
        </w:rPr>
        <w:t xml:space="preserve"> on </w:t>
      </w:r>
      <w:proofErr w:type="spellStart"/>
      <w:r w:rsidRPr="00D17463">
        <w:rPr>
          <w:sz w:val="24"/>
          <w:lang w:val="hr-HR"/>
        </w:rPr>
        <w:t>Social</w:t>
      </w:r>
      <w:proofErr w:type="spellEnd"/>
      <w:r w:rsidRPr="00D17463">
        <w:rPr>
          <w:sz w:val="24"/>
          <w:lang w:val="hr-HR"/>
        </w:rPr>
        <w:t xml:space="preserve"> Media </w:t>
      </w:r>
      <w:proofErr w:type="spellStart"/>
      <w:r w:rsidRPr="00D17463">
        <w:rPr>
          <w:sz w:val="24"/>
          <w:lang w:val="hr-HR"/>
        </w:rPr>
        <w:t>with</w:t>
      </w:r>
      <w:proofErr w:type="spellEnd"/>
      <w:r w:rsidRPr="00D17463">
        <w:rPr>
          <w:sz w:val="24"/>
          <w:lang w:val="hr-HR"/>
        </w:rPr>
        <w:t xml:space="preserve"> </w:t>
      </w:r>
      <w:proofErr w:type="spellStart"/>
      <w:r w:rsidRPr="00D17463">
        <w:rPr>
          <w:sz w:val="24"/>
          <w:lang w:val="hr-HR"/>
        </w:rPr>
        <w:t>Longitudinal</w:t>
      </w:r>
      <w:proofErr w:type="spellEnd"/>
      <w:r w:rsidRPr="00D17463">
        <w:rPr>
          <w:sz w:val="24"/>
          <w:lang w:val="hr-HR"/>
        </w:rPr>
        <w:t xml:space="preserve"> </w:t>
      </w:r>
      <w:proofErr w:type="spellStart"/>
      <w:r w:rsidRPr="00D17463">
        <w:rPr>
          <w:sz w:val="24"/>
          <w:lang w:val="hr-HR"/>
        </w:rPr>
        <w:t>Functional</w:t>
      </w:r>
      <w:proofErr w:type="spellEnd"/>
      <w:r w:rsidRPr="00D17463">
        <w:rPr>
          <w:sz w:val="24"/>
          <w:lang w:val="hr-HR"/>
        </w:rPr>
        <w:t xml:space="preserve"> </w:t>
      </w:r>
      <w:proofErr w:type="spellStart"/>
      <w:r w:rsidRPr="00D17463">
        <w:rPr>
          <w:sz w:val="24"/>
          <w:lang w:val="hr-HR"/>
        </w:rPr>
        <w:t>Brain</w:t>
      </w:r>
      <w:proofErr w:type="spellEnd"/>
      <w:r w:rsidRPr="00D17463">
        <w:rPr>
          <w:sz w:val="24"/>
          <w:lang w:val="hr-HR"/>
        </w:rPr>
        <w:t xml:space="preserve"> Development”, </w:t>
      </w:r>
      <w:r w:rsidRPr="00D17463">
        <w:rPr>
          <w:i/>
          <w:iCs/>
          <w:sz w:val="24"/>
          <w:lang w:val="hr-HR"/>
        </w:rPr>
        <w:t xml:space="preserve">JAMA </w:t>
      </w:r>
      <w:proofErr w:type="spellStart"/>
      <w:r w:rsidRPr="00D17463">
        <w:rPr>
          <w:i/>
          <w:iCs/>
          <w:sz w:val="24"/>
          <w:lang w:val="hr-HR"/>
        </w:rPr>
        <w:t>Pediatrics</w:t>
      </w:r>
      <w:proofErr w:type="spellEnd"/>
      <w:r w:rsidRPr="00D17463">
        <w:rPr>
          <w:sz w:val="24"/>
          <w:lang w:val="hr-HR"/>
        </w:rPr>
        <w:t xml:space="preserve">, sv. 177., br. 2., 2023., str. 160. – 167.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59F4C" w14:textId="77777777" w:rsidR="00064002" w:rsidRPr="00D1746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EEA37" w14:textId="77777777" w:rsidR="00064002" w:rsidRPr="00D1746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C96EB" w14:textId="77777777" w:rsidR="00064002" w:rsidRPr="00D1746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618605223">
    <w:abstractNumId w:val="9"/>
  </w:num>
  <w:num w:numId="2" w16cid:durableId="248394025">
    <w:abstractNumId w:val="9"/>
  </w:num>
  <w:num w:numId="3" w16cid:durableId="105659068">
    <w:abstractNumId w:val="7"/>
  </w:num>
  <w:num w:numId="4" w16cid:durableId="1960600517">
    <w:abstractNumId w:val="7"/>
  </w:num>
  <w:num w:numId="5" w16cid:durableId="1058286179">
    <w:abstractNumId w:val="6"/>
  </w:num>
  <w:num w:numId="6" w16cid:durableId="1275093702">
    <w:abstractNumId w:val="6"/>
  </w:num>
  <w:num w:numId="7" w16cid:durableId="92478118">
    <w:abstractNumId w:val="5"/>
  </w:num>
  <w:num w:numId="8" w16cid:durableId="1793285600">
    <w:abstractNumId w:val="5"/>
  </w:num>
  <w:num w:numId="9" w16cid:durableId="1028408656">
    <w:abstractNumId w:val="4"/>
  </w:num>
  <w:num w:numId="10" w16cid:durableId="2137023859">
    <w:abstractNumId w:val="4"/>
  </w:num>
  <w:num w:numId="11" w16cid:durableId="1227840709">
    <w:abstractNumId w:val="8"/>
  </w:num>
  <w:num w:numId="12" w16cid:durableId="1064835644">
    <w:abstractNumId w:val="8"/>
  </w:num>
  <w:num w:numId="13" w16cid:durableId="949628650">
    <w:abstractNumId w:val="3"/>
  </w:num>
  <w:num w:numId="14" w16cid:durableId="1048066708">
    <w:abstractNumId w:val="3"/>
  </w:num>
  <w:num w:numId="15" w16cid:durableId="1271619951">
    <w:abstractNumId w:val="2"/>
  </w:num>
  <w:num w:numId="16" w16cid:durableId="2089114128">
    <w:abstractNumId w:val="2"/>
  </w:num>
  <w:num w:numId="17" w16cid:durableId="2106535673">
    <w:abstractNumId w:val="1"/>
  </w:num>
  <w:num w:numId="18" w16cid:durableId="727608975">
    <w:abstractNumId w:val="1"/>
  </w:num>
  <w:num w:numId="19" w16cid:durableId="920220137">
    <w:abstractNumId w:val="0"/>
  </w:num>
  <w:num w:numId="20" w16cid:durableId="530459382">
    <w:abstractNumId w:val="0"/>
  </w:num>
  <w:num w:numId="21" w16cid:durableId="1131938649">
    <w:abstractNumId w:val="9"/>
  </w:num>
  <w:num w:numId="22" w16cid:durableId="1532263628">
    <w:abstractNumId w:val="7"/>
  </w:num>
  <w:num w:numId="23" w16cid:durableId="1298681083">
    <w:abstractNumId w:val="6"/>
  </w:num>
  <w:num w:numId="24" w16cid:durableId="734012099">
    <w:abstractNumId w:val="5"/>
  </w:num>
  <w:num w:numId="25" w16cid:durableId="2000226293">
    <w:abstractNumId w:val="4"/>
  </w:num>
  <w:num w:numId="26" w16cid:durableId="1279069370">
    <w:abstractNumId w:val="8"/>
  </w:num>
  <w:num w:numId="27" w16cid:durableId="1666592184">
    <w:abstractNumId w:val="3"/>
  </w:num>
  <w:num w:numId="28" w16cid:durableId="29885740">
    <w:abstractNumId w:val="2"/>
  </w:num>
  <w:num w:numId="29" w16cid:durableId="2077049092">
    <w:abstractNumId w:val="1"/>
  </w:num>
  <w:num w:numId="30" w16cid:durableId="799037445">
    <w:abstractNumId w:val="0"/>
  </w:num>
  <w:num w:numId="31" w16cid:durableId="589892841">
    <w:abstractNumId w:val="9"/>
  </w:num>
  <w:num w:numId="32" w16cid:durableId="1816484456">
    <w:abstractNumId w:val="7"/>
  </w:num>
  <w:num w:numId="33" w16cid:durableId="195239763">
    <w:abstractNumId w:val="6"/>
  </w:num>
  <w:num w:numId="34" w16cid:durableId="1324090982">
    <w:abstractNumId w:val="5"/>
  </w:num>
  <w:num w:numId="35" w16cid:durableId="1987471110">
    <w:abstractNumId w:val="4"/>
  </w:num>
  <w:num w:numId="36" w16cid:durableId="1280140415">
    <w:abstractNumId w:val="8"/>
  </w:num>
  <w:num w:numId="37" w16cid:durableId="981665040">
    <w:abstractNumId w:val="3"/>
  </w:num>
  <w:num w:numId="38" w16cid:durableId="690492715">
    <w:abstractNumId w:val="2"/>
  </w:num>
  <w:num w:numId="39" w16cid:durableId="1578440543">
    <w:abstractNumId w:val="1"/>
  </w:num>
  <w:num w:numId="40" w16cid:durableId="820657122">
    <w:abstractNumId w:val="0"/>
  </w:num>
  <w:num w:numId="41" w16cid:durableId="175118217">
    <w:abstractNumId w:val="10"/>
  </w:num>
  <w:num w:numId="42" w16cid:durableId="1442459765">
    <w:abstractNumId w:val="10"/>
  </w:num>
  <w:num w:numId="43" w16cid:durableId="1738481158">
    <w:abstractNumId w:val="10"/>
  </w:num>
  <w:num w:numId="44" w16cid:durableId="8817492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73/2026"/>
    <w:docVar w:name="dvlangue" w:val="HR"/>
    <w:docVar w:name="dvnumam" w:val="0"/>
    <w:docVar w:name="dvpe" w:val="784.483"/>
    <w:docVar w:name="dvrapporteur" w:val="Izvjestitelj: "/>
    <w:docVar w:name="dvtitre" w:val="Rezolucija Europskog parlamenta od .... 2026. o novoj strategiji za medijsku pismenost i digitalno učenje(2025/2181(INI))"/>
  </w:docVars>
  <w:rsids>
    <w:rsidRoot w:val="00E41C92"/>
    <w:rsid w:val="00002272"/>
    <w:rsid w:val="00064002"/>
    <w:rsid w:val="000677B9"/>
    <w:rsid w:val="000831BA"/>
    <w:rsid w:val="000A42CC"/>
    <w:rsid w:val="000E7DD9"/>
    <w:rsid w:val="000F7D07"/>
    <w:rsid w:val="0010095E"/>
    <w:rsid w:val="00125B37"/>
    <w:rsid w:val="001762E3"/>
    <w:rsid w:val="001815A8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717B"/>
    <w:rsid w:val="005F1B17"/>
    <w:rsid w:val="006037C0"/>
    <w:rsid w:val="00606CC3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7463"/>
    <w:rsid w:val="00D56C11"/>
    <w:rsid w:val="00D834A0"/>
    <w:rsid w:val="00D872DF"/>
    <w:rsid w:val="00D91E21"/>
    <w:rsid w:val="00DA7FCD"/>
    <w:rsid w:val="00E365E1"/>
    <w:rsid w:val="00E41C92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BFACC"/>
  <w15:chartTrackingRefBased/>
  <w15:docId w15:val="{C2666554-1DF5-4D3A-BC45-C8FB1E96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12a">
    <w:name w:val="Normal12a"/>
    <w:basedOn w:val="Normal"/>
    <w:rsid w:val="00606CC3"/>
    <w:pPr>
      <w:widowControl/>
      <w:spacing w:after="240"/>
    </w:pPr>
    <w:rPr>
      <w:szCs w:val="24"/>
      <w:lang w:eastAsia="en-US"/>
    </w:rPr>
  </w:style>
  <w:style w:type="paragraph" w:customStyle="1" w:styleId="NormalHanging12a">
    <w:name w:val="NormalHanging12a"/>
    <w:basedOn w:val="Normal"/>
    <w:link w:val="NormalHanging12aChar"/>
    <w:rsid w:val="00606CC3"/>
    <w:pPr>
      <w:widowControl/>
      <w:spacing w:after="240"/>
      <w:ind w:left="566" w:hanging="566"/>
    </w:pPr>
    <w:rPr>
      <w:szCs w:val="24"/>
      <w:lang w:eastAsia="en-US"/>
    </w:rPr>
  </w:style>
  <w:style w:type="paragraph" w:customStyle="1" w:styleId="Normal12">
    <w:name w:val="Normal12"/>
    <w:basedOn w:val="Normal"/>
    <w:rsid w:val="00606CC3"/>
    <w:pPr>
      <w:widowControl/>
      <w:spacing w:after="240"/>
    </w:pPr>
    <w:rPr>
      <w:szCs w:val="24"/>
      <w:lang w:eastAsia="en-US"/>
    </w:rPr>
  </w:style>
  <w:style w:type="paragraph" w:customStyle="1" w:styleId="NormalHanging">
    <w:name w:val="NormalHanging"/>
    <w:basedOn w:val="Normal"/>
    <w:rsid w:val="00606CC3"/>
    <w:pPr>
      <w:widowControl/>
      <w:spacing w:after="240"/>
      <w:ind w:left="566" w:hanging="566"/>
    </w:pPr>
    <w:rPr>
      <w:szCs w:val="24"/>
      <w:lang w:eastAsia="en-US"/>
    </w:rPr>
  </w:style>
  <w:style w:type="paragraph" w:customStyle="1" w:styleId="NormalCenter12a">
    <w:name w:val="NormalCenter12a"/>
    <w:basedOn w:val="Normal"/>
    <w:rsid w:val="00606CC3"/>
    <w:pPr>
      <w:widowControl/>
      <w:spacing w:after="240"/>
      <w:jc w:val="center"/>
    </w:pPr>
    <w:rPr>
      <w:szCs w:val="24"/>
      <w:lang w:eastAsia="en-US"/>
    </w:rPr>
  </w:style>
  <w:style w:type="character" w:styleId="Hyperlink">
    <w:name w:val="Hyperlink"/>
    <w:basedOn w:val="DefaultParagraphFont"/>
    <w:rsid w:val="00606CC3"/>
    <w:rPr>
      <w:color w:val="0000FF"/>
      <w:u w:val="single"/>
    </w:rPr>
  </w:style>
  <w:style w:type="character" w:customStyle="1" w:styleId="NormalHanging12aChar">
    <w:name w:val="NormalHanging12a Char"/>
    <w:basedOn w:val="DefaultParagraphFont"/>
    <w:link w:val="NormalHanging12a"/>
    <w:rsid w:val="00606CC3"/>
    <w:rPr>
      <w:sz w:val="24"/>
      <w:szCs w:val="24"/>
      <w:lang w:val="hr-HR" w:eastAsia="en-US"/>
    </w:rPr>
  </w:style>
  <w:style w:type="character" w:styleId="FollowedHyperlink">
    <w:name w:val="FollowedHyperlink"/>
    <w:basedOn w:val="DefaultParagraphFont"/>
    <w:rsid w:val="005E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reg/2022/2065/oj" TargetMode="External"/><Relationship Id="rId2" Type="http://schemas.openxmlformats.org/officeDocument/2006/relationships/hyperlink" Target="http://data.europa.eu/eli/reg/2024/1083/oj" TargetMode="External"/><Relationship Id="rId1" Type="http://schemas.openxmlformats.org/officeDocument/2006/relationships/hyperlink" Target="http://data.europa.eu/eli/dir/2018/1808/oj" TargetMode="External"/><Relationship Id="rId6" Type="http://schemas.openxmlformats.org/officeDocument/2006/relationships/hyperlink" Target="http://data.europa.eu/eli/C/2025/5519/oj" TargetMode="External"/><Relationship Id="rId5" Type="http://schemas.openxmlformats.org/officeDocument/2006/relationships/hyperlink" Target="http://data.europa.eu/eli/C/2026/1708/oj" TargetMode="External"/><Relationship Id="rId4" Type="http://schemas.openxmlformats.org/officeDocument/2006/relationships/hyperlink" Target="http://data.europa.eu/eli/reg/2024/168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4110</Words>
  <Characters>26486</Characters>
  <Application>Microsoft Office Word</Application>
  <DocSecurity>0</DocSecurity>
  <Lines>220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ZOVKO Jadranka</dc:creator>
  <cp:keywords/>
  <cp:lastModifiedBy>ZOVKO Jadranka</cp:lastModifiedBy>
  <cp:revision>2</cp:revision>
  <cp:lastPrinted>2004-11-19T15:42:00Z</cp:lastPrinted>
  <dcterms:created xsi:type="dcterms:W3CDTF">2026-07-07T12:46:00Z</dcterms:created>
  <dcterms:modified xsi:type="dcterms:W3CDTF">2026-07-07T12:46:00Z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A10-0173/2026</vt:lpwstr>
  </property>
  <property fmtid="{D5CDD505-2E9C-101B-9397-08002B2CF9AE}" pid="4" name="&lt;Type&gt;">
    <vt:lpwstr>RR</vt:lpwstr>
  </property>
</Properties>
</file>