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F6A20" w14:paraId="00A8B2A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EF18063" w14:textId="77777777" w:rsidR="00751A4A" w:rsidRPr="003F6A20" w:rsidRDefault="00AB0736" w:rsidP="0010095E">
            <w:pPr>
              <w:pStyle w:val="EPName"/>
            </w:pPr>
            <w:r w:rsidRPr="003F6A20">
              <w:t>Parlament Europejski</w:t>
            </w:r>
          </w:p>
          <w:p w14:paraId="01D71A87" w14:textId="77777777" w:rsidR="00751A4A" w:rsidRPr="003F6A2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F6A20">
              <w:t>2024</w:t>
            </w:r>
            <w:r w:rsidR="00817416" w:rsidRPr="003F6A20">
              <w:t>-202</w:t>
            </w:r>
            <w:r w:rsidRPr="003F6A20">
              <w:t>9</w:t>
            </w:r>
          </w:p>
        </w:tc>
        <w:tc>
          <w:tcPr>
            <w:tcW w:w="2268" w:type="dxa"/>
            <w:shd w:val="clear" w:color="auto" w:fill="auto"/>
          </w:tcPr>
          <w:p w14:paraId="3421683D" w14:textId="77777777" w:rsidR="00751A4A" w:rsidRPr="003F6A20" w:rsidRDefault="00187494" w:rsidP="0010095E">
            <w:pPr>
              <w:pStyle w:val="EPLogo"/>
            </w:pPr>
            <w:r w:rsidRPr="003F6A20">
              <w:rPr>
                <w:noProof/>
                <w:lang w:eastAsia="ja-JP"/>
              </w:rPr>
              <w:drawing>
                <wp:inline distT="0" distB="0" distL="0" distR="0" wp14:anchorId="042C34BF" wp14:editId="2EF0260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DB380A" w14:textId="77777777" w:rsidR="00D058B8" w:rsidRPr="003F6A20" w:rsidRDefault="00D058B8" w:rsidP="004C5D52">
      <w:pPr>
        <w:pStyle w:val="LineTop"/>
      </w:pPr>
    </w:p>
    <w:p w14:paraId="0F01C362" w14:textId="77777777" w:rsidR="00680577" w:rsidRPr="003F6A20" w:rsidRDefault="00AB0736" w:rsidP="00680577">
      <w:pPr>
        <w:pStyle w:val="EPBodyTA1"/>
      </w:pPr>
      <w:r w:rsidRPr="003F6A20">
        <w:t>TEKSTY PRZYJĘTE</w:t>
      </w:r>
    </w:p>
    <w:p w14:paraId="51B14D2F" w14:textId="77777777" w:rsidR="00D058B8" w:rsidRPr="003F6A20" w:rsidRDefault="00D058B8" w:rsidP="00D058B8">
      <w:pPr>
        <w:pStyle w:val="LineBottom"/>
      </w:pPr>
    </w:p>
    <w:p w14:paraId="19EAE1F6" w14:textId="34385CC1" w:rsidR="00AB0736" w:rsidRPr="003F6A20" w:rsidRDefault="00AB0736" w:rsidP="00AB0736">
      <w:pPr>
        <w:pStyle w:val="ATHeading1"/>
      </w:pPr>
      <w:bookmarkStart w:id="0" w:name="TANumber"/>
      <w:r w:rsidRPr="003F6A20">
        <w:t>P10_TA(2026)0</w:t>
      </w:r>
      <w:bookmarkEnd w:id="0"/>
      <w:r w:rsidR="00E44CB0">
        <w:t>249</w:t>
      </w:r>
    </w:p>
    <w:p w14:paraId="62EB64B2" w14:textId="77777777" w:rsidR="00AB0736" w:rsidRPr="003F6A20" w:rsidRDefault="00AB0736" w:rsidP="00AB0736">
      <w:pPr>
        <w:pStyle w:val="ATHeading2"/>
      </w:pPr>
      <w:bookmarkStart w:id="1" w:name="title"/>
      <w:r w:rsidRPr="003F6A20">
        <w:t>Nowa strategia na rzecz umiejętności korzystania z mediów i cyfrowego uczenia się</w:t>
      </w:r>
      <w:bookmarkEnd w:id="1"/>
    </w:p>
    <w:p w14:paraId="7B82E1B1" w14:textId="77777777" w:rsidR="00AB0736" w:rsidRPr="003F6A20" w:rsidRDefault="00AB0736" w:rsidP="00AB0736">
      <w:pPr>
        <w:rPr>
          <w:i/>
          <w:vanish/>
        </w:rPr>
      </w:pPr>
      <w:r w:rsidRPr="003F6A20">
        <w:rPr>
          <w:i/>
        </w:rPr>
        <w:fldChar w:fldCharType="begin"/>
      </w:r>
      <w:r w:rsidRPr="003F6A20">
        <w:rPr>
          <w:i/>
        </w:rPr>
        <w:instrText xml:space="preserve"> TC"(</w:instrText>
      </w:r>
      <w:bookmarkStart w:id="2" w:name="DocNumber"/>
      <w:r w:rsidRPr="003F6A20">
        <w:rPr>
          <w:i/>
        </w:rPr>
        <w:instrText>A10-0173/2026</w:instrText>
      </w:r>
      <w:bookmarkEnd w:id="2"/>
      <w:r w:rsidRPr="003F6A20">
        <w:rPr>
          <w:i/>
        </w:rPr>
        <w:instrText xml:space="preserve"> - Sprawozdawca: Marcos Ros Sempere)"\l3 \n&gt; \* MERGEFORMAT </w:instrText>
      </w:r>
      <w:r w:rsidRPr="003F6A20">
        <w:rPr>
          <w:i/>
        </w:rPr>
        <w:fldChar w:fldCharType="end"/>
      </w:r>
    </w:p>
    <w:p w14:paraId="67194C1E" w14:textId="77777777" w:rsidR="00AB0736" w:rsidRPr="003F6A20" w:rsidRDefault="00AB0736" w:rsidP="00AB0736">
      <w:pPr>
        <w:rPr>
          <w:vanish/>
        </w:rPr>
      </w:pPr>
      <w:bookmarkStart w:id="3" w:name="Commission"/>
      <w:r w:rsidRPr="003F6A20">
        <w:rPr>
          <w:vanish/>
        </w:rPr>
        <w:t>Komisja Kultury i Edukacji</w:t>
      </w:r>
      <w:bookmarkEnd w:id="3"/>
    </w:p>
    <w:p w14:paraId="508A0ED0" w14:textId="77777777" w:rsidR="00AB0736" w:rsidRPr="003F6A20" w:rsidRDefault="00AB0736" w:rsidP="00AB0736">
      <w:pPr>
        <w:rPr>
          <w:vanish/>
        </w:rPr>
      </w:pPr>
      <w:bookmarkStart w:id="4" w:name="PE"/>
      <w:r w:rsidRPr="003F6A20">
        <w:rPr>
          <w:vanish/>
        </w:rPr>
        <w:t>PE784.483</w:t>
      </w:r>
      <w:bookmarkEnd w:id="4"/>
    </w:p>
    <w:p w14:paraId="5B671B53" w14:textId="0A0531BE" w:rsidR="00AB0736" w:rsidRPr="003F6A20" w:rsidRDefault="00AB0736" w:rsidP="00AB0736">
      <w:pPr>
        <w:pStyle w:val="ATHeading3"/>
      </w:pPr>
      <w:bookmarkStart w:id="5" w:name="Sujet"/>
      <w:r w:rsidRPr="003F6A20">
        <w:t xml:space="preserve">Rezolucja Parlamentu Europejskiego z dnia </w:t>
      </w:r>
      <w:r w:rsidR="00E44CB0">
        <w:t>7 lipca</w:t>
      </w:r>
      <w:r w:rsidRPr="003F6A20">
        <w:t xml:space="preserve"> 2026 r. w sprawie nowej strategii na rzecz umiejętności korzystania z mediów i cyfrowego uczenia się</w:t>
      </w:r>
      <w:bookmarkEnd w:id="5"/>
      <w:r w:rsidRPr="003F6A20">
        <w:t xml:space="preserve"> </w:t>
      </w:r>
      <w:bookmarkStart w:id="6" w:name="References"/>
      <w:r w:rsidRPr="003F6A20">
        <w:t>(2025/2181(INI))</w:t>
      </w:r>
      <w:bookmarkEnd w:id="6"/>
    </w:p>
    <w:p w14:paraId="691B506D" w14:textId="77777777" w:rsidR="00615C00" w:rsidRPr="003F6A20" w:rsidRDefault="00615C00" w:rsidP="00615C00">
      <w:pPr>
        <w:pStyle w:val="Normal12"/>
      </w:pPr>
      <w:r w:rsidRPr="003F6A20">
        <w:rPr>
          <w:i/>
        </w:rPr>
        <w:t>Parlament Europejski</w:t>
      </w:r>
      <w:r w:rsidRPr="003F6A20">
        <w:t>,</w:t>
      </w:r>
    </w:p>
    <w:p w14:paraId="57E965B9" w14:textId="77777777" w:rsidR="00615C00" w:rsidRPr="003F6A20" w:rsidRDefault="00615C00" w:rsidP="00615C00">
      <w:pPr>
        <w:pStyle w:val="NormalHanging"/>
      </w:pPr>
      <w:r w:rsidRPr="003F6A20">
        <w:t>–</w:t>
      </w:r>
      <w:r w:rsidRPr="003F6A20">
        <w:tab/>
        <w:t>uwzględniając dyrektywę Parlamentu Europejskiego i Rady (UE) 2018/1808 z 14 listopada 2018 r. zmieniającą dyrektywę 2010/13/UE w sprawie koordynacji niektórych przepisów ustawowych, wykonawczych i administracyjnych państw członkowskich dotyczących świadczenia audiowizualnych usług medialnych (dyrektywa o audiowizualnych usługach medialnych) ze względu na zmianę realiów rynkowych</w:t>
      </w:r>
      <w:r w:rsidRPr="003F6A20">
        <w:rPr>
          <w:rStyle w:val="FootnoteReference"/>
        </w:rPr>
        <w:footnoteReference w:customMarkFollows="1" w:id="1"/>
        <w:t>1</w:t>
      </w:r>
      <w:r w:rsidRPr="003F6A20">
        <w:t>,</w:t>
      </w:r>
    </w:p>
    <w:p w14:paraId="2FF05B46" w14:textId="77777777" w:rsidR="00615C00" w:rsidRPr="003F6A20" w:rsidRDefault="00615C00" w:rsidP="00615C00">
      <w:pPr>
        <w:pStyle w:val="NormalHanging12a"/>
      </w:pPr>
      <w:r w:rsidRPr="003F6A20">
        <w:t>–</w:t>
      </w:r>
      <w:r w:rsidRPr="003F6A20">
        <w:tab/>
        <w:t>uwzględniając rozporządzenie Parlamentu Europejskiego i Rady (UE) 2024/1083 z 11 kwietnia 2024 r. w sprawie ustanowienia wspólnych ram dla usług medialnych na rynku wewnętrznym i zmiany dyrektywy 2010/13/UE (europejski akt o wolności mediów)</w:t>
      </w:r>
      <w:r w:rsidRPr="003F6A20">
        <w:rPr>
          <w:rStyle w:val="FootnoteReference"/>
        </w:rPr>
        <w:footnoteReference w:id="2"/>
      </w:r>
      <w:r w:rsidRPr="003F6A20">
        <w:t>,</w:t>
      </w:r>
    </w:p>
    <w:p w14:paraId="32EA69F1" w14:textId="77777777" w:rsidR="00615C00" w:rsidRPr="003F6A20" w:rsidRDefault="00615C00" w:rsidP="00615C00">
      <w:pPr>
        <w:pStyle w:val="NormalHanging12a"/>
      </w:pPr>
      <w:r w:rsidRPr="003F6A20">
        <w:t>–</w:t>
      </w:r>
      <w:r w:rsidRPr="003F6A20">
        <w:tab/>
        <w:t>uwzględniając rozporządzenie Parlamentu Europejskiego i Rady (UE) 2022/2065 z 19 października 2022 r. w sprawie jednolitego rynku usług cyfrowych oraz zmiany dyrektywy 2000/31/WE (akt o usługach cyfrowych)</w:t>
      </w:r>
      <w:r w:rsidRPr="003F6A20">
        <w:rPr>
          <w:vertAlign w:val="superscript"/>
        </w:rPr>
        <w:footnoteReference w:id="3"/>
      </w:r>
      <w:r w:rsidRPr="003F6A20">
        <w:t>,</w:t>
      </w:r>
    </w:p>
    <w:p w14:paraId="65EF1066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rPr>
          <w:i/>
        </w:rPr>
        <w:tab/>
      </w:r>
      <w:r w:rsidRPr="003F6A20">
        <w:t>uwzględniając rozporządzenie Parlamentu Europejskiego i Rady (UE) 2024/1689 z 13 czerwca 2024 r. w sprawie ustanowienia zharmonizowanych przepisów dotyczących sztucznej inteligencji oraz zmiany rozporządzeń (WE) nr 300/2008, (UE) nr 167/2013, (UE) nr 168/2013, (UE) 2018/858, (UE) 2018/1139 i (UE) 2019/2144 oraz dyrektyw 2014/90/UE, (UE) 2016/797 i (UE) 2020/1828 (akt w sprawie sztucznej inteligencji)</w:t>
      </w:r>
      <w:r w:rsidRPr="003F6A20">
        <w:rPr>
          <w:rStyle w:val="FootnoteReference"/>
          <w:bCs/>
          <w:iCs/>
        </w:rPr>
        <w:footnoteReference w:id="4"/>
      </w:r>
      <w:r w:rsidRPr="003F6A20">
        <w:t>,</w:t>
      </w:r>
    </w:p>
    <w:p w14:paraId="1F550EB2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>uwzględniając swoją rezolucję z 25 marca 2021 r. w sprawie kształtowania polityki edukacji cyfrowej</w:t>
      </w:r>
      <w:r w:rsidRPr="003F6A20">
        <w:rPr>
          <w:rStyle w:val="FootnoteReference"/>
          <w:bCs/>
          <w:iCs/>
        </w:rPr>
        <w:footnoteReference w:id="5"/>
      </w:r>
      <w:r w:rsidRPr="003F6A20">
        <w:t>,</w:t>
      </w:r>
    </w:p>
    <w:p w14:paraId="1D217CE3" w14:textId="77777777" w:rsidR="00615C00" w:rsidRPr="003F6A20" w:rsidRDefault="00615C00" w:rsidP="00615C00">
      <w:pPr>
        <w:pStyle w:val="NormalHanging"/>
      </w:pPr>
      <w:r w:rsidRPr="003F6A20">
        <w:t>–</w:t>
      </w:r>
      <w:r w:rsidRPr="003F6A20">
        <w:tab/>
        <w:t xml:space="preserve">uwzględniając komunikat Komisji z 11 maja 2022 r. pt. „Cyfrowa dekada dla dzieci i młodzieży: nowa europejska strategia na rzecz lepszego </w:t>
      </w:r>
      <w:proofErr w:type="spellStart"/>
      <w:r w:rsidRPr="003F6A20">
        <w:t>internetu</w:t>
      </w:r>
      <w:proofErr w:type="spellEnd"/>
      <w:r w:rsidRPr="003F6A20">
        <w:t xml:space="preserve"> dla dzieci (BIK+)” (COM(2022)0212),</w:t>
      </w:r>
    </w:p>
    <w:p w14:paraId="28C0C91D" w14:textId="77777777" w:rsidR="00615C00" w:rsidRPr="003F6A20" w:rsidRDefault="00615C00" w:rsidP="00615C00">
      <w:pPr>
        <w:pStyle w:val="NormalHanging12a"/>
      </w:pPr>
      <w:r w:rsidRPr="003F6A20">
        <w:lastRenderedPageBreak/>
        <w:t>–</w:t>
      </w:r>
      <w:r w:rsidRPr="003F6A20">
        <w:tab/>
        <w:t>uwzględniając wspólny komunikat Komisji oraz Wysokiej Przedstawiciel Unii do Spraw Zagranicznych i Polityki Bezpieczeństwa z 12 listopada 2025 r. pt. „Europejska tarcza demokracji: wspieranie silnych i odpornych demokracji” (JOIN(2025)0791),</w:t>
      </w:r>
    </w:p>
    <w:p w14:paraId="06F01D4E" w14:textId="77777777" w:rsidR="00615C00" w:rsidRPr="003F6A20" w:rsidRDefault="00615C00" w:rsidP="00615C00">
      <w:pPr>
        <w:pStyle w:val="NormalHanging"/>
      </w:pPr>
      <w:r w:rsidRPr="003F6A20">
        <w:t>–</w:t>
      </w:r>
      <w:r w:rsidRPr="003F6A20">
        <w:tab/>
        <w:t>uwzględniając komunikat Komisji z 5 marca 2025 r. w sprawie Planu działania w zakresie umiejętności podstawowych (COM(2025)0088),</w:t>
      </w:r>
    </w:p>
    <w:p w14:paraId="44A0DC8D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>uwzględniając komunikat Komisji z 3 grudnia 2020 r. pt. „Europejskie media w cyfrowej dekadzie: Plan działania na rzecz wsparcia odbudowy i transformacji” (COM(2020)0784),</w:t>
      </w:r>
    </w:p>
    <w:p w14:paraId="6A39F54C" w14:textId="77777777" w:rsidR="00615C00" w:rsidRPr="003F6A20" w:rsidRDefault="00615C00" w:rsidP="00615C00">
      <w:pPr>
        <w:pStyle w:val="NormalHanging"/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 xml:space="preserve">uwzględniając komunikat Komisji z 10 lutego 2026 r. pt. „Plan działania przeciwko </w:t>
      </w:r>
      <w:proofErr w:type="spellStart"/>
      <w:r w:rsidRPr="003F6A20">
        <w:t>cyberszykanowaniu</w:t>
      </w:r>
      <w:proofErr w:type="spellEnd"/>
      <w:r w:rsidRPr="003F6A20">
        <w:t xml:space="preserve"> – Bezpieczniejsi w </w:t>
      </w:r>
      <w:proofErr w:type="spellStart"/>
      <w:r w:rsidRPr="003F6A20">
        <w:t>internecie</w:t>
      </w:r>
      <w:proofErr w:type="spellEnd"/>
      <w:r w:rsidRPr="003F6A20">
        <w:t>, razem silniejsi” (COM(2026)0071),</w:t>
      </w:r>
    </w:p>
    <w:p w14:paraId="4C8449E9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>uwzględniając komunikat Komisji z 5 marca 2026 r. pt. „Strategia na rzecz sprawiedliwości międzypokoleniowej” (COM(2026)0110),</w:t>
      </w:r>
    </w:p>
    <w:p w14:paraId="0A145FAA" w14:textId="77777777" w:rsidR="00615C00" w:rsidRPr="003F6A20" w:rsidRDefault="00615C00" w:rsidP="00615C00">
      <w:pPr>
        <w:pStyle w:val="NormalHanging"/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 xml:space="preserve">uwzględniając swoją rezolucję z 26 listopada 2025 r. w sprawie ochrony małoletnich w </w:t>
      </w:r>
      <w:proofErr w:type="spellStart"/>
      <w:r w:rsidRPr="003F6A20">
        <w:t>internecie</w:t>
      </w:r>
      <w:proofErr w:type="spellEnd"/>
      <w:r w:rsidRPr="003F6A20">
        <w:rPr>
          <w:rStyle w:val="FootnoteReference"/>
        </w:rPr>
        <w:footnoteReference w:id="6"/>
      </w:r>
      <w:r w:rsidRPr="003F6A20">
        <w:t>,</w:t>
      </w:r>
    </w:p>
    <w:p w14:paraId="4AA6C570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rPr>
          <w:b/>
          <w:i/>
        </w:rPr>
        <w:t>–</w:t>
      </w:r>
      <w:r w:rsidRPr="003F6A20">
        <w:tab/>
        <w:t>uwzględniając Pakt ONZ na rzecz przyszłości z 22 września 2024 r.,</w:t>
      </w:r>
    </w:p>
    <w:p w14:paraId="7AF13ADE" w14:textId="77777777" w:rsidR="00615C00" w:rsidRPr="003F6A20" w:rsidRDefault="00615C00" w:rsidP="00615C00">
      <w:pPr>
        <w:pStyle w:val="NormalHanging"/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>uwzględniając rezolucję Rady Unii Europejskiej i przedstawicieli rządów państw członkowskich zebranych w Radzie w sprawie ram europejskiej współpracy na rzecz młodzieży pt. „Strategia Unii Europejskiej na rzecz młodzieży na lata 2019–2027”</w:t>
      </w:r>
      <w:r w:rsidRPr="003F6A20">
        <w:rPr>
          <w:rStyle w:val="FootnoteReference"/>
        </w:rPr>
        <w:footnoteReference w:id="7"/>
      </w:r>
      <w:r w:rsidRPr="003F6A20">
        <w:t>,</w:t>
      </w:r>
    </w:p>
    <w:p w14:paraId="136C470B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>uwzględniając publikację Komisji pt. „Wytyczne dla edukatorów dotyczące etycznego wykorzystania sztucznej inteligencji i danych w nauczaniu i uczeniu się”, opublikowane w 2026 r.,</w:t>
      </w:r>
    </w:p>
    <w:p w14:paraId="3BEE3628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tab/>
        <w:t>uwzględniając publikację Komisji pt. „Wytyczne dotyczące nauczania informatyki: praktyczne strategie dla europejskich klas”, opublikowane w 2026 r.,</w:t>
      </w:r>
    </w:p>
    <w:p w14:paraId="3CA0691C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>uwzględniając publikację Komisji pt. „Dobrostan i zdrowie psychiczne w szkole – Wytyczne dla decydentów w dziedzinie edukacji”, opublikowaną w 2024 r.,</w:t>
      </w:r>
    </w:p>
    <w:p w14:paraId="70ED2312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>uwzględniając publikację Wspólnego Centrum Badawczego na temat korzystania z mediów społecznościowych i zdrowia psychicznego nastolatków w UE, opublikowaną w 2025 r.,</w:t>
      </w:r>
    </w:p>
    <w:p w14:paraId="546769D1" w14:textId="77777777" w:rsidR="00615C00" w:rsidRPr="003F6A20" w:rsidRDefault="00615C00" w:rsidP="00615C00">
      <w:pPr>
        <w:pStyle w:val="NormalHanging"/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 xml:space="preserve">uwzględniając sprawozdania UNESCO, w szczególności sprawozdanie pt. „Media and </w:t>
      </w:r>
      <w:proofErr w:type="spellStart"/>
      <w:r w:rsidRPr="003F6A20">
        <w:t>information</w:t>
      </w:r>
      <w:proofErr w:type="spellEnd"/>
      <w:r w:rsidRPr="003F6A20">
        <w:t xml:space="preserve"> </w:t>
      </w:r>
      <w:proofErr w:type="spellStart"/>
      <w:r w:rsidRPr="003F6A20">
        <w:t>literacy</w:t>
      </w:r>
      <w:proofErr w:type="spellEnd"/>
      <w:r w:rsidRPr="003F6A20">
        <w:t xml:space="preserve"> for </w:t>
      </w:r>
      <w:proofErr w:type="spellStart"/>
      <w:r w:rsidRPr="003F6A20">
        <w:t>all</w:t>
      </w:r>
      <w:proofErr w:type="spellEnd"/>
      <w:r w:rsidRPr="003F6A20">
        <w:t xml:space="preserve">: </w:t>
      </w:r>
      <w:proofErr w:type="spellStart"/>
      <w:r w:rsidRPr="003F6A20">
        <w:t>closing</w:t>
      </w:r>
      <w:proofErr w:type="spellEnd"/>
      <w:r w:rsidRPr="003F6A20">
        <w:t xml:space="preserve"> the </w:t>
      </w:r>
      <w:proofErr w:type="spellStart"/>
      <w:r w:rsidRPr="003F6A20">
        <w:t>gaps</w:t>
      </w:r>
      <w:proofErr w:type="spellEnd"/>
      <w:r w:rsidRPr="003F6A20">
        <w:t xml:space="preserve">: </w:t>
      </w:r>
      <w:proofErr w:type="spellStart"/>
      <w:r w:rsidRPr="003F6A20">
        <w:t>global</w:t>
      </w:r>
      <w:proofErr w:type="spellEnd"/>
      <w:r w:rsidRPr="003F6A20">
        <w:t xml:space="preserve"> </w:t>
      </w:r>
      <w:proofErr w:type="spellStart"/>
      <w:r w:rsidRPr="003F6A20">
        <w:t>analysis</w:t>
      </w:r>
      <w:proofErr w:type="spellEnd"/>
      <w:r w:rsidRPr="003F6A20">
        <w:t xml:space="preserve"> of the </w:t>
      </w:r>
      <w:proofErr w:type="spellStart"/>
      <w:r w:rsidRPr="003F6A20">
        <w:t>current</w:t>
      </w:r>
      <w:proofErr w:type="spellEnd"/>
      <w:r w:rsidRPr="003F6A20">
        <w:t xml:space="preserve"> </w:t>
      </w:r>
      <w:proofErr w:type="spellStart"/>
      <w:r w:rsidRPr="003F6A20">
        <w:t>state</w:t>
      </w:r>
      <w:proofErr w:type="spellEnd"/>
      <w:r w:rsidRPr="003F6A20">
        <w:t xml:space="preserve"> of </w:t>
      </w:r>
      <w:proofErr w:type="spellStart"/>
      <w:r w:rsidRPr="003F6A20">
        <w:t>play</w:t>
      </w:r>
      <w:proofErr w:type="spellEnd"/>
      <w:r w:rsidRPr="003F6A20">
        <w:t xml:space="preserve"> of media and </w:t>
      </w:r>
      <w:proofErr w:type="spellStart"/>
      <w:r w:rsidRPr="003F6A20">
        <w:t>information</w:t>
      </w:r>
      <w:proofErr w:type="spellEnd"/>
      <w:r w:rsidRPr="003F6A20">
        <w:t xml:space="preserve"> </w:t>
      </w:r>
      <w:proofErr w:type="spellStart"/>
      <w:r w:rsidRPr="003F6A20">
        <w:t>literacy</w:t>
      </w:r>
      <w:proofErr w:type="spellEnd"/>
      <w:r w:rsidRPr="003F6A20">
        <w:t>” [Umiejętności korzystania z mediów i informacji dla wszystkich – wyeliminowanie luk: globalna analiza aktualnej sytuacji w zakresie umiejętności korzystania z mediów i informacji], opublikowane w 2025 r.,</w:t>
      </w:r>
    </w:p>
    <w:p w14:paraId="1E534F91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lastRenderedPageBreak/>
        <w:t>–</w:t>
      </w:r>
      <w:r w:rsidRPr="003F6A20">
        <w:rPr>
          <w:b/>
          <w:i/>
        </w:rPr>
        <w:tab/>
      </w:r>
      <w:r w:rsidRPr="003F6A20">
        <w:t xml:space="preserve">uwzględniając publikację OECD pt. ‘Pisa 2022 </w:t>
      </w:r>
      <w:proofErr w:type="spellStart"/>
      <w:r w:rsidRPr="003F6A20">
        <w:t>Results</w:t>
      </w:r>
      <w:proofErr w:type="spellEnd"/>
      <w:r w:rsidRPr="003F6A20">
        <w:t xml:space="preserve"> (Volume II): „Learning </w:t>
      </w:r>
      <w:proofErr w:type="spellStart"/>
      <w:r w:rsidRPr="003F6A20">
        <w:t>During</w:t>
      </w:r>
      <w:proofErr w:type="spellEnd"/>
      <w:r w:rsidRPr="003F6A20">
        <w:t xml:space="preserve"> – and From – </w:t>
      </w:r>
      <w:proofErr w:type="spellStart"/>
      <w:r w:rsidRPr="003F6A20">
        <w:t>Disruption</w:t>
      </w:r>
      <w:proofErr w:type="spellEnd"/>
      <w:r w:rsidRPr="003F6A20">
        <w:t>” [Wyniki badania PISA z 2022 r., tom II: Uczenie się podczas zakłócenia i wyciąganie z niego wniosków], opublikowane w 2023 r.,</w:t>
      </w:r>
    </w:p>
    <w:p w14:paraId="7D2042F1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 xml:space="preserve">uwzględniając komunikat Komisji z 10 października 2025 r. pt. „Wytyczne dotyczące środków zapewniających wysoki poziom prywatności, bezpieczeństwa i ochrony małoletnich w </w:t>
      </w:r>
      <w:proofErr w:type="spellStart"/>
      <w:r w:rsidRPr="003F6A20">
        <w:t>internecie</w:t>
      </w:r>
      <w:proofErr w:type="spellEnd"/>
      <w:r w:rsidRPr="003F6A20">
        <w:t xml:space="preserve"> zgodnie z art. 28 ust. 4 rozporządzenia (UE) 2022/2065”</w:t>
      </w:r>
      <w:r w:rsidRPr="003F6A20">
        <w:rPr>
          <w:rStyle w:val="FootnoteReference"/>
          <w:bCs/>
          <w:iCs/>
        </w:rPr>
        <w:footnoteReference w:id="8"/>
      </w:r>
      <w:r w:rsidRPr="003F6A20">
        <w:t>,</w:t>
      </w:r>
    </w:p>
    <w:p w14:paraId="59B50C83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tab/>
        <w:t>uwzględniając Konwencję ONZ o prawach dziecka z 20 listopada 1989 r. i komentarz ogólny nr 25 z 2021 r. do niej w sprawie praw dziecka w otoczeniu cyfrowym,</w:t>
      </w:r>
    </w:p>
    <w:p w14:paraId="11ADEC43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>uwzględniając publikację OECD zatytułowaną „</w:t>
      </w:r>
      <w:proofErr w:type="spellStart"/>
      <w:r w:rsidRPr="003F6A20">
        <w:t>Recommendation</w:t>
      </w:r>
      <w:proofErr w:type="spellEnd"/>
      <w:r w:rsidRPr="003F6A20">
        <w:t xml:space="preserve"> of the </w:t>
      </w:r>
      <w:proofErr w:type="spellStart"/>
      <w:r w:rsidRPr="003F6A20">
        <w:t>Council</w:t>
      </w:r>
      <w:proofErr w:type="spellEnd"/>
      <w:r w:rsidRPr="003F6A20">
        <w:t xml:space="preserve"> on </w:t>
      </w:r>
      <w:proofErr w:type="spellStart"/>
      <w:r w:rsidRPr="003F6A20">
        <w:t>Children</w:t>
      </w:r>
      <w:proofErr w:type="spellEnd"/>
      <w:r w:rsidRPr="003F6A20">
        <w:t xml:space="preserve"> in the Digital Environment” [Zalecenie Rady w sprawie dzieci w środowisku cyfrowym], opublikowaną w 2025 r.,</w:t>
      </w:r>
    </w:p>
    <w:p w14:paraId="584D84AE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>uwzględniając opublikowane w 2018 r. wytyczne Rady Europy dotyczące poszanowania, ochrony i przestrzegania praw dziecka w środowisku cyfrowym,</w:t>
      </w:r>
    </w:p>
    <w:p w14:paraId="30E7E5D9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 xml:space="preserve">uwzględniając sprawozdanie Rady Europy pt. „Media </w:t>
      </w:r>
      <w:proofErr w:type="spellStart"/>
      <w:r w:rsidRPr="003F6A20">
        <w:t>Literacy</w:t>
      </w:r>
      <w:proofErr w:type="spellEnd"/>
      <w:r w:rsidRPr="003F6A20">
        <w:t xml:space="preserve"> for </w:t>
      </w:r>
      <w:proofErr w:type="spellStart"/>
      <w:r w:rsidRPr="003F6A20">
        <w:t>All</w:t>
      </w:r>
      <w:proofErr w:type="spellEnd"/>
      <w:r w:rsidRPr="003F6A20">
        <w:t xml:space="preserve">: </w:t>
      </w:r>
      <w:proofErr w:type="spellStart"/>
      <w:r w:rsidRPr="003F6A20">
        <w:t>Supporting</w:t>
      </w:r>
      <w:proofErr w:type="spellEnd"/>
      <w:r w:rsidRPr="003F6A20">
        <w:t xml:space="preserve"> </w:t>
      </w:r>
      <w:proofErr w:type="spellStart"/>
      <w:r w:rsidRPr="003F6A20">
        <w:t>marginalised</w:t>
      </w:r>
      <w:proofErr w:type="spellEnd"/>
      <w:r w:rsidRPr="003F6A20">
        <w:t xml:space="preserve"> </w:t>
      </w:r>
      <w:proofErr w:type="spellStart"/>
      <w:r w:rsidRPr="003F6A20">
        <w:t>groups</w:t>
      </w:r>
      <w:proofErr w:type="spellEnd"/>
      <w:r w:rsidRPr="003F6A20">
        <w:t xml:space="preserve"> </w:t>
      </w:r>
      <w:proofErr w:type="spellStart"/>
      <w:r w:rsidRPr="003F6A20">
        <w:t>through</w:t>
      </w:r>
      <w:proofErr w:type="spellEnd"/>
      <w:r w:rsidRPr="003F6A20">
        <w:t xml:space="preserve"> </w:t>
      </w:r>
      <w:proofErr w:type="spellStart"/>
      <w:r w:rsidRPr="003F6A20">
        <w:t>community</w:t>
      </w:r>
      <w:proofErr w:type="spellEnd"/>
      <w:r w:rsidRPr="003F6A20">
        <w:t xml:space="preserve"> media” [Powszechna umiejętność korzystania z mediów: Wspieranie grup marginalizowanych za pośrednictwem mediów społecznościowych], opublikowane w 2020 r.,</w:t>
      </w:r>
    </w:p>
    <w:p w14:paraId="4B69791E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>uwzględniając dokument programowy Komitetu Sterującego Rady Europy ds. Mediów i Społeczeństwa Informacyjnego (CDMSI) pt. „</w:t>
      </w:r>
      <w:proofErr w:type="spellStart"/>
      <w:r w:rsidRPr="003F6A20">
        <w:t>National</w:t>
      </w:r>
      <w:proofErr w:type="spellEnd"/>
      <w:r w:rsidRPr="003F6A20">
        <w:t xml:space="preserve"> Media and Information </w:t>
      </w:r>
      <w:proofErr w:type="spellStart"/>
      <w:r w:rsidRPr="003F6A20">
        <w:t>Literacy</w:t>
      </w:r>
      <w:proofErr w:type="spellEnd"/>
      <w:r w:rsidRPr="003F6A20">
        <w:t xml:space="preserve"> </w:t>
      </w:r>
      <w:proofErr w:type="spellStart"/>
      <w:r w:rsidRPr="003F6A20">
        <w:t>Strategies</w:t>
      </w:r>
      <w:proofErr w:type="spellEnd"/>
      <w:r w:rsidRPr="003F6A20">
        <w:t xml:space="preserve"> (MIL) </w:t>
      </w:r>
      <w:proofErr w:type="spellStart"/>
      <w:r w:rsidRPr="003F6A20">
        <w:t>Strategies</w:t>
      </w:r>
      <w:proofErr w:type="spellEnd"/>
      <w:r w:rsidRPr="003F6A20">
        <w:t xml:space="preserve">: </w:t>
      </w:r>
      <w:proofErr w:type="spellStart"/>
      <w:r w:rsidRPr="003F6A20">
        <w:t>Practical</w:t>
      </w:r>
      <w:proofErr w:type="spellEnd"/>
      <w:r w:rsidRPr="003F6A20">
        <w:t xml:space="preserve"> </w:t>
      </w:r>
      <w:proofErr w:type="spellStart"/>
      <w:r w:rsidRPr="003F6A20">
        <w:t>Steps</w:t>
      </w:r>
      <w:proofErr w:type="spellEnd"/>
      <w:r w:rsidRPr="003F6A20">
        <w:t xml:space="preserve"> and </w:t>
      </w:r>
      <w:proofErr w:type="spellStart"/>
      <w:r w:rsidRPr="003F6A20">
        <w:t>Indicators</w:t>
      </w:r>
      <w:proofErr w:type="spellEnd"/>
      <w:r w:rsidRPr="003F6A20">
        <w:t>” [Krajowe strategie w zakresie umiejętności korzystania z mediów i informacji: praktyczne działania i wskaźniki], przyjęty w grudniu 2025 r.,</w:t>
      </w:r>
    </w:p>
    <w:p w14:paraId="28585216" w14:textId="77777777" w:rsidR="00615C00" w:rsidRPr="003F6A20" w:rsidRDefault="00615C00" w:rsidP="00615C00">
      <w:pPr>
        <w:pStyle w:val="NormalHanging"/>
      </w:pPr>
      <w:r w:rsidRPr="003F6A20">
        <w:rPr>
          <w:b/>
          <w:i/>
        </w:rPr>
        <w:t>–</w:t>
      </w:r>
      <w:r w:rsidRPr="003F6A20">
        <w:rPr>
          <w:b/>
          <w:i/>
        </w:rPr>
        <w:tab/>
      </w:r>
      <w:r w:rsidRPr="003F6A20">
        <w:t>uwzględniając art. 55 Regulaminu,</w:t>
      </w:r>
    </w:p>
    <w:p w14:paraId="5F51D5D4" w14:textId="77777777" w:rsidR="00615C00" w:rsidRPr="003F6A20" w:rsidRDefault="00615C00" w:rsidP="00615C00">
      <w:pPr>
        <w:pStyle w:val="NormalHanging"/>
      </w:pPr>
      <w:r w:rsidRPr="003F6A20">
        <w:t>–</w:t>
      </w:r>
      <w:r w:rsidRPr="003F6A20">
        <w:tab/>
        <w:t>uwzględniając sprawozdanie Komisji Kultury i Edukacji (A10-0173/2026),</w:t>
      </w:r>
    </w:p>
    <w:p w14:paraId="61851CED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t>A.</w:t>
      </w:r>
      <w:r w:rsidRPr="003F6A20">
        <w:rPr>
          <w:b/>
          <w:i/>
        </w:rPr>
        <w:tab/>
      </w:r>
      <w:r w:rsidRPr="003F6A20">
        <w:t>mając na uwadze, że umiejętność korzystania z mediów i cyfrowe uczenie się mają zasadnicze znaczenie dla wzmocnienia pozycji obywateli dzięki umiejętnościom krytycznym niezbędnym do oceny, weryfikacji, tworzenia i udostępniania informacji i treści medialnych w sposób autonomiczny i odpowiedzialny na platformach tradycyjnych i internetowych oraz dokonywania świadomych wyborów w stale zmieniającym się środowisku informacyjnym; mając na uwadze, że umiejętności te wzmacniają aktywność obywatelską, włączenie społeczne i odporność demokratyczną;</w:t>
      </w:r>
    </w:p>
    <w:p w14:paraId="4AB3940D" w14:textId="77777777" w:rsidR="00615C00" w:rsidRPr="003F6A20" w:rsidRDefault="00615C00" w:rsidP="00615C00">
      <w:pPr>
        <w:pStyle w:val="NormalHanging12a"/>
      </w:pPr>
      <w:r w:rsidRPr="003F6A20">
        <w:t>B.</w:t>
      </w:r>
      <w:r w:rsidRPr="003F6A20">
        <w:tab/>
        <w:t xml:space="preserve">mając na uwadze, że umiejętność korzystania z mediów i cyfrowe uczenie się zapewniają podstawowe umiejętności we współczesnym społeczeństwie i mają kluczowe znaczenie dla przeciwdziałania rozprzestrzenianiu się dezinformacji, spadkowi zaufania do mediów i wpływowi platform internetowych, nowych podmiotów medialnych, takich jak </w:t>
      </w:r>
      <w:proofErr w:type="spellStart"/>
      <w:r w:rsidRPr="003F6A20">
        <w:t>influencerzy</w:t>
      </w:r>
      <w:proofErr w:type="spellEnd"/>
      <w:r w:rsidRPr="003F6A20">
        <w:t xml:space="preserve"> i twórcy treści, oraz sztucznej inteligencji; mając na uwadze, że umiejętność korzystania z mediów i cyfrowe uczenie się są niezbędne w kontekście zmienionych wzorców korzystania z informacji opartych na „kulturze </w:t>
      </w:r>
      <w:proofErr w:type="spellStart"/>
      <w:r w:rsidRPr="003F6A20">
        <w:t>scrollowania</w:t>
      </w:r>
      <w:proofErr w:type="spellEnd"/>
      <w:r w:rsidRPr="003F6A20">
        <w:t>”;</w:t>
      </w:r>
    </w:p>
    <w:p w14:paraId="66439C66" w14:textId="77777777" w:rsidR="00615C00" w:rsidRPr="003F6A20" w:rsidRDefault="00615C00" w:rsidP="00615C00">
      <w:pPr>
        <w:pStyle w:val="NormalHanging12a"/>
      </w:pPr>
      <w:r w:rsidRPr="003F6A20">
        <w:lastRenderedPageBreak/>
        <w:t>C.</w:t>
      </w:r>
      <w:r w:rsidRPr="003F6A20">
        <w:tab/>
        <w:t>mając na uwadze, że umiejętność korzystania z mediów i cyfrowe uczenie się są niezbędne do zapewnienia cyfrowego dobrostanu użytkowników;</w:t>
      </w:r>
    </w:p>
    <w:p w14:paraId="4AD3E18D" w14:textId="77777777" w:rsidR="00615C00" w:rsidRPr="003F6A20" w:rsidRDefault="00615C00" w:rsidP="00615C00">
      <w:pPr>
        <w:pStyle w:val="NormalHanging12a"/>
      </w:pPr>
      <w:r w:rsidRPr="003F6A20">
        <w:t>D.</w:t>
      </w:r>
      <w:r w:rsidRPr="003F6A20">
        <w:tab/>
        <w:t xml:space="preserve">mając na uwadze, że sposoby dostępu do mediów i treści cyfrowych znacznie się zmieniły, a użytkownicy, zwłaszcza małoletni i młodzież, w coraz większej mierze wybierają dostosowane do potrzeb formy treści na platformach mediów społecznościowych, ściśle śledzą działania </w:t>
      </w:r>
      <w:proofErr w:type="spellStart"/>
      <w:r w:rsidRPr="003F6A20">
        <w:t>influencerów</w:t>
      </w:r>
      <w:proofErr w:type="spellEnd"/>
      <w:r w:rsidRPr="003F6A20">
        <w:t>, w dużym stopniu opierają się na zaleceniach algorytmicznych i często wykazują mniejsze skupienie przy korzystaniu z tradycyjnych mediów; mając na uwadze, że media społecznościowe mogą szybko personalizować swoje kanały, narażając użytkowników, zwłaszcza małoletnich, osoby starsze i innych użytkowników podatnych na zagrożenia, na ryzyko szerzenia się szkodliwych treści lub zamknięcia ich w bańkach informacyjnych;</w:t>
      </w:r>
    </w:p>
    <w:p w14:paraId="3D80B8A9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E.</w:t>
      </w:r>
      <w:r w:rsidRPr="003F6A20">
        <w:tab/>
        <w:t>mając na uwadze, że niektóre cechy projektowe platform cyfrowych, w tym algorytmiczne systemy rekomendacji, mogą wpływać na wybór i widoczność treści oraz mogą przyczyniać się do zagrożeń związanych z dobrostanem użytkowników i narażeniem na szkodliwe treści;</w:t>
      </w:r>
    </w:p>
    <w:p w14:paraId="0E390E74" w14:textId="77777777" w:rsidR="00615C00" w:rsidRPr="003F6A20" w:rsidRDefault="00615C00" w:rsidP="00615C00">
      <w:pPr>
        <w:pStyle w:val="NormalHanging12a"/>
      </w:pPr>
      <w:r w:rsidRPr="003F6A20">
        <w:t>F.</w:t>
      </w:r>
      <w:r w:rsidRPr="003F6A20">
        <w:tab/>
        <w:t>mając na uwadze, że w obecnej sytuacji geopolitycznej mieszkańcy UE powinni posiadać szeroki zakres umiejętności poznawczych, technicznych i społecznych, aby skutecznie uzyskiwać dostęp do treści medialnych i analizować je, a tym samym zachować odporność na potencjalne działania manipulacyjne lub ataki hybrydowe mające na celu destabilizację dyskursu obywatelskiego i procesów demokratycznych;</w:t>
      </w:r>
    </w:p>
    <w:p w14:paraId="3DEC3090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t>G.</w:t>
      </w:r>
      <w:r w:rsidRPr="003F6A20">
        <w:rPr>
          <w:b/>
          <w:i/>
        </w:rPr>
        <w:tab/>
      </w:r>
      <w:r w:rsidRPr="003F6A20">
        <w:t>mając na uwadze, że niezależne i pluralistyczne dziennikarstwo wysokiej jakości jest podstawą społeczeństw demokratycznych oraz odgrywa kluczową rolę we wzmacnianiu umiejętności korzystania z mediów, przeciwdziałaniu dezinformacji i zwiększaniu zaufania obywateli do ekosystemu informacyjnego, oraz ma pozytywny wpływ na stabilność gospodarczą sektora mediów; mając na uwadze, że media publiczne odgrywają kluczową rolę w osiągnięciu tych celów i wymagają odpowiedniego i trwałego finansowania;</w:t>
      </w:r>
    </w:p>
    <w:p w14:paraId="290FD589" w14:textId="77777777" w:rsidR="00615C00" w:rsidRPr="003F6A20" w:rsidRDefault="00615C00" w:rsidP="00615C00">
      <w:pPr>
        <w:pStyle w:val="NormalHanging12a"/>
      </w:pPr>
      <w:r w:rsidRPr="003F6A20">
        <w:t>H.</w:t>
      </w:r>
      <w:r w:rsidRPr="003F6A20">
        <w:tab/>
        <w:t xml:space="preserve">mając na uwadze, że umiejętność korzystania z mediów i edukacja cyfrowa muszą być postrzegane jako integralne elementy kompleksowej strategii uczenia się przez całe życie, która powinna obejmować szczególne potrzeby osób uczących się i zainteresowanych stron w ekosystemie edukacyjnym i informacyjnym, w tym rodziców, opiekunów, wychowawców, mediów, dziennikarzy, bibliotek, organizacji społeczeństwa obywatelskiego i nowych podmiotów medialnych, takich jak </w:t>
      </w:r>
      <w:proofErr w:type="spellStart"/>
      <w:r w:rsidRPr="003F6A20">
        <w:t>influencerzy</w:t>
      </w:r>
      <w:proofErr w:type="spellEnd"/>
      <w:r w:rsidRPr="003F6A20">
        <w:t xml:space="preserve"> i twórcy treści; mając na uwadze, że w Strategii na rzecz sprawiedliwości międzypokoleniowej uznano uczenie się przez całe życie, umiejętności cyfrowe, umiejętność korzystania z mediów i aktywne uczestnictwo wszystkich grup wiekowych za kluczowe warunki sprawiedliwości międzypokoleniowej i odporności społeczeństw demokratycznych;</w:t>
      </w:r>
    </w:p>
    <w:p w14:paraId="5F7FBEB6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I.</w:t>
      </w:r>
      <w:r w:rsidRPr="003F6A20">
        <w:tab/>
        <w:t>mając na uwadze, że skuteczna umiejętność korzystania z mediów i cyfrowe uczenie się wymagają równych szans w dostępie do edukacji i pluralistycznego środowiska informacyjnego;</w:t>
      </w:r>
    </w:p>
    <w:p w14:paraId="42C43312" w14:textId="77777777" w:rsidR="00615C00" w:rsidRPr="003F6A20" w:rsidRDefault="00615C00" w:rsidP="00615C00">
      <w:pPr>
        <w:pStyle w:val="NormalHanging12a"/>
      </w:pPr>
      <w:r w:rsidRPr="003F6A20">
        <w:t>J.</w:t>
      </w:r>
      <w:r w:rsidRPr="003F6A20">
        <w:tab/>
        <w:t xml:space="preserve">mając na uwadze, że dzieci mają dostęp do mediów społecznościowych w coraz młodszym wieku, 97 % młodych ludzi w UE codziennie korzysta z </w:t>
      </w:r>
      <w:proofErr w:type="spellStart"/>
      <w:r w:rsidRPr="003F6A20">
        <w:t>internetu</w:t>
      </w:r>
      <w:proofErr w:type="spellEnd"/>
      <w:r w:rsidRPr="003F6A20">
        <w:t xml:space="preserve">, a </w:t>
      </w:r>
      <w:r w:rsidRPr="003F6A20">
        <w:lastRenderedPageBreak/>
        <w:t>platformy mediów społecznościowych stają się głównym źródłem informacji dla młodych ludzi w wieku 15–24 lat</w:t>
      </w:r>
      <w:r w:rsidRPr="003F6A20">
        <w:rPr>
          <w:vertAlign w:val="superscript"/>
        </w:rPr>
        <w:footnoteReference w:id="9"/>
      </w:r>
      <w:r w:rsidRPr="003F6A20">
        <w:t>;</w:t>
      </w:r>
    </w:p>
    <w:p w14:paraId="7BE8030A" w14:textId="77777777" w:rsidR="00615C00" w:rsidRPr="003F6A20" w:rsidRDefault="00615C00" w:rsidP="00615C00">
      <w:pPr>
        <w:pStyle w:val="NormalHanging12a"/>
      </w:pPr>
      <w:r w:rsidRPr="003F6A20">
        <w:t>K.</w:t>
      </w:r>
      <w:r w:rsidRPr="003F6A20">
        <w:tab/>
        <w:t>mając na uwadze, że podejścia do umiejętności korzystania z mediów i cyfrowego uczenia się różnią się w poszczególnych państwach UE, przy czym występują znaczne różnice pod względem włączenia tych umiejętności do programów nauczania oraz poziomu wsparcia finansowego lub administracyjnego udzielanego na odnośne działania lub programy, a także pod względem właściwych organów lub podmiotów i współpracy między nimi;</w:t>
      </w:r>
    </w:p>
    <w:p w14:paraId="0EC99E1B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L.</w:t>
      </w:r>
      <w:r w:rsidRPr="003F6A20">
        <w:tab/>
        <w:t>mając na uwadze, że komentarz ogólny nr 25 w sprawie praw dziecka w środowisku cyfrowym przyjęty przez Komitet Praw Dziecka ONZ w 2021 r. stanowi, że prawa dziecka muszą być szanowane, chronione i przestrzegane w środowisku cyfrowym oraz że, udostępniając dzieciom swoje produkty i usługi, dostawcy usług cyfrowych muszą przestrzegać najwyższych standardów etyki, prywatności i bezpieczeństwa oraz dostosowania do wieku;</w:t>
      </w:r>
    </w:p>
    <w:p w14:paraId="67C334DE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M.</w:t>
      </w:r>
      <w:r w:rsidRPr="003F6A20">
        <w:tab/>
        <w:t>mając na uwadze, że umiejętności korzystania z mediów i umiejętności cyfrowego uczenia się należy rozwijać od najmłodszych lat, a ich wprowadzanie do szkolnictwa podstawowego powinno przyczyniać się do lepszego przygotowania dzieci do wyzwań związanych ze środowiskiem cyfrowym, w sposób odpowiedni do ich wieku i rozwoju; mając na uwadze, że umiejętności te są równie istotne przez całe życie, co wymaga podejścia opartego na uczeniu się przez całe życie;</w:t>
      </w:r>
    </w:p>
    <w:p w14:paraId="46D0184B" w14:textId="77777777" w:rsidR="00615C00" w:rsidRPr="003F6A20" w:rsidRDefault="00615C00" w:rsidP="00615C00">
      <w:pPr>
        <w:pStyle w:val="NormalHanging12a"/>
      </w:pPr>
      <w:r w:rsidRPr="003F6A20">
        <w:t>N.</w:t>
      </w:r>
      <w:r w:rsidRPr="003F6A20">
        <w:tab/>
        <w:t xml:space="preserve">mając na uwadze, że przedwczesne udostępnienie narzędzi lub technologii cyfrowych małoletnim przed opanowaniem podstawowych umiejętności korzystania z mediów i krytycznego myślenia za pomocą narzędzi analogowych naraża ich na wiele zagrożeń cyfrowych i szkód w </w:t>
      </w:r>
      <w:proofErr w:type="spellStart"/>
      <w:r w:rsidRPr="003F6A20">
        <w:t>internecie</w:t>
      </w:r>
      <w:proofErr w:type="spellEnd"/>
      <w:r w:rsidRPr="003F6A20">
        <w:t>, których mogą jeszcze nie być w stanie rozpoznać lub z którymi mogą nie być w stanie sobie poradzić;</w:t>
      </w:r>
    </w:p>
    <w:p w14:paraId="3840C173" w14:textId="77777777" w:rsidR="00615C00" w:rsidRPr="003F6A20" w:rsidRDefault="00615C00" w:rsidP="00615C00">
      <w:pPr>
        <w:pStyle w:val="NormalHanging12a"/>
      </w:pPr>
      <w:r w:rsidRPr="003F6A20">
        <w:t>O.</w:t>
      </w:r>
      <w:r w:rsidRPr="003F6A20">
        <w:tab/>
        <w:t xml:space="preserve">mając na uwadze, że wszystkie grupy społeczne, a zwłaszcza małoletni, młodzież, osoby starsze, osoby z niepełnosprawnościami oraz osoby na obszarach wiejskich lub oddalonych o ograniczonej infrastrukturze cyfrowej są nadal bardziej narażone na wykorzystywanie w środowisku cyfrowym; mając na uwadze, że obywatele w każdym wieku, zwłaszcza małoletni, których zdolności poznawcze nadal się rozwijają, są narażeni na zagrożenia związane z treściami generowanymi przez sztuczną inteligencję i </w:t>
      </w:r>
      <w:proofErr w:type="spellStart"/>
      <w:r w:rsidRPr="003F6A20">
        <w:t>i</w:t>
      </w:r>
      <w:proofErr w:type="spellEnd"/>
      <w:r w:rsidRPr="003F6A20">
        <w:t xml:space="preserve"> </w:t>
      </w:r>
      <w:proofErr w:type="spellStart"/>
      <w:r w:rsidRPr="003F6A20">
        <w:t>chatbotami</w:t>
      </w:r>
      <w:proofErr w:type="spellEnd"/>
      <w:r w:rsidRPr="003F6A20">
        <w:t>;</w:t>
      </w:r>
    </w:p>
    <w:p w14:paraId="274A2834" w14:textId="77777777" w:rsidR="00615C00" w:rsidRPr="003F6A20" w:rsidRDefault="00615C00" w:rsidP="00615C00">
      <w:pPr>
        <w:pStyle w:val="NormalHanging12a"/>
      </w:pPr>
      <w:r w:rsidRPr="003F6A20">
        <w:t>P.</w:t>
      </w:r>
      <w:r w:rsidRPr="003F6A20">
        <w:tab/>
        <w:t>mając na uwadze, że wprowadzenie minimalnego wieku ochrony małoletnich korzystających z platform internetowych, w tym rozstrzygnięcia na temat minimalnego wieku, weryfikacji wieku i kontroli rodzicielskiej, były przedmiotem dyskusji decydentów zarówno na szczeblu krajowym, jak i unijnym;</w:t>
      </w:r>
    </w:p>
    <w:p w14:paraId="62F51B0B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Q.</w:t>
      </w:r>
      <w:r w:rsidRPr="003F6A20">
        <w:tab/>
        <w:t xml:space="preserve">mając na uwadze, że w marcu 2026 r. Komisja powołała specjalny panel ekspertów ds. bezpieczeństwa dzieci w </w:t>
      </w:r>
      <w:proofErr w:type="spellStart"/>
      <w:r w:rsidRPr="003F6A20">
        <w:t>internecie</w:t>
      </w:r>
      <w:proofErr w:type="spellEnd"/>
      <w:r w:rsidRPr="003F6A20">
        <w:t xml:space="preserve">, któremu powierzono opracowanie zaleceń w celu lepszej ochrony dzieci w środowisku cyfrowym oraz wzmocnienia ich pozycji; mając </w:t>
      </w:r>
      <w:r w:rsidRPr="003F6A20">
        <w:lastRenderedPageBreak/>
        <w:t>na uwadze, że panel analizuje również znaczenie umiejętności korzystania z mediów i cyfrowego uczenia się dla dzieci, rodziców i wychowawców;</w:t>
      </w:r>
    </w:p>
    <w:p w14:paraId="701B7220" w14:textId="77777777" w:rsidR="00615C00" w:rsidRPr="003F6A20" w:rsidRDefault="00615C00" w:rsidP="00615C00">
      <w:pPr>
        <w:pStyle w:val="NormalHanging12a"/>
      </w:pPr>
      <w:r w:rsidRPr="003F6A20">
        <w:t>R.</w:t>
      </w:r>
      <w:r w:rsidRPr="003F6A20">
        <w:tab/>
        <w:t>mając na uwadze, że prawodawstwo UE dotyczące sektora audiowizualnego i mediów zawiera definicję i uznaje znaczenie umiejętności korzystania z mediów, w szczególności w art. 2 pkt 21 europejskiego aktu o wolności mediów, oraz obowiązki w zakresie umiejętności korzystania z mediów wynikające z dyrektywy o audiowizualnych usługach medialnych; mając na uwadze, że art. 13 europejskiego aktu o wolności mediów powierza Europejskiej Radzie Usług Medialnych zadanie wymiany najlepszych praktyk w zakresie umiejętności korzystania z mediów;</w:t>
      </w:r>
    </w:p>
    <w:p w14:paraId="67F61C80" w14:textId="77777777" w:rsidR="00615C00" w:rsidRPr="003F6A20" w:rsidRDefault="00615C00" w:rsidP="00615C00">
      <w:pPr>
        <w:pStyle w:val="Normal12a"/>
        <w:rPr>
          <w:i/>
          <w:iCs/>
        </w:rPr>
      </w:pPr>
      <w:r w:rsidRPr="003F6A20">
        <w:rPr>
          <w:b/>
          <w:i/>
        </w:rPr>
        <w:t>Kluczowe elementy nowego podejścia do umiejętności korzystania z mediów i cyfrowego uczenia się</w:t>
      </w:r>
    </w:p>
    <w:p w14:paraId="67B04379" w14:textId="77777777" w:rsidR="00615C00" w:rsidRPr="003F6A20" w:rsidRDefault="00615C00" w:rsidP="00615C00">
      <w:pPr>
        <w:pStyle w:val="NormalHanging12a"/>
      </w:pPr>
      <w:r w:rsidRPr="003F6A20">
        <w:t>1.</w:t>
      </w:r>
      <w:r w:rsidRPr="003F6A20">
        <w:tab/>
        <w:t>podkreśla, że perspektywiczne podejście do umiejętności korzystania z mediów i cyfrowego uczenia się powinno mieć na celu wyposażenie ludzi w każdym wieku w podstawowe umiejętności, które umożliwiłyby im pełne korzystanie ze środowiska cyfrowego, zwiększenie ich umiejętności kreatywnych, korzystanie z dostępu do różnych źródeł i unikanie ryzyka związanego z korzystaniem z platform internetowych i ich projektowaniem;</w:t>
      </w:r>
    </w:p>
    <w:p w14:paraId="70196527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2.</w:t>
      </w:r>
      <w:r w:rsidRPr="003F6A20">
        <w:tab/>
        <w:t>podkreśla znaczenie umiejętności korzystania z mediów w wyposażaniu osób w zdolność krytycznego myślenia, która przyczynia się do świadomego i autonomicznego podejmowania decyzji w procesach demokratycznych oraz zwiększa odpowiedzialność obywatelską za przeciwdziałanie dezinformacji, polaryzacji oraz zagranicznym manipulacjom informacjami i ingerencjom w informacje, zwłaszcza w kontekście wyborczym;</w:t>
      </w:r>
    </w:p>
    <w:p w14:paraId="194A6E19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3.</w:t>
      </w:r>
      <w:r w:rsidRPr="003F6A20">
        <w:tab/>
        <w:t>podkreśla, że umiejętność korzystania z mediów i cyfrowe uczenie się powinny znaleźć odzwierciedlenie w szerszych inicjatywach UE służących ochronie procesów demokratycznych, w tym w kontekście europejskiej tarczy demokracji;</w:t>
      </w:r>
    </w:p>
    <w:p w14:paraId="576E8255" w14:textId="77777777" w:rsidR="00615C00" w:rsidRPr="003F6A20" w:rsidRDefault="00615C00" w:rsidP="00615C00">
      <w:pPr>
        <w:pStyle w:val="NormalHanging12a"/>
      </w:pPr>
      <w:r w:rsidRPr="003F6A20">
        <w:t>4.</w:t>
      </w:r>
      <w:r w:rsidRPr="003F6A20">
        <w:tab/>
        <w:t>uznaje, że podejścia do nauczania umiejętności korzystania z mediów i cyfrowego uczenia się muszą być innowacyjne, przeznaczone dla wszystkich grup ludności i dostosowane do potrzeb osób uczących się, zwłaszcza użytkowników podatnych na zagrożenia i znajdujących się w niekorzystnej sytuacji ze względu na czynniki geograficzne, społeczne, kulturowe i gospodarcze;</w:t>
      </w:r>
    </w:p>
    <w:p w14:paraId="458ADB22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5.</w:t>
      </w:r>
      <w:r w:rsidRPr="003F6A20">
        <w:tab/>
        <w:t xml:space="preserve">uznaje wartość wzajemnego uczenia się wśród rówieśników, realizowanego przez centra bezpieczniejszego </w:t>
      </w:r>
      <w:proofErr w:type="spellStart"/>
      <w:r w:rsidRPr="003F6A20">
        <w:t>internetu</w:t>
      </w:r>
      <w:proofErr w:type="spellEnd"/>
      <w:r w:rsidRPr="003F6A20">
        <w:t xml:space="preserve"> i organizacje społeczeństwa obywatelskiego, jako skutecznego narzędzia docierania do dzieci i nastolatków z przekazami na temat bezpiecznego korzystania z </w:t>
      </w:r>
      <w:proofErr w:type="spellStart"/>
      <w:r w:rsidRPr="003F6A20">
        <w:t>internetu</w:t>
      </w:r>
      <w:proofErr w:type="spellEnd"/>
      <w:r w:rsidRPr="003F6A20">
        <w:t xml:space="preserve"> i uzupełniającego kształcenie formalne;</w:t>
      </w:r>
    </w:p>
    <w:p w14:paraId="7B058289" w14:textId="77777777" w:rsidR="00615C00" w:rsidRPr="003F6A20" w:rsidRDefault="00615C00" w:rsidP="00615C00">
      <w:pPr>
        <w:pStyle w:val="NormalHanging12a"/>
      </w:pPr>
      <w:r w:rsidRPr="003F6A20">
        <w:t>6.</w:t>
      </w:r>
      <w:r w:rsidRPr="003F6A20">
        <w:tab/>
        <w:t xml:space="preserve">podkreśla kluczową rolę umiejętności korzystania z mediów i cyfrowego uczenia się we wzmacnianiu pozycji użytkowników, by mogli bezpiecznie poruszać się w środowisku cyfrowym, w tym w zwalczaniu cyberprzemocy i innych rodzajów szkód wyrządzanych w </w:t>
      </w:r>
      <w:proofErr w:type="spellStart"/>
      <w:r w:rsidRPr="003F6A20">
        <w:t>internecie</w:t>
      </w:r>
      <w:proofErr w:type="spellEnd"/>
      <w:r w:rsidRPr="003F6A20">
        <w:t xml:space="preserve">; podkreśla w szczególności, że zapewnienie umiejętności korzystania z mediów i cyfrowego uczenia się przez cały okres kształcenia i w ramach uczenia się przez całe życie ma kluczowe znaczenie dla rozwijania i wzmacniania krytycznego myślenia, samoświadomości i odpowiedzialnego zachowania w </w:t>
      </w:r>
      <w:proofErr w:type="spellStart"/>
      <w:r w:rsidRPr="003F6A20">
        <w:t>internecie</w:t>
      </w:r>
      <w:proofErr w:type="spellEnd"/>
      <w:r w:rsidRPr="003F6A20">
        <w:t>;</w:t>
      </w:r>
    </w:p>
    <w:p w14:paraId="1D6DC426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lastRenderedPageBreak/>
        <w:t>7.</w:t>
      </w:r>
      <w:r w:rsidRPr="003F6A20">
        <w:tab/>
        <w:t>podkreśla, że polityka w zakresie umiejętności korzystania z mediów powinna zwiększać świadomość tego, w jaki sposób środowiska cyfrowe i projektowanie platform wpływają na sposób dostępu do informacji, w tym zdolność zrozumienia funkcjonowania algorytmów oraz rozpoznawania uzależniającej koncepcji i treści manipulujących emocjami;</w:t>
      </w:r>
    </w:p>
    <w:p w14:paraId="170A9B62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8.</w:t>
      </w:r>
      <w:r w:rsidRPr="003F6A20">
        <w:tab/>
        <w:t xml:space="preserve">podkreśla rosnący wpływ środowiska cyfrowego na zdrowie psychiczne i dobrostan użytkowników; wzywa Komisję i państwa członkowskie do uwzględnienia w programach na rzecz umiejętności korzystania z mediów i cyfrowego uczenia się rozwoju empatii cyfrowej, odpowiedzialnego zachowania w </w:t>
      </w:r>
      <w:proofErr w:type="spellStart"/>
      <w:r w:rsidRPr="003F6A20">
        <w:t>internecie</w:t>
      </w:r>
      <w:proofErr w:type="spellEnd"/>
      <w:r w:rsidRPr="003F6A20">
        <w:t xml:space="preserve"> oraz zrozumienia wpływu środowiska cyfrowego na zdrowie psychiczne i dobrostan, jako ważnych elementów zapobiegania </w:t>
      </w:r>
      <w:proofErr w:type="spellStart"/>
      <w:r w:rsidRPr="003F6A20">
        <w:t>cyberszykanowaniu</w:t>
      </w:r>
      <w:proofErr w:type="spellEnd"/>
      <w:r w:rsidRPr="003F6A20">
        <w:t xml:space="preserve"> i promowania dobrostanu cyfrowego;</w:t>
      </w:r>
    </w:p>
    <w:p w14:paraId="0CF7AD36" w14:textId="77777777" w:rsidR="00615C00" w:rsidRPr="003F6A20" w:rsidRDefault="00615C00" w:rsidP="00615C00">
      <w:pPr>
        <w:pStyle w:val="NormalHanging12a"/>
      </w:pPr>
      <w:r w:rsidRPr="003F6A20">
        <w:t>9.</w:t>
      </w:r>
      <w:r w:rsidRPr="003F6A20">
        <w:tab/>
        <w:t>podkreśla znaczenie wykorzystania wszystkich odpowiednich dostępnych instrumentów regulacyjnych i wspierania współpracy między wszystkimi właściwymi podmiotami, stosownie do potrzeb, w celu wypracowania podejścia UE do umiejętności korzystania z mediów i cyfrowego uczenia się;</w:t>
      </w:r>
    </w:p>
    <w:p w14:paraId="14BCA359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10.</w:t>
      </w:r>
      <w:r w:rsidRPr="003F6A20">
        <w:tab/>
        <w:t>podkreśla, jak ważne jest zacieśnienie współpracy między publicznymi i prywatnymi zainteresowanymi stronami w celu propagowania umiejętności korzystania z mediów w całej UE; podkreśla ważną rolę organizacji społeczeństwa obywatelskiego, inicjatyw społecznościowych, wolontariuszy i podmiotów działających w dziedzinie kultury w budowaniu zaufania, a tym samym wspieraniu dialogu w debacie publicznej;</w:t>
      </w:r>
    </w:p>
    <w:p w14:paraId="23D33FB0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11.</w:t>
      </w:r>
      <w:r w:rsidRPr="003F6A20">
        <w:tab/>
        <w:t xml:space="preserve">z zadowoleniem przyjmuje prace grupy eksperckiej ds. umiejętności korzystania z mediów i Europejskiego Obserwatorium Mediów Cyfrowych oraz ważną rolę tych podmiotów w łączeniu decydentów, badaczy i praktyków w celu budowania </w:t>
      </w:r>
      <w:proofErr w:type="spellStart"/>
      <w:r w:rsidRPr="003F6A20">
        <w:t>multidyscyplinarnej</w:t>
      </w:r>
      <w:proofErr w:type="spellEnd"/>
      <w:r w:rsidRPr="003F6A20">
        <w:t xml:space="preserve"> społeczności ekspertów, dzielenia się najlepszymi praktykami i zwiększania świadomości; apeluje o wzmocnienie ich działań w zakresie umiejętności korzystania z mediów w celu wspierania współpracy między państwami członkowskimi;</w:t>
      </w:r>
    </w:p>
    <w:p w14:paraId="7A3EF8CF" w14:textId="77777777" w:rsidR="00615C00" w:rsidRPr="003F6A20" w:rsidRDefault="00615C00" w:rsidP="00615C00">
      <w:pPr>
        <w:pStyle w:val="NormalHanging12a"/>
      </w:pPr>
      <w:r w:rsidRPr="003F6A20">
        <w:t>12.</w:t>
      </w:r>
      <w:r w:rsidRPr="003F6A20">
        <w:tab/>
        <w:t>podkreśla, jak ważne jest wprowadzenie umiejętności korzystania z mediów i cyfrowego uczenia się do programów nauczania w całym procesie kształcenia formalnego, a także zwraca uwagę na potrzebę opracowania opartego na dowodach i całościowego podejścia do korzystania z technologii cyfrowych w szkołach;</w:t>
      </w:r>
    </w:p>
    <w:p w14:paraId="5CDC0E0A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13.</w:t>
      </w:r>
      <w:r w:rsidRPr="003F6A20">
        <w:tab/>
        <w:t>podkreśla, jak ważnej jest promowanie umiejętności korzystania z mediów i cyfrowego uczenia się poza kształceniem formalnym i w miejscu pracy, przy zapewnieniu uczenia się przez całe życie i podejścia obejmującego całe społeczeństwo z udziałem rządów, instytucji edukacyjnych, społeczeństwa obywatelskiego, organizacji medialnych, platform technologicznych i rodzin;</w:t>
      </w:r>
    </w:p>
    <w:p w14:paraId="011384C1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14.</w:t>
      </w:r>
      <w:r w:rsidRPr="003F6A20">
        <w:tab/>
        <w:t>wzywa Komisję, aby we współpracy z państwami członkowskimi ustanowiła ustrukturyzowane ramy monitorowania i oceny krajowych działań na rzecz umiejętności korzystania z mediów, w tym wymierne wskaźniki oceniające wiedzę, wyniki behawioralne, rozwój krytycznego myślenia i odporność na dezinformację, między innymi poprzez badania wzdłużne oraz ocenę podejść dostosowanych do wieku i programów wsparcia dla rodziców;</w:t>
      </w:r>
    </w:p>
    <w:p w14:paraId="64D8A1E6" w14:textId="77777777" w:rsidR="00615C00" w:rsidRPr="003F6A20" w:rsidRDefault="00615C00" w:rsidP="00615C00">
      <w:pPr>
        <w:pStyle w:val="Normal12a"/>
        <w:rPr>
          <w:b/>
          <w:bCs/>
          <w:i/>
          <w:iCs/>
        </w:rPr>
      </w:pPr>
      <w:r w:rsidRPr="003F6A20">
        <w:rPr>
          <w:b/>
          <w:i/>
        </w:rPr>
        <w:lastRenderedPageBreak/>
        <w:t>Umiejętność korzystania z mediów i cyfrowe uczenie się: wzmocnienie filarów nowoczesnego ekosystemu medialnego</w:t>
      </w:r>
    </w:p>
    <w:p w14:paraId="65C7E0D3" w14:textId="77777777" w:rsidR="00615C00" w:rsidRPr="003F6A20" w:rsidRDefault="00615C00" w:rsidP="00615C00">
      <w:pPr>
        <w:pStyle w:val="NormalHanging12a"/>
      </w:pPr>
      <w:r w:rsidRPr="003F6A20">
        <w:t>15.</w:t>
      </w:r>
      <w:r w:rsidRPr="003F6A20">
        <w:tab/>
        <w:t>wzywa instytucje UE i państwa członkowskie do współpracy w celu ustanowienia skoordynowanego podejścia UE do umiejętności korzystania z mediów i cyfrowego uczenia się;</w:t>
      </w:r>
    </w:p>
    <w:p w14:paraId="4008F603" w14:textId="77777777" w:rsidR="00615C00" w:rsidRPr="003F6A20" w:rsidRDefault="00615C00" w:rsidP="00615C00">
      <w:pPr>
        <w:pStyle w:val="NormalHanging12a"/>
      </w:pPr>
      <w:r w:rsidRPr="003F6A20">
        <w:t>16.</w:t>
      </w:r>
      <w:r w:rsidRPr="003F6A20">
        <w:tab/>
        <w:t>wzywa Komisję do oceny i, w stosownych przypadkach, przedstawienia propozycji jasnego wspólnego podejścia UE w kwestii dostosowanego do wieku dostępu do platform internetowych, w szczególności platform mediów społecznościowych, zgodnie z podejściem opartym na ochronie dobrostanu dzieci, uznaniu potrzeb w zakresie rozwoju poznawczego i emocjonalnego małoletnich oraz potrzebie zapewnienia bezpiecznego i dostosowanego do wieku środowiska cyfrowego, przy pełnym poszanowaniu praw podstawowych i różnic w podejściach krajowych;</w:t>
      </w:r>
    </w:p>
    <w:p w14:paraId="32D2B87E" w14:textId="77777777" w:rsidR="00615C00" w:rsidRPr="003F6A20" w:rsidRDefault="00615C00" w:rsidP="00615C00">
      <w:pPr>
        <w:pStyle w:val="NormalHanging12a"/>
      </w:pPr>
      <w:r w:rsidRPr="003F6A20">
        <w:t>17.</w:t>
      </w:r>
      <w:r w:rsidRPr="003F6A20">
        <w:tab/>
        <w:t xml:space="preserve">wzywa Komisję do oceny odpowiednich przepisów dyrektywy o audiowizualnych usługach medialnych, zapewnienia jej egzekwowania i przedstawienia propozycji ukierunkowanych zmian w celu dodatkowego zwiększenia poziomu ochrony użytkowników platform udostępniania plików wideo, w szczególności małoletnich, rozszerzenia przepisów dotyczących treści medialnych na </w:t>
      </w:r>
      <w:proofErr w:type="spellStart"/>
      <w:r w:rsidRPr="003F6A20">
        <w:t>influencerów</w:t>
      </w:r>
      <w:proofErr w:type="spellEnd"/>
      <w:r w:rsidRPr="003F6A20">
        <w:t xml:space="preserve"> i twórców treści oraz zapewnienia skutecznego oznakowania treści generowanych przez sztuczną inteligencję, manipulowanych sztuczną inteligencją i sponsorowanych komercyjnie, bez polegania wyłącznie na etykietach lub zautomatyzowanych wskaźnikach;</w:t>
      </w:r>
    </w:p>
    <w:p w14:paraId="58FC86B9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18.</w:t>
      </w:r>
      <w:r w:rsidRPr="003F6A20">
        <w:tab/>
        <w:t xml:space="preserve">apeluje o opracowanie i promowanie kodeksów postępowania i jasnych wytycznych dla </w:t>
      </w:r>
      <w:proofErr w:type="spellStart"/>
      <w:r w:rsidRPr="003F6A20">
        <w:t>influencerów</w:t>
      </w:r>
      <w:proofErr w:type="spellEnd"/>
      <w:r w:rsidRPr="003F6A20">
        <w:t xml:space="preserve"> i twórców treści dotyczących włączenia umiejętności korzystania z mediów i zasad cyfrowego uczenia się do ich treści, biorąc pod uwagę ich istotną rolę w kształtowaniu wzorców korzystania z informacji, zwłaszcza wśród młodych ludzi; zachęca platformy internetowe do zapewnienia większej widoczności – w tym za pośrednictwem systemów rekomendacji – treści aktywnie propagujących umiejętność korzystania z mediów, krytyczne myślenie i bezpieczeństwo w </w:t>
      </w:r>
      <w:proofErr w:type="spellStart"/>
      <w:r w:rsidRPr="003F6A20">
        <w:t>internecie</w:t>
      </w:r>
      <w:proofErr w:type="spellEnd"/>
      <w:r w:rsidRPr="003F6A20">
        <w:t>;</w:t>
      </w:r>
    </w:p>
    <w:p w14:paraId="6AC955F3" w14:textId="77777777" w:rsidR="00615C00" w:rsidRPr="003F6A20" w:rsidRDefault="00615C00" w:rsidP="00615C00">
      <w:pPr>
        <w:pStyle w:val="NormalHanging12a"/>
      </w:pPr>
      <w:r w:rsidRPr="003F6A20">
        <w:t>19.</w:t>
      </w:r>
      <w:r w:rsidRPr="003F6A20">
        <w:tab/>
        <w:t>wzywa państwa członkowskie do zapewnienia skutecznego nadzoru i dopilnowania, aby platformy udostępniania plików wideo wywiązywały się z obowiązku zapewnienia skutecznych środków i narzędzi poprawiających umiejętności korzystania z mediów oraz podnoszenia świadomości użytkowników na temat takich środków i narzędzi, zgodnie z art. 28 lit. b) pkt 3 dyrektywy o audiowizualnych usługach medialnych; wzywa krajowe władze i organy regulacyjne do wykorzystania mechanizmu współpracy ustanowionego na mocy art. 15 europejskiego aktu o wolności mediów, aby zapewnić skuteczne egzekwowanie tego obowiązku w całej UE;</w:t>
      </w:r>
    </w:p>
    <w:p w14:paraId="48F336F3" w14:textId="77777777" w:rsidR="00615C00" w:rsidRPr="003F6A20" w:rsidRDefault="00615C00" w:rsidP="00615C00">
      <w:pPr>
        <w:pStyle w:val="NormalHanging12a"/>
      </w:pPr>
      <w:r w:rsidRPr="003F6A20">
        <w:t>20.</w:t>
      </w:r>
      <w:r w:rsidRPr="003F6A20">
        <w:tab/>
        <w:t>przypomina, że na mocy art. 33 lit. a) dyrektywy o audiowizualnych usługach medialnych państwa członkowskie są zobowiązane do promowania zdobywania umiejętności korzystania z mediów i do podejmowania środków w tym celu oraz do składania Komisji sprawozdań z wykonania tych działań; zachęca krajowe organy regulacyjne ds. mediów do konsultowania się z przedstawicielami wszystkich grup społecznych przy opracowywaniu takich środków oraz do przyjęcia podejścia dostosowanego do potrzeb wszystkich grup wiekowych przy stosowaniu tych środków; wzywa państwa członkowskie do zapewnienia takim organom stabilnego i specjalnego finansowania w celu promowania i wdrażania środków poprawiających umiejętności korzystania z mediów;</w:t>
      </w:r>
    </w:p>
    <w:p w14:paraId="358FE2DE" w14:textId="77777777" w:rsidR="00615C00" w:rsidRPr="003F6A20" w:rsidRDefault="00615C00" w:rsidP="00615C00">
      <w:pPr>
        <w:pStyle w:val="NormalHanging12a"/>
      </w:pPr>
      <w:r w:rsidRPr="003F6A20">
        <w:lastRenderedPageBreak/>
        <w:t>21.</w:t>
      </w:r>
      <w:r w:rsidRPr="003F6A20">
        <w:tab/>
        <w:t>wzywa bardzo duże platformy internetowe do wprowadzenia – zgodnie z wymogami aktu o usługach cyfrowych – rozsądnych, proporcjonalnych i skutecznych środków ograniczających ryzyko systemowe wynikające z wykorzystywania faktu, że użytkownicy, zwłaszcza osoby małoletnie, nie mają wystarczających umiejętności korzystania z mediów i cyfrowego uczenia się; wzywa bardzo duże platformy internetowe do przeprowadzania ocen skutków dotyczących umiejętności korzystania z mediów i cyfrowego uczenia się w celu proaktywnego określenia, w jaki sposób projektowanie ich usług może wpływać na zdolność użytkowników do dostępu do treści, tworzenia ich i reagowania na nie;</w:t>
      </w:r>
    </w:p>
    <w:p w14:paraId="6BFF2946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22.</w:t>
      </w:r>
      <w:r w:rsidRPr="003F6A20">
        <w:tab/>
        <w:t>podkreśla, że takie oceny skutków powinny również uwzględniać wpływ na dobrostan użytkowników, ich rozwój poznawczy i społeczno-emocjonalny oraz zdrowie psychiczne, a także ryzyko związane z cechami projektowymi opartymi na zaangażowaniu lub potencjalnie uzależniającymi; apeluje, aby takie oceny były przejrzyste, niezależne i publicznie dostępne;</w:t>
      </w:r>
    </w:p>
    <w:p w14:paraId="36DF5F56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t>23.</w:t>
      </w:r>
      <w:r w:rsidRPr="003F6A20">
        <w:tab/>
        <w:t>wzywa Komisję do zapewnienia skutecznego wdrożenia zobowiązań w zakresie umiejętności korzystania z mediów w ramach kodeksu postępowania w zakresie zwalczania dezinformacji przewidzianego w akcie o usługach cyfrowych;</w:t>
      </w:r>
    </w:p>
    <w:p w14:paraId="3259384A" w14:textId="77777777" w:rsidR="00615C00" w:rsidRPr="003F6A20" w:rsidRDefault="00615C00" w:rsidP="00615C00">
      <w:pPr>
        <w:pStyle w:val="NormalHanging12a"/>
      </w:pPr>
      <w:r w:rsidRPr="003F6A20">
        <w:t>24.</w:t>
      </w:r>
      <w:r w:rsidRPr="003F6A20">
        <w:tab/>
        <w:t xml:space="preserve">wzywa Komisję do uwzględnienia umiejętności korzystania z mediów i cyfrowego uczenia się w przeglądzie wytycznych dotyczących aktu o usługach cyfrowych w sprawie środków zapewniających wysoki poziom prywatności, bezpieczeństwa i ochrony małoletnich w </w:t>
      </w:r>
      <w:proofErr w:type="spellStart"/>
      <w:r w:rsidRPr="003F6A20">
        <w:t>internecie</w:t>
      </w:r>
      <w:proofErr w:type="spellEnd"/>
      <w:r w:rsidRPr="003F6A20">
        <w:t xml:space="preserve"> – w szczególności w odniesieniu do umiejętności korzystania z mediów i środków cyfrowego uczenia się – które platformy internetowe mogłyby przyjmować w celu zapewnienia małoletnim dostosowanego do wieku doświadczenia w </w:t>
      </w:r>
      <w:proofErr w:type="spellStart"/>
      <w:r w:rsidRPr="003F6A20">
        <w:t>internecie</w:t>
      </w:r>
      <w:proofErr w:type="spellEnd"/>
      <w:r w:rsidRPr="003F6A20">
        <w:t>;</w:t>
      </w:r>
    </w:p>
    <w:p w14:paraId="23D144C1" w14:textId="77777777" w:rsidR="00615C00" w:rsidRPr="003F6A20" w:rsidRDefault="00615C00" w:rsidP="00615C00">
      <w:pPr>
        <w:pStyle w:val="NormalHanging12a"/>
      </w:pPr>
      <w:r w:rsidRPr="003F6A20">
        <w:t>25.</w:t>
      </w:r>
      <w:r w:rsidRPr="003F6A20">
        <w:tab/>
        <w:t xml:space="preserve">zachęca Europejską Radę Usług Medialnych do wykorzystania zorganizowanego dialogu na podstawie art. 19 europejskiego aktu o wolności mediów do monitorowania działań podejmowanych przez bardzo duże platformy internetowe w zakresie umiejętności korzystania z mediów i do wzmocnienia dialogu między dostawcami usług medialnych na temat promowania umiejętności korzystania z mediów i cyfrowego uczenia się oraz widoczności renomowanych mediów w </w:t>
      </w:r>
      <w:proofErr w:type="spellStart"/>
      <w:r w:rsidRPr="003F6A20">
        <w:t>internecie</w:t>
      </w:r>
      <w:proofErr w:type="spellEnd"/>
      <w:r w:rsidRPr="003F6A20">
        <w:t>;</w:t>
      </w:r>
    </w:p>
    <w:p w14:paraId="2E4759BC" w14:textId="77777777" w:rsidR="00615C00" w:rsidRPr="003F6A20" w:rsidRDefault="00615C00" w:rsidP="00615C00">
      <w:pPr>
        <w:pStyle w:val="NormalHanging12a"/>
        <w:rPr>
          <w:b/>
          <w:i/>
        </w:rPr>
      </w:pPr>
      <w:r w:rsidRPr="003F6A20">
        <w:t>26.</w:t>
      </w:r>
      <w:r w:rsidRPr="003F6A20">
        <w:tab/>
        <w:t>podkreśla, że polityka w zakresie umiejętności korzystania z mediów musi być w pełni zgodna z wolnością wypowiedzi i pluralizmem mediów oraz powinna wzmacniać pozycję użytkowników bez ograniczania dostępu do różnych źródeł informacji;</w:t>
      </w:r>
    </w:p>
    <w:p w14:paraId="024A4EED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27.</w:t>
      </w:r>
      <w:r w:rsidRPr="003F6A20">
        <w:tab/>
        <w:t xml:space="preserve">podkreśla, że umiejętność korzystania z mediów zależy nie tylko od zdolności użytkowników do krytycznej oceny informacji, ale również od istnienia silnego, niezależnego i rzetelnego dziennikarstwa dostarczającego wiarygodnych, zweryfikowanych i pluralistycznych informacji; wzywa Komisję do zwiększenia wsparcia dla tradycyjnych mediów na szczeblu europejskim, krajowym, regionalnym i lokalnym, biorąc pod uwagę ich zasadniczą rolę w informowaniu obywateli, w tym przez promowanie sprawiedliwego wynagrodzenia za treści dziennikarskie i zapewnienie trwałego finansowania, zwłaszcza za pośrednictwem programów takich jak przyszły program </w:t>
      </w:r>
      <w:proofErr w:type="spellStart"/>
      <w:r w:rsidRPr="003F6A20">
        <w:t>AgoraEU</w:t>
      </w:r>
      <w:proofErr w:type="spellEnd"/>
      <w:r w:rsidRPr="003F6A20">
        <w:t>;</w:t>
      </w:r>
    </w:p>
    <w:p w14:paraId="77C29477" w14:textId="77777777" w:rsidR="00615C00" w:rsidRPr="003F6A20" w:rsidRDefault="00615C00" w:rsidP="00615C00">
      <w:pPr>
        <w:pStyle w:val="NormalHanging12a"/>
      </w:pPr>
      <w:r w:rsidRPr="003F6A20">
        <w:t>28.</w:t>
      </w:r>
      <w:r w:rsidRPr="003F6A20">
        <w:tab/>
        <w:t xml:space="preserve">zwraca się do Komisji o priorytetowe traktowanie działań na rzecz umiejętności korzystania z mediów w ramach programu odporności mediów oraz o dopilnowanie, </w:t>
      </w:r>
      <w:r w:rsidRPr="003F6A20">
        <w:lastRenderedPageBreak/>
        <w:t>aby takie działania docierały do wszystkich kategorii wiekowych (młodzieży, dorosłych i osób starszych) na obszarach wiejskich, oddalonych i miejskich;</w:t>
      </w:r>
    </w:p>
    <w:p w14:paraId="7EC6862D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29.</w:t>
      </w:r>
      <w:r w:rsidRPr="003F6A20">
        <w:tab/>
        <w:t>wzywa państwa członkowskie do dopilnowania, aby krajowe środki na rzecz umiejętności korzystania z mediów obejmowały konkretne strategie informacyjne dla grup znajdujących się w niekorzystnej sytuacji społeczno-ekonomicznej, osób z niepełnosprawnościami, osób mieszkających na obszarach oddalonych i osób o niższym poziomie umiejętności cyfrowych, aby zapobiec pogłębianiu się powszechniejszych nierówności z powodu luki w umiejętnościach korzystania z mediów i w uczeniu się cyfrowym;</w:t>
      </w:r>
    </w:p>
    <w:p w14:paraId="21166150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30.</w:t>
      </w:r>
      <w:r w:rsidRPr="003F6A20">
        <w:tab/>
        <w:t xml:space="preserve">podkreśla potrzebę zapewnienia stabilnego i długoterminowego finansowania UE na rzecz umiejętności korzystania z mediów i cyfrowego uczenia się; wzywa Komisję do priorytetowego traktowania inicjatyw dotyczących umiejętności korzystania z mediów w ramach odpowiednich programów UE, w tym przyszłego programu </w:t>
      </w:r>
      <w:proofErr w:type="spellStart"/>
      <w:r w:rsidRPr="003F6A20">
        <w:t>AgoraEU</w:t>
      </w:r>
      <w:proofErr w:type="spellEnd"/>
      <w:r w:rsidRPr="003F6A20">
        <w:t>, ze szczególnym uwzględnieniem krytycznego myślenia, odporności na dezinformację i pluralizmu mediów;</w:t>
      </w:r>
    </w:p>
    <w:p w14:paraId="72A0025E" w14:textId="77777777" w:rsidR="00615C00" w:rsidRPr="003F6A20" w:rsidRDefault="00615C00" w:rsidP="00615C00">
      <w:pPr>
        <w:pStyle w:val="NormalHanging12a"/>
      </w:pPr>
      <w:r w:rsidRPr="003F6A20">
        <w:t>31.</w:t>
      </w:r>
      <w:r w:rsidRPr="003F6A20">
        <w:tab/>
        <w:t>wzywa grupę ekspertów Komisji ds. umiejętności korzystania z mediów, Europejską Radę Usług Medialnych i Europejską Radę ds. Usług Cyfrowych do ścisłej współpracy w kwestiach związanych z umiejętnością korzystania z mediów i cyfrowym uczeniem się oraz do zapewnienia dalszych wytycznych dotyczących praktycznych działań, które można podjąć na szczeblu krajowym;</w:t>
      </w:r>
    </w:p>
    <w:p w14:paraId="7F87B4D9" w14:textId="77777777" w:rsidR="00615C00" w:rsidRPr="003F6A20" w:rsidRDefault="00615C00" w:rsidP="00615C00">
      <w:pPr>
        <w:pStyle w:val="NormalHanging12a"/>
      </w:pPr>
      <w:r w:rsidRPr="003F6A20">
        <w:t>32.</w:t>
      </w:r>
      <w:r w:rsidRPr="003F6A20">
        <w:tab/>
        <w:t xml:space="preserve">zwraca się do Komisji o wykorzystanie Europejskiego Tygodnia Umiejętności Korzystania z Mediów jako corocznego sztandarowego wydarzenia w celu zaprezentowania przykładów najlepszych praktyk i zapewnienia </w:t>
      </w:r>
      <w:proofErr w:type="spellStart"/>
      <w:r w:rsidRPr="003F6A20">
        <w:t>inkluzywnego</w:t>
      </w:r>
      <w:proofErr w:type="spellEnd"/>
      <w:r w:rsidRPr="003F6A20">
        <w:t xml:space="preserve"> forum dyskusji i budowania zdolności, a także o zachęcanie szerokiego grona zainteresowanych stron i instytucji, w tym biur kontaktowych Parlamentu Europejskiego w państwach członkowskich i organizacji międzynarodowych, do aktywnego udziału w promowaniu umiejętności korzystania z mediów i cyfrowego uczenia się, przy zapewnieniu, aby takie wydarzenia odzwierciedlały pluralizm poglądów;</w:t>
      </w:r>
    </w:p>
    <w:p w14:paraId="1431EDD5" w14:textId="77777777" w:rsidR="00615C00" w:rsidRPr="003F6A20" w:rsidRDefault="00615C00" w:rsidP="00615C00">
      <w:pPr>
        <w:pStyle w:val="Normal12a"/>
        <w:rPr>
          <w:b/>
          <w:i/>
          <w:iCs/>
        </w:rPr>
      </w:pPr>
      <w:r w:rsidRPr="003F6A20">
        <w:rPr>
          <w:b/>
          <w:i/>
        </w:rPr>
        <w:t xml:space="preserve">Umiejętność korzystania z mediów i cyfrowe uczenie się: promowanie holistycznego systemu edukacji zorientowanego na przyszłość </w:t>
      </w:r>
    </w:p>
    <w:p w14:paraId="5A7DC7BD" w14:textId="77777777" w:rsidR="00615C00" w:rsidRPr="003F6A20" w:rsidRDefault="00615C00" w:rsidP="00615C00">
      <w:pPr>
        <w:pStyle w:val="NormalHanging12a"/>
      </w:pPr>
      <w:r w:rsidRPr="003F6A20">
        <w:t>33.</w:t>
      </w:r>
      <w:r w:rsidRPr="003F6A20">
        <w:tab/>
        <w:t>wzywa Komisję do uznania umiejętności korzystania z mediów i edukacji cyfrowej za podstawowe umiejętności wszystkich obywateli; wzywa państwa członkowskie do włączenia umiejętności korzystania z mediów i cyfrowego uczenia się do ich programów nauczania w sposób dostosowany do wieku; podkreśla, że narzędzia analogowe mogą być wykorzystywane do wspierania umiejętności korzystania z mediów;</w:t>
      </w:r>
    </w:p>
    <w:p w14:paraId="266482D1" w14:textId="77777777" w:rsidR="00615C00" w:rsidRPr="003F6A20" w:rsidRDefault="00615C00" w:rsidP="00615C00">
      <w:pPr>
        <w:pStyle w:val="NormalHanging12a"/>
      </w:pPr>
      <w:r w:rsidRPr="003F6A20">
        <w:t>34.</w:t>
      </w:r>
      <w:r w:rsidRPr="003F6A20">
        <w:tab/>
        <w:t xml:space="preserve">wzywa Komisję do zwrócenia szczególnej uwagi na umiejętność korzystania z mediów w planie działania na rzecz przyszłości edukacji cyfrowej i umiejętności cyfrowych do 2030 r. oraz na wzmocnienie kompetencji cyfrowych, zapobieganie </w:t>
      </w:r>
      <w:proofErr w:type="spellStart"/>
      <w:r w:rsidRPr="003F6A20">
        <w:t>cyberszykanowaniu</w:t>
      </w:r>
      <w:proofErr w:type="spellEnd"/>
      <w:r w:rsidRPr="003F6A20">
        <w:t xml:space="preserve"> i promowanie dobrostanu cyfrowego;</w:t>
      </w:r>
    </w:p>
    <w:p w14:paraId="78FB47A4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35.</w:t>
      </w:r>
      <w:r w:rsidRPr="003F6A20">
        <w:tab/>
        <w:t xml:space="preserve">wzywa Komisję, aby we współpracy z państwami członkowskimi zapewniła europejski przewodnik i inne materiały edukacyjne dotyczące umiejętności korzystania z mediów </w:t>
      </w:r>
      <w:r w:rsidRPr="003F6A20">
        <w:lastRenderedPageBreak/>
        <w:t xml:space="preserve">dostosowane do wszystkich grup wiekowych i poziomów kształcenia oraz by organizowała regularne warsztaty poświęcone krytycznemu myśleniu, weryfikacji źródeł informacji, pluralizmie mediów, odpowiedzialnym udziale mediów oraz roli organizacji weryfikujących fakty, dziennikarskich organów samoregulacyjnych i mediów społecznościowych, a także wytyczne dla rodziców i opiekunów dotyczące dostosowanego do wieku korzystania z mediów, zagrożeń w </w:t>
      </w:r>
      <w:proofErr w:type="spellStart"/>
      <w:r w:rsidRPr="003F6A20">
        <w:t>internecie</w:t>
      </w:r>
      <w:proofErr w:type="spellEnd"/>
      <w:r w:rsidRPr="003F6A20">
        <w:t xml:space="preserve"> i narzędzi sztucznej inteligencji;</w:t>
      </w:r>
    </w:p>
    <w:p w14:paraId="5AF855DD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36.</w:t>
      </w:r>
      <w:r w:rsidRPr="003F6A20">
        <w:tab/>
        <w:t>zachęca państwa członkowskie do konsultowania się i współpracy z edukatorami, naukowcami, środowiskiem akademickim, organizacjami społeczeństwa obywatelskiego, rodzicami, opiekunami i organizacjami młodzieżowymi przy opracowywaniu i ocenie inicjatyw dotyczących umiejętności korzystania z mediów i cyfrowego uczenia się, aby zadbać o to, by odpowiadały one potrzebom osób uczących się i edukatorów;</w:t>
      </w:r>
    </w:p>
    <w:p w14:paraId="0402DFB9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37.</w:t>
      </w:r>
      <w:r w:rsidRPr="003F6A20">
        <w:tab/>
        <w:t>wzywa państwa członkowskie i Komisję do dopilnowania, aby stosowanie cyfrowych narzędzi uczenia się w edukacji było wolne od nadmiernych wpływów komercyjnych; podkreśla, że współpraca z podmiotami sektora prywatnego powinna być przejrzysta, ukierunkowana na edukację i leżeć w interesie publicznym;</w:t>
      </w:r>
    </w:p>
    <w:p w14:paraId="7D4D66EA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38.</w:t>
      </w:r>
      <w:r w:rsidRPr="003F6A20">
        <w:tab/>
        <w:t>wzywa państwa członkowskie do wzmocnienia umiejętności korzystania z mediów i programów cyfrowego uczenia się, aby umożliwić użytkownikom rozróżnienie między treściami redakcyjnymi, komercyjnymi i syntetycznymi oraz zidentyfikowanie technik perswazyjnych; podkreśla potrzebę włączenia kompetencji w zakresie AI do tych programów, aby umożliwić rozpoznawanie treści generowanych przez AI i związanego z nimi ryzyka manipulacji i informacji wprowadzających w błąd;</w:t>
      </w:r>
    </w:p>
    <w:p w14:paraId="1D720D61" w14:textId="77777777" w:rsidR="00615C00" w:rsidRPr="003F6A20" w:rsidRDefault="00615C00" w:rsidP="00615C00">
      <w:pPr>
        <w:pStyle w:val="NormalHanging12a"/>
      </w:pPr>
      <w:r w:rsidRPr="003F6A20">
        <w:t>39.</w:t>
      </w:r>
      <w:r w:rsidRPr="003F6A20">
        <w:tab/>
        <w:t>wzywa Komisję, aby w ścisłej współpracy z państwami członkowskimi pilnie i kompleksowo oceniła wpływ urządzeń i usług cyfrowych, w tym narzędzi AI, w środowisku edukacyjnym na efekty uczenia się, rozwój poznawczy, dobrostan, zdrowie psychiczne i poziom, aby wspierać ich odpowiedzialne stosowanie w szkołach; wzywa Komisję do przedstawienia, w razie potrzeby, propozycji środków politycznych, które mogłyby przewidywać ukierunkowane ograniczenia lub zakazy, zwłaszcza we wczesnej edukacji, w celu zadbania o to, aby wykorzystanie technologii cyfrowych w edukacji było ściśle uzasadnione z pedagogicznego punktu widzenia, dostosowane do wieku, proporcjonalne i oparte na niezależnych dowodach naukowych, tak aby narzędzia te wspierały procesy uczenia się, a nie je zastępowały;</w:t>
      </w:r>
    </w:p>
    <w:p w14:paraId="3B780B25" w14:textId="77777777" w:rsidR="00615C00" w:rsidRPr="003F6A20" w:rsidRDefault="00615C00" w:rsidP="00615C00">
      <w:pPr>
        <w:pStyle w:val="NormalHanging12a"/>
      </w:pPr>
      <w:r w:rsidRPr="003F6A20">
        <w:t>40.</w:t>
      </w:r>
      <w:r w:rsidRPr="003F6A20">
        <w:tab/>
        <w:t xml:space="preserve">zachęca państwa członkowskie do zapewnienia ustawicznego szkolenia zarówno edukatorów – w ramach kształcenia formalnego, </w:t>
      </w:r>
      <w:proofErr w:type="spellStart"/>
      <w:r w:rsidRPr="003F6A20">
        <w:t>pozaformalnego</w:t>
      </w:r>
      <w:proofErr w:type="spellEnd"/>
      <w:r w:rsidRPr="003F6A20">
        <w:t xml:space="preserve"> lub nieformalnego – jak i bibliotekarzy w zakresie edukacji medialnej i cyfrowej, wspieranego odpowiednim finansowaniem; wzywa Komisję do wzmocnienia szkoleń w zakresie umiejętności korzystania z mediów za pośrednictwem centrów bezpieczniejszego </w:t>
      </w:r>
      <w:proofErr w:type="spellStart"/>
      <w:r w:rsidRPr="003F6A20">
        <w:t>internetu</w:t>
      </w:r>
      <w:proofErr w:type="spellEnd"/>
      <w:r w:rsidRPr="003F6A20">
        <w:t xml:space="preserve">, platformy „Lepszy </w:t>
      </w:r>
      <w:proofErr w:type="spellStart"/>
      <w:r w:rsidRPr="003F6A20">
        <w:t>internet</w:t>
      </w:r>
      <w:proofErr w:type="spellEnd"/>
      <w:r w:rsidRPr="003F6A20">
        <w:t xml:space="preserve"> dla dzieci” i odpowiednich platform UE;</w:t>
      </w:r>
    </w:p>
    <w:p w14:paraId="07505A2B" w14:textId="77777777" w:rsidR="00615C00" w:rsidRPr="003F6A20" w:rsidRDefault="00615C00" w:rsidP="00615C00">
      <w:pPr>
        <w:pStyle w:val="NormalHanging12a"/>
      </w:pPr>
      <w:r w:rsidRPr="003F6A20">
        <w:t>41.</w:t>
      </w:r>
      <w:r w:rsidRPr="003F6A20">
        <w:tab/>
        <w:t xml:space="preserve">wzywa Komisję i odpowiednie krajowe władze lub organy regulacyjne do przeprowadzenia edukacyjnych i publicznych kampanii uświadamiających na temat umiejętności korzystania z mediów i cyfrowego uczenia się w celu zwiększenia świadomości na temat sposobu, w jaki środowiska cyfrowe kształtują zachowania w </w:t>
      </w:r>
      <w:proofErr w:type="spellStart"/>
      <w:r w:rsidRPr="003F6A20">
        <w:t>internecie</w:t>
      </w:r>
      <w:proofErr w:type="spellEnd"/>
      <w:r w:rsidRPr="003F6A20">
        <w:t xml:space="preserve">, a także na temat dostępnych środków kontroli rodzicielskiej, istniejących zobowiązań prawnych platform internetowych oraz dostępnych mechanizmów </w:t>
      </w:r>
      <w:r w:rsidRPr="003F6A20">
        <w:lastRenderedPageBreak/>
        <w:t>wsparcia, w tym organizacji zapewniających przystępne wsparcie w zakresie zdrowia psychicznego;</w:t>
      </w:r>
    </w:p>
    <w:p w14:paraId="309FE14A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42.</w:t>
      </w:r>
      <w:r w:rsidRPr="003F6A20">
        <w:tab/>
        <w:t>wzywa Komisję i państwa członkowskie do promowania umiejętności korzystania z mediów przez całe życie i cyfrowego uczenia się wszystkich obywateli, skierowanego do dorosłych, osób starszych i słabszych grup społecznych;</w:t>
      </w:r>
    </w:p>
    <w:p w14:paraId="00929A2B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43.</w:t>
      </w:r>
      <w:r w:rsidRPr="003F6A20">
        <w:tab/>
        <w:t>uznaje rolę bibliotek publicznych, ośrodków kultury i organizacji społeczeństwa obywatelskiego jako zaufanych, dostępnych i integracyjnych ośrodków nabywania umiejętności korzystania z mediów i cyfrowego uczenia się, które przyczyniają się do równego dostępu do wiedzy, kultury i informacji; wzywa państwa członkowskie do zacieśnienia partnerstwa i zwiększenia inwestycji w tę kluczową infrastrukturę lokalną poprzez odpowiednie finansowanie, szkolenie personelu i dostęp do aktualnych narzędzi i zasobów cyfrowych;</w:t>
      </w:r>
    </w:p>
    <w:p w14:paraId="133125A3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44.</w:t>
      </w:r>
      <w:r w:rsidRPr="003F6A20">
        <w:tab/>
        <w:t>wzywa Komisję i państwa członkowskie do wspierania, we współpracy z podmiotami interesu publicznego i odpowiednimi zainteresowanymi stronami, rozwoju odpornych i wiarygodnych ekosystemów cyfrowych, które wzmacniają odporność cyfrową Europy, pluralizm mediów i poprawiają dostęp obywateli do dokładnych i wiarygodnych informacji;</w:t>
      </w:r>
    </w:p>
    <w:p w14:paraId="5F7D92AA" w14:textId="77777777" w:rsidR="00615C00" w:rsidRPr="003F6A20" w:rsidRDefault="00615C00" w:rsidP="00615C00">
      <w:pPr>
        <w:pStyle w:val="NormalHanging12a"/>
        <w:rPr>
          <w:bCs/>
          <w:iCs/>
        </w:rPr>
      </w:pPr>
      <w:r w:rsidRPr="003F6A20">
        <w:t>45.</w:t>
      </w:r>
      <w:r w:rsidRPr="003F6A20">
        <w:tab/>
        <w:t>wzywa państwa członkowskie oraz ich władze regionalne i lokalne do propagowania umiejętności korzystania z mediów i edukacji cyfrowej w innowacyjny i kreatywny sposób w środowisku miejskim, zarówno fizycznym, jak i cyfrowym, w celu wspierania demokratycznego uczestnictwa i zaangażowania obywatelskiego; podkreśla, że miasta odgrywają kluczową rolę w zapewnianiu bezpieczeństwa i ochrony przestrzeni publicznej, na którą w coraz większym stopniu wpływa środowisko informacyjne;</w:t>
      </w:r>
    </w:p>
    <w:p w14:paraId="6F706ECA" w14:textId="77777777" w:rsidR="00615C00" w:rsidRPr="003F6A20" w:rsidRDefault="00615C00" w:rsidP="00615C00">
      <w:pPr>
        <w:pStyle w:val="NormalCenter12a"/>
      </w:pPr>
    </w:p>
    <w:p w14:paraId="47573A9C" w14:textId="77777777" w:rsidR="00615C00" w:rsidRPr="003F6A20" w:rsidRDefault="00615C00" w:rsidP="00615C00">
      <w:pPr>
        <w:pStyle w:val="NormalCenter12a"/>
      </w:pPr>
      <w:r w:rsidRPr="003F6A20">
        <w:t>°</w:t>
      </w:r>
      <w:r w:rsidRPr="003F6A20">
        <w:tab/>
        <w:t>°</w:t>
      </w:r>
    </w:p>
    <w:p w14:paraId="78705CFE" w14:textId="0110DF2C" w:rsidR="003F6A20" w:rsidRPr="003F6A20" w:rsidRDefault="00615C00" w:rsidP="003F6A20">
      <w:pPr>
        <w:pStyle w:val="NormalHanging12a"/>
      </w:pPr>
      <w:r w:rsidRPr="003F6A20">
        <w:t>46.</w:t>
      </w:r>
      <w:r w:rsidRPr="003F6A20">
        <w:tab/>
        <w:t>zobowiązuje swoją przewodniczącą do przekazania niniejszej rezolucji Radzie i Komisji.</w:t>
      </w:r>
    </w:p>
    <w:p w14:paraId="1331EC6A" w14:textId="7A9A6623" w:rsidR="00E365E1" w:rsidRPr="003F6A20" w:rsidRDefault="00E365E1" w:rsidP="00AB0736"/>
    <w:sectPr w:rsidR="00E365E1" w:rsidRPr="003F6A20" w:rsidSect="003F6A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01113" w14:textId="77777777" w:rsidR="00AB0736" w:rsidRPr="003F6A20" w:rsidRDefault="00AB0736">
      <w:r w:rsidRPr="003F6A20">
        <w:separator/>
      </w:r>
    </w:p>
  </w:endnote>
  <w:endnote w:type="continuationSeparator" w:id="0">
    <w:p w14:paraId="0D96C4E8" w14:textId="77777777" w:rsidR="00AB0736" w:rsidRPr="003F6A20" w:rsidRDefault="00AB0736">
      <w:r w:rsidRPr="003F6A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18D6" w14:textId="77777777" w:rsidR="00064002" w:rsidRPr="003F6A2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1EAC" w14:textId="77777777" w:rsidR="00064002" w:rsidRPr="003F6A2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D390" w14:textId="77777777" w:rsidR="00064002" w:rsidRPr="003F6A2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0B7FE" w14:textId="77777777" w:rsidR="00AB0736" w:rsidRPr="003F6A20" w:rsidRDefault="00AB0736">
      <w:r w:rsidRPr="003F6A20">
        <w:separator/>
      </w:r>
    </w:p>
  </w:footnote>
  <w:footnote w:type="continuationSeparator" w:id="0">
    <w:p w14:paraId="4746BA19" w14:textId="77777777" w:rsidR="00AB0736" w:rsidRPr="003F6A20" w:rsidRDefault="00AB0736">
      <w:r w:rsidRPr="003F6A20">
        <w:continuationSeparator/>
      </w:r>
    </w:p>
  </w:footnote>
  <w:footnote w:id="1">
    <w:p w14:paraId="37BD56D3" w14:textId="2D63AA4B" w:rsidR="00615C00" w:rsidRPr="003F6A20" w:rsidRDefault="00615C00" w:rsidP="003F6A20">
      <w:pPr>
        <w:pStyle w:val="FootnoteText"/>
        <w:ind w:left="567" w:hanging="567"/>
        <w:rPr>
          <w:sz w:val="24"/>
          <w:lang w:val="pl-PL"/>
        </w:rPr>
      </w:pPr>
      <w:r w:rsidRPr="003F6A20">
        <w:rPr>
          <w:sz w:val="24"/>
          <w:vertAlign w:val="superscript"/>
          <w:lang w:val="pl-PL"/>
        </w:rPr>
        <w:t>1</w:t>
      </w:r>
      <w:r w:rsidR="003F6A20" w:rsidRPr="003F6A20">
        <w:rPr>
          <w:sz w:val="24"/>
          <w:vertAlign w:val="superscript"/>
          <w:lang w:val="pl-PL"/>
        </w:rPr>
        <w:t xml:space="preserve"> </w:t>
      </w:r>
      <w:r w:rsidR="003F6A20" w:rsidRPr="003F6A20">
        <w:rPr>
          <w:sz w:val="24"/>
          <w:vertAlign w:val="superscript"/>
          <w:lang w:val="pl-PL"/>
        </w:rPr>
        <w:tab/>
      </w:r>
      <w:r w:rsidRPr="003F6A20">
        <w:rPr>
          <w:sz w:val="24"/>
          <w:lang w:val="pl-PL"/>
        </w:rPr>
        <w:t xml:space="preserve">Dz.U. L 303 z 28.11.2018, s. 69, ELI: </w:t>
      </w:r>
      <w:hyperlink r:id="rId1" w:tgtFrame="http://data.europa.eu/eli/dir/2018/1808/oj" w:history="1">
        <w:r w:rsidRPr="003F6A20">
          <w:rPr>
            <w:rStyle w:val="Hyperlink"/>
            <w:sz w:val="24"/>
            <w:lang w:val="pl-PL"/>
          </w:rPr>
          <w:t>http://data.europa.eu/eli/dir/2018/1808/oj</w:t>
        </w:r>
      </w:hyperlink>
      <w:r w:rsidRPr="003F6A20">
        <w:rPr>
          <w:sz w:val="24"/>
          <w:lang w:val="pl-PL"/>
        </w:rPr>
        <w:t>.</w:t>
      </w:r>
    </w:p>
  </w:footnote>
  <w:footnote w:id="2">
    <w:p w14:paraId="75B8BE81" w14:textId="135BF9E9" w:rsidR="00615C00" w:rsidRPr="003F6A20" w:rsidRDefault="00615C00" w:rsidP="003F6A20">
      <w:pPr>
        <w:pStyle w:val="FootnoteText"/>
        <w:ind w:left="567" w:hanging="567"/>
        <w:rPr>
          <w:sz w:val="24"/>
          <w:lang w:val="pl-PL"/>
        </w:rPr>
      </w:pPr>
      <w:r w:rsidRPr="003F6A20">
        <w:rPr>
          <w:rStyle w:val="FootnoteReference"/>
          <w:sz w:val="24"/>
          <w:lang w:val="pl-PL"/>
        </w:rPr>
        <w:footnoteRef/>
      </w:r>
      <w:r w:rsidR="003F6A20" w:rsidRPr="003F6A20">
        <w:rPr>
          <w:sz w:val="24"/>
          <w:lang w:val="pl-PL"/>
        </w:rPr>
        <w:t xml:space="preserve"> </w:t>
      </w:r>
      <w:r w:rsidR="003F6A20" w:rsidRPr="003F6A20">
        <w:rPr>
          <w:sz w:val="24"/>
          <w:lang w:val="pl-PL"/>
        </w:rPr>
        <w:tab/>
      </w:r>
      <w:r w:rsidRPr="003F6A20">
        <w:rPr>
          <w:sz w:val="24"/>
          <w:lang w:val="pl-PL"/>
        </w:rPr>
        <w:t>Dz.U. L, 2024/1083, 17.4.2024, ELI: </w:t>
      </w:r>
      <w:hyperlink r:id="rId2" w:tgtFrame="_blank" w:tooltip="Dostęp do dokumentu poprzez identyfikator URI w systemie ELI." w:history="1">
        <w:r w:rsidRPr="003F6A20">
          <w:rPr>
            <w:rStyle w:val="Hyperlink"/>
            <w:sz w:val="24"/>
            <w:lang w:val="pl-PL"/>
          </w:rPr>
          <w:t>http://data.europa.eu/eli/reg/2024/1083/oj</w:t>
        </w:r>
      </w:hyperlink>
      <w:r w:rsidRPr="003F6A20">
        <w:rPr>
          <w:sz w:val="24"/>
          <w:lang w:val="pl-PL"/>
        </w:rPr>
        <w:t>.</w:t>
      </w:r>
    </w:p>
  </w:footnote>
  <w:footnote w:id="3">
    <w:p w14:paraId="4B71639B" w14:textId="6DE31DAC" w:rsidR="00615C00" w:rsidRPr="003F6A20" w:rsidRDefault="00615C00" w:rsidP="003F6A20">
      <w:pPr>
        <w:pStyle w:val="FootnoteText"/>
        <w:ind w:left="567" w:hanging="567"/>
        <w:rPr>
          <w:sz w:val="24"/>
          <w:lang w:val="pl-PL"/>
        </w:rPr>
      </w:pPr>
      <w:r w:rsidRPr="003F6A20">
        <w:rPr>
          <w:rStyle w:val="FootnoteReference"/>
          <w:sz w:val="24"/>
          <w:lang w:val="pl-PL"/>
        </w:rPr>
        <w:footnoteRef/>
      </w:r>
      <w:r w:rsidR="003F6A20" w:rsidRPr="003F6A20">
        <w:rPr>
          <w:sz w:val="24"/>
          <w:lang w:val="pl-PL"/>
        </w:rPr>
        <w:t xml:space="preserve"> </w:t>
      </w:r>
      <w:r w:rsidR="003F6A20" w:rsidRPr="003F6A20">
        <w:rPr>
          <w:sz w:val="24"/>
          <w:lang w:val="pl-PL"/>
        </w:rPr>
        <w:tab/>
      </w:r>
      <w:r w:rsidRPr="003F6A20">
        <w:rPr>
          <w:sz w:val="24"/>
          <w:lang w:val="pl-PL"/>
        </w:rPr>
        <w:t>Dz.U. L 277 z 27.10.2022, s. 1, ELI: </w:t>
      </w:r>
      <w:hyperlink r:id="rId3" w:tooltip="Dostęp do dokumentu poprzez identyfikator URI w systemie ELI." w:history="1">
        <w:r w:rsidRPr="003F6A20">
          <w:rPr>
            <w:rStyle w:val="Hyperlink"/>
            <w:sz w:val="24"/>
            <w:lang w:val="pl-PL"/>
          </w:rPr>
          <w:t>http://data.europa.eu/eli/reg/2022/2065/oj</w:t>
        </w:r>
      </w:hyperlink>
      <w:r w:rsidRPr="003F6A20">
        <w:rPr>
          <w:sz w:val="24"/>
          <w:lang w:val="pl-PL"/>
        </w:rPr>
        <w:t>.</w:t>
      </w:r>
    </w:p>
  </w:footnote>
  <w:footnote w:id="4">
    <w:p w14:paraId="58071E2E" w14:textId="4F0E73AF" w:rsidR="00615C00" w:rsidRPr="003F6A20" w:rsidRDefault="00615C00" w:rsidP="003F6A20">
      <w:pPr>
        <w:pStyle w:val="FootnoteText"/>
        <w:ind w:left="567" w:hanging="567"/>
        <w:rPr>
          <w:sz w:val="24"/>
          <w:lang w:val="pl-PL"/>
        </w:rPr>
      </w:pPr>
      <w:r w:rsidRPr="003F6A20">
        <w:rPr>
          <w:rStyle w:val="FootnoteReference"/>
          <w:sz w:val="24"/>
          <w:lang w:val="pl-PL"/>
        </w:rPr>
        <w:footnoteRef/>
      </w:r>
      <w:r w:rsidR="003F6A20" w:rsidRPr="003F6A20">
        <w:rPr>
          <w:sz w:val="24"/>
          <w:lang w:val="pl-PL"/>
        </w:rPr>
        <w:t xml:space="preserve"> </w:t>
      </w:r>
      <w:r w:rsidR="003F6A20" w:rsidRPr="003F6A20">
        <w:rPr>
          <w:sz w:val="24"/>
          <w:lang w:val="pl-PL"/>
        </w:rPr>
        <w:tab/>
      </w:r>
      <w:r w:rsidRPr="003F6A20">
        <w:rPr>
          <w:sz w:val="24"/>
          <w:lang w:val="pl-PL"/>
        </w:rPr>
        <w:t>Dz.U. L, 2024/1689, 12.7.2024, ELI: </w:t>
      </w:r>
      <w:hyperlink r:id="rId4" w:tgtFrame="_blank" w:tooltip="Dostęp do dokumentu poprzez identyfikator URI w systemie ELI." w:history="1">
        <w:r w:rsidRPr="003F6A20">
          <w:rPr>
            <w:rStyle w:val="Hyperlink"/>
            <w:sz w:val="24"/>
            <w:lang w:val="pl-PL"/>
          </w:rPr>
          <w:t>http://data.europa.eu/eli/reg/2024/1689/oj</w:t>
        </w:r>
      </w:hyperlink>
      <w:r w:rsidRPr="003F6A20">
        <w:rPr>
          <w:sz w:val="24"/>
          <w:lang w:val="pl-PL"/>
        </w:rPr>
        <w:t>.</w:t>
      </w:r>
    </w:p>
  </w:footnote>
  <w:footnote w:id="5">
    <w:p w14:paraId="241DA1A1" w14:textId="53005C68" w:rsidR="00615C00" w:rsidRPr="003F6A20" w:rsidRDefault="00615C00" w:rsidP="003F6A20">
      <w:pPr>
        <w:pStyle w:val="FootnoteText"/>
        <w:ind w:left="567" w:hanging="567"/>
        <w:rPr>
          <w:sz w:val="24"/>
          <w:lang w:val="pl-PL"/>
        </w:rPr>
      </w:pPr>
      <w:r w:rsidRPr="003F6A20">
        <w:rPr>
          <w:rStyle w:val="FootnoteReference"/>
          <w:sz w:val="24"/>
          <w:lang w:val="pl-PL"/>
        </w:rPr>
        <w:footnoteRef/>
      </w:r>
      <w:r w:rsidR="003F6A20" w:rsidRPr="003F6A20">
        <w:rPr>
          <w:sz w:val="24"/>
          <w:lang w:val="pl-PL"/>
        </w:rPr>
        <w:t xml:space="preserve"> </w:t>
      </w:r>
      <w:r w:rsidR="003F6A20" w:rsidRPr="003F6A20">
        <w:rPr>
          <w:sz w:val="24"/>
          <w:lang w:val="pl-PL"/>
        </w:rPr>
        <w:tab/>
      </w:r>
      <w:r w:rsidRPr="003F6A20">
        <w:rPr>
          <w:sz w:val="24"/>
          <w:lang w:val="pl-PL"/>
        </w:rPr>
        <w:t xml:space="preserve">Dz.U. C 494 z 8.12.2021, s. 2. </w:t>
      </w:r>
    </w:p>
  </w:footnote>
  <w:footnote w:id="6">
    <w:p w14:paraId="1FCE6BF1" w14:textId="41D66109" w:rsidR="00615C00" w:rsidRPr="003F6A20" w:rsidRDefault="00615C00" w:rsidP="003F6A20">
      <w:pPr>
        <w:pStyle w:val="FootnoteText"/>
        <w:ind w:left="567" w:hanging="567"/>
        <w:rPr>
          <w:sz w:val="24"/>
          <w:lang w:val="pl-PL"/>
        </w:rPr>
      </w:pPr>
      <w:r w:rsidRPr="003F6A20">
        <w:rPr>
          <w:rStyle w:val="FootnoteReference"/>
          <w:sz w:val="24"/>
          <w:lang w:val="pl-PL"/>
        </w:rPr>
        <w:footnoteRef/>
      </w:r>
      <w:r w:rsidR="003F6A20" w:rsidRPr="003F6A20">
        <w:rPr>
          <w:sz w:val="24"/>
          <w:lang w:val="pl-PL"/>
        </w:rPr>
        <w:t xml:space="preserve"> </w:t>
      </w:r>
      <w:r w:rsidR="003F6A20" w:rsidRPr="003F6A20">
        <w:rPr>
          <w:sz w:val="24"/>
          <w:lang w:val="pl-PL"/>
        </w:rPr>
        <w:tab/>
      </w:r>
      <w:r w:rsidRPr="003F6A20">
        <w:rPr>
          <w:sz w:val="24"/>
          <w:lang w:val="pl-PL"/>
        </w:rPr>
        <w:t>Dz.U. C, C/2026/1708, 24.4.2026, ELI: </w:t>
      </w:r>
      <w:hyperlink r:id="rId5" w:tgtFrame="_blank" w:tooltip="Dostęp do dokumentu poprzez identyfikator URI w systemie ELI." w:history="1">
        <w:r w:rsidRPr="003F6A20">
          <w:rPr>
            <w:rStyle w:val="Hyperlink"/>
            <w:sz w:val="24"/>
            <w:lang w:val="pl-PL"/>
          </w:rPr>
          <w:t>http://data.europa.eu/eli/C/2026/1708/oj</w:t>
        </w:r>
      </w:hyperlink>
      <w:r w:rsidRPr="003F6A20">
        <w:rPr>
          <w:sz w:val="24"/>
          <w:lang w:val="pl-PL"/>
        </w:rPr>
        <w:t>.</w:t>
      </w:r>
    </w:p>
  </w:footnote>
  <w:footnote w:id="7">
    <w:p w14:paraId="4D0FB6D8" w14:textId="6002BC1E" w:rsidR="00615C00" w:rsidRPr="003F6A20" w:rsidRDefault="00615C00" w:rsidP="003F6A20">
      <w:pPr>
        <w:pStyle w:val="FootnoteText"/>
        <w:ind w:left="567" w:hanging="567"/>
        <w:rPr>
          <w:sz w:val="24"/>
          <w:lang w:val="pl-PL"/>
        </w:rPr>
      </w:pPr>
      <w:r w:rsidRPr="003F6A20">
        <w:rPr>
          <w:rStyle w:val="FootnoteReference"/>
          <w:sz w:val="24"/>
          <w:lang w:val="pl-PL"/>
        </w:rPr>
        <w:footnoteRef/>
      </w:r>
      <w:r w:rsidR="003F6A20" w:rsidRPr="003F6A20">
        <w:rPr>
          <w:sz w:val="24"/>
          <w:lang w:val="pl-PL"/>
        </w:rPr>
        <w:t xml:space="preserve"> </w:t>
      </w:r>
      <w:r w:rsidR="003F6A20" w:rsidRPr="003F6A20">
        <w:rPr>
          <w:sz w:val="24"/>
          <w:lang w:val="pl-PL"/>
        </w:rPr>
        <w:tab/>
      </w:r>
      <w:r w:rsidRPr="003F6A20">
        <w:rPr>
          <w:sz w:val="24"/>
          <w:lang w:val="pl-PL"/>
        </w:rPr>
        <w:t>Dz.U. C 456 z 18.12.2018, s. 1.</w:t>
      </w:r>
    </w:p>
  </w:footnote>
  <w:footnote w:id="8">
    <w:p w14:paraId="6EE66272" w14:textId="336E3F2C" w:rsidR="00615C00" w:rsidRPr="003F6A20" w:rsidRDefault="00615C00" w:rsidP="003F6A20">
      <w:pPr>
        <w:pStyle w:val="FootnoteText"/>
        <w:ind w:left="567" w:hanging="567"/>
        <w:rPr>
          <w:sz w:val="24"/>
          <w:lang w:val="pl-PL"/>
        </w:rPr>
      </w:pPr>
      <w:r w:rsidRPr="003F6A20">
        <w:rPr>
          <w:rStyle w:val="FootnoteReference"/>
          <w:sz w:val="24"/>
          <w:lang w:val="pl-PL"/>
        </w:rPr>
        <w:footnoteRef/>
      </w:r>
      <w:r w:rsidR="003F6A20" w:rsidRPr="003F6A20">
        <w:rPr>
          <w:sz w:val="24"/>
          <w:lang w:val="pl-PL"/>
        </w:rPr>
        <w:t xml:space="preserve"> </w:t>
      </w:r>
      <w:r w:rsidR="003F6A20" w:rsidRPr="003F6A20">
        <w:rPr>
          <w:sz w:val="24"/>
          <w:lang w:val="pl-PL"/>
        </w:rPr>
        <w:tab/>
      </w:r>
      <w:r w:rsidRPr="003F6A20">
        <w:rPr>
          <w:sz w:val="24"/>
          <w:lang w:val="pl-PL"/>
        </w:rPr>
        <w:t>Dz.U. C, C/2025/5519, 10.10.2025, ELI: </w:t>
      </w:r>
      <w:hyperlink r:id="rId6" w:tgtFrame="_blank" w:tooltip="Dostęp do dokumentu poprzez identyfikator URI w systemie ELI." w:history="1">
        <w:r w:rsidRPr="003F6A20">
          <w:rPr>
            <w:rStyle w:val="Hyperlink"/>
            <w:sz w:val="24"/>
            <w:lang w:val="pl-PL"/>
          </w:rPr>
          <w:t>http://data.europa.eu/eli/C/2025/5519/oj</w:t>
        </w:r>
      </w:hyperlink>
      <w:r w:rsidRPr="003F6A20">
        <w:rPr>
          <w:sz w:val="24"/>
          <w:lang w:val="pl-PL"/>
        </w:rPr>
        <w:t>.</w:t>
      </w:r>
    </w:p>
  </w:footnote>
  <w:footnote w:id="9">
    <w:p w14:paraId="175B916C" w14:textId="184094EB" w:rsidR="00615C00" w:rsidRPr="003F6A20" w:rsidRDefault="00615C00" w:rsidP="003F6A20">
      <w:pPr>
        <w:pStyle w:val="FootnoteText"/>
        <w:ind w:left="567" w:hanging="567"/>
        <w:rPr>
          <w:sz w:val="24"/>
          <w:lang w:val="pl-PL"/>
        </w:rPr>
      </w:pPr>
      <w:r w:rsidRPr="003F6A20">
        <w:rPr>
          <w:rStyle w:val="FootnoteReference"/>
          <w:sz w:val="24"/>
          <w:lang w:val="pl-PL"/>
        </w:rPr>
        <w:footnoteRef/>
      </w:r>
      <w:r w:rsidR="003F6A20" w:rsidRPr="003F6A20">
        <w:rPr>
          <w:sz w:val="24"/>
          <w:lang w:val="pl-PL"/>
        </w:rPr>
        <w:t xml:space="preserve"> </w:t>
      </w:r>
      <w:r w:rsidR="003F6A20" w:rsidRPr="003F6A20">
        <w:rPr>
          <w:sz w:val="24"/>
          <w:lang w:val="pl-PL"/>
        </w:rPr>
        <w:tab/>
      </w:r>
      <w:r w:rsidRPr="003F6A20">
        <w:rPr>
          <w:sz w:val="24"/>
          <w:lang w:val="pl-PL"/>
        </w:rPr>
        <w:t>Maza, M.T. i in., ‘</w:t>
      </w:r>
      <w:proofErr w:type="spellStart"/>
      <w:r w:rsidRPr="003F6A20">
        <w:rPr>
          <w:sz w:val="24"/>
          <w:lang w:val="pl-PL"/>
        </w:rPr>
        <w:t>Association</w:t>
      </w:r>
      <w:proofErr w:type="spellEnd"/>
      <w:r w:rsidRPr="003F6A20">
        <w:rPr>
          <w:sz w:val="24"/>
          <w:lang w:val="pl-PL"/>
        </w:rPr>
        <w:t xml:space="preserve"> of </w:t>
      </w:r>
      <w:proofErr w:type="spellStart"/>
      <w:r w:rsidRPr="003F6A20">
        <w:rPr>
          <w:sz w:val="24"/>
          <w:lang w:val="pl-PL"/>
        </w:rPr>
        <w:t>Habitual</w:t>
      </w:r>
      <w:proofErr w:type="spellEnd"/>
      <w:r w:rsidRPr="003F6A20">
        <w:rPr>
          <w:sz w:val="24"/>
          <w:lang w:val="pl-PL"/>
        </w:rPr>
        <w:t xml:space="preserve"> </w:t>
      </w:r>
      <w:proofErr w:type="spellStart"/>
      <w:r w:rsidRPr="003F6A20">
        <w:rPr>
          <w:sz w:val="24"/>
          <w:lang w:val="pl-PL"/>
        </w:rPr>
        <w:t>Checking</w:t>
      </w:r>
      <w:proofErr w:type="spellEnd"/>
      <w:r w:rsidRPr="003F6A20">
        <w:rPr>
          <w:sz w:val="24"/>
          <w:lang w:val="pl-PL"/>
        </w:rPr>
        <w:t xml:space="preserve"> </w:t>
      </w:r>
      <w:proofErr w:type="spellStart"/>
      <w:r w:rsidRPr="003F6A20">
        <w:rPr>
          <w:sz w:val="24"/>
          <w:lang w:val="pl-PL"/>
        </w:rPr>
        <w:t>Behaviors</w:t>
      </w:r>
      <w:proofErr w:type="spellEnd"/>
      <w:r w:rsidRPr="003F6A20">
        <w:rPr>
          <w:sz w:val="24"/>
          <w:lang w:val="pl-PL"/>
        </w:rPr>
        <w:t xml:space="preserve"> on </w:t>
      </w:r>
      <w:proofErr w:type="spellStart"/>
      <w:r w:rsidRPr="003F6A20">
        <w:rPr>
          <w:sz w:val="24"/>
          <w:lang w:val="pl-PL"/>
        </w:rPr>
        <w:t>Social</w:t>
      </w:r>
      <w:proofErr w:type="spellEnd"/>
      <w:r w:rsidRPr="003F6A20">
        <w:rPr>
          <w:sz w:val="24"/>
          <w:lang w:val="pl-PL"/>
        </w:rPr>
        <w:t xml:space="preserve"> Media with </w:t>
      </w:r>
      <w:proofErr w:type="spellStart"/>
      <w:r w:rsidRPr="003F6A20">
        <w:rPr>
          <w:sz w:val="24"/>
          <w:lang w:val="pl-PL"/>
        </w:rPr>
        <w:t>Longitudinal</w:t>
      </w:r>
      <w:proofErr w:type="spellEnd"/>
      <w:r w:rsidRPr="003F6A20">
        <w:rPr>
          <w:sz w:val="24"/>
          <w:lang w:val="pl-PL"/>
        </w:rPr>
        <w:t xml:space="preserve"> </w:t>
      </w:r>
      <w:proofErr w:type="spellStart"/>
      <w:r w:rsidRPr="003F6A20">
        <w:rPr>
          <w:sz w:val="24"/>
          <w:lang w:val="pl-PL"/>
        </w:rPr>
        <w:t>Functional</w:t>
      </w:r>
      <w:proofErr w:type="spellEnd"/>
      <w:r w:rsidRPr="003F6A20">
        <w:rPr>
          <w:sz w:val="24"/>
          <w:lang w:val="pl-PL"/>
        </w:rPr>
        <w:t xml:space="preserve"> Brain Development’, </w:t>
      </w:r>
      <w:r w:rsidRPr="003F6A20">
        <w:rPr>
          <w:i/>
          <w:sz w:val="24"/>
          <w:lang w:val="pl-PL"/>
        </w:rPr>
        <w:t xml:space="preserve">JAMA </w:t>
      </w:r>
      <w:proofErr w:type="spellStart"/>
      <w:r w:rsidRPr="003F6A20">
        <w:rPr>
          <w:i/>
          <w:sz w:val="24"/>
          <w:lang w:val="pl-PL"/>
        </w:rPr>
        <w:t>Pediatrics</w:t>
      </w:r>
      <w:proofErr w:type="spellEnd"/>
      <w:r w:rsidRPr="003F6A20">
        <w:rPr>
          <w:sz w:val="24"/>
          <w:lang w:val="pl-PL"/>
        </w:rPr>
        <w:t xml:space="preserve">, t. 177, nr 2, 2023, s. 160-167.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581A" w14:textId="77777777" w:rsidR="00064002" w:rsidRPr="003F6A2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658A" w14:textId="77777777" w:rsidR="00064002" w:rsidRPr="003F6A2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BB4A1" w14:textId="77777777" w:rsidR="00064002" w:rsidRPr="003F6A2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910647259">
    <w:abstractNumId w:val="9"/>
  </w:num>
  <w:num w:numId="2" w16cid:durableId="1902866678">
    <w:abstractNumId w:val="9"/>
  </w:num>
  <w:num w:numId="3" w16cid:durableId="1176574397">
    <w:abstractNumId w:val="7"/>
  </w:num>
  <w:num w:numId="4" w16cid:durableId="307518497">
    <w:abstractNumId w:val="7"/>
  </w:num>
  <w:num w:numId="5" w16cid:durableId="276303088">
    <w:abstractNumId w:val="6"/>
  </w:num>
  <w:num w:numId="6" w16cid:durableId="746459026">
    <w:abstractNumId w:val="6"/>
  </w:num>
  <w:num w:numId="7" w16cid:durableId="1849056375">
    <w:abstractNumId w:val="5"/>
  </w:num>
  <w:num w:numId="8" w16cid:durableId="1916472867">
    <w:abstractNumId w:val="5"/>
  </w:num>
  <w:num w:numId="9" w16cid:durableId="807822912">
    <w:abstractNumId w:val="4"/>
  </w:num>
  <w:num w:numId="10" w16cid:durableId="1129786069">
    <w:abstractNumId w:val="4"/>
  </w:num>
  <w:num w:numId="11" w16cid:durableId="924459652">
    <w:abstractNumId w:val="8"/>
  </w:num>
  <w:num w:numId="12" w16cid:durableId="2125228621">
    <w:abstractNumId w:val="8"/>
  </w:num>
  <w:num w:numId="13" w16cid:durableId="285089229">
    <w:abstractNumId w:val="3"/>
  </w:num>
  <w:num w:numId="14" w16cid:durableId="1080559623">
    <w:abstractNumId w:val="3"/>
  </w:num>
  <w:num w:numId="15" w16cid:durableId="25955622">
    <w:abstractNumId w:val="2"/>
  </w:num>
  <w:num w:numId="16" w16cid:durableId="198321273">
    <w:abstractNumId w:val="2"/>
  </w:num>
  <w:num w:numId="17" w16cid:durableId="1426076918">
    <w:abstractNumId w:val="1"/>
  </w:num>
  <w:num w:numId="18" w16cid:durableId="2061130922">
    <w:abstractNumId w:val="1"/>
  </w:num>
  <w:num w:numId="19" w16cid:durableId="1298417918">
    <w:abstractNumId w:val="0"/>
  </w:num>
  <w:num w:numId="20" w16cid:durableId="1062293982">
    <w:abstractNumId w:val="0"/>
  </w:num>
  <w:num w:numId="21" w16cid:durableId="2088961567">
    <w:abstractNumId w:val="9"/>
  </w:num>
  <w:num w:numId="22" w16cid:durableId="2135513385">
    <w:abstractNumId w:val="7"/>
  </w:num>
  <w:num w:numId="23" w16cid:durableId="642469077">
    <w:abstractNumId w:val="6"/>
  </w:num>
  <w:num w:numId="24" w16cid:durableId="1795098820">
    <w:abstractNumId w:val="5"/>
  </w:num>
  <w:num w:numId="25" w16cid:durableId="241530354">
    <w:abstractNumId w:val="4"/>
  </w:num>
  <w:num w:numId="26" w16cid:durableId="31925827">
    <w:abstractNumId w:val="8"/>
  </w:num>
  <w:num w:numId="27" w16cid:durableId="1552502562">
    <w:abstractNumId w:val="3"/>
  </w:num>
  <w:num w:numId="28" w16cid:durableId="510528449">
    <w:abstractNumId w:val="2"/>
  </w:num>
  <w:num w:numId="29" w16cid:durableId="1860467955">
    <w:abstractNumId w:val="1"/>
  </w:num>
  <w:num w:numId="30" w16cid:durableId="794257108">
    <w:abstractNumId w:val="0"/>
  </w:num>
  <w:num w:numId="31" w16cid:durableId="339545527">
    <w:abstractNumId w:val="9"/>
  </w:num>
  <w:num w:numId="32" w16cid:durableId="341442700">
    <w:abstractNumId w:val="7"/>
  </w:num>
  <w:num w:numId="33" w16cid:durableId="1841894521">
    <w:abstractNumId w:val="6"/>
  </w:num>
  <w:num w:numId="34" w16cid:durableId="828444929">
    <w:abstractNumId w:val="5"/>
  </w:num>
  <w:num w:numId="35" w16cid:durableId="686565995">
    <w:abstractNumId w:val="4"/>
  </w:num>
  <w:num w:numId="36" w16cid:durableId="1578899762">
    <w:abstractNumId w:val="8"/>
  </w:num>
  <w:num w:numId="37" w16cid:durableId="2048485517">
    <w:abstractNumId w:val="3"/>
  </w:num>
  <w:num w:numId="38" w16cid:durableId="1882551902">
    <w:abstractNumId w:val="2"/>
  </w:num>
  <w:num w:numId="39" w16cid:durableId="2050641904">
    <w:abstractNumId w:val="1"/>
  </w:num>
  <w:num w:numId="40" w16cid:durableId="511915702">
    <w:abstractNumId w:val="0"/>
  </w:num>
  <w:num w:numId="41" w16cid:durableId="1345398973">
    <w:abstractNumId w:val="10"/>
  </w:num>
  <w:num w:numId="42" w16cid:durableId="1553232529">
    <w:abstractNumId w:val="10"/>
  </w:num>
  <w:num w:numId="43" w16cid:durableId="648242205">
    <w:abstractNumId w:val="10"/>
  </w:num>
  <w:num w:numId="44" w16cid:durableId="3050091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73/2026"/>
    <w:docVar w:name="dvlangue" w:val="PL"/>
    <w:docVar w:name="dvnumam" w:val="0"/>
    <w:docVar w:name="dvpe" w:val="784.483"/>
    <w:docVar w:name="dvrapporteur" w:val="Sprawozdawca: "/>
    <w:docVar w:name="dvtitre" w:val="Rezolucja Parlamentu Europejskiego z dnia  2026 r. w sprawie nowej strategii na rzecz umiejętności korzystania z mediów i cyfrowego uczenia się(2025/2181(INI))"/>
  </w:docVars>
  <w:rsids>
    <w:rsidRoot w:val="00AB073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3F6A20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15C0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0736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44CB0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C91D0"/>
  <w15:chartTrackingRefBased/>
  <w15:docId w15:val="{28415029-7580-4FF6-8413-AC170EE2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12a">
    <w:name w:val="Normal12a"/>
    <w:basedOn w:val="Normal"/>
    <w:rsid w:val="00615C00"/>
    <w:pPr>
      <w:widowControl/>
      <w:spacing w:after="240"/>
    </w:pPr>
    <w:rPr>
      <w:szCs w:val="24"/>
      <w:lang w:eastAsia="en-US"/>
    </w:rPr>
  </w:style>
  <w:style w:type="paragraph" w:customStyle="1" w:styleId="NormalHanging12a">
    <w:name w:val="NormalHanging12a"/>
    <w:basedOn w:val="Normal"/>
    <w:link w:val="NormalHanging12aChar"/>
    <w:rsid w:val="00615C00"/>
    <w:pPr>
      <w:widowControl/>
      <w:spacing w:after="240"/>
      <w:ind w:left="566" w:hanging="566"/>
    </w:pPr>
    <w:rPr>
      <w:szCs w:val="24"/>
      <w:lang w:eastAsia="en-US"/>
    </w:rPr>
  </w:style>
  <w:style w:type="paragraph" w:customStyle="1" w:styleId="Normal12">
    <w:name w:val="Normal12"/>
    <w:basedOn w:val="Normal"/>
    <w:rsid w:val="00615C00"/>
    <w:pPr>
      <w:widowControl/>
      <w:spacing w:after="240"/>
    </w:pPr>
    <w:rPr>
      <w:szCs w:val="24"/>
      <w:lang w:eastAsia="en-US"/>
    </w:rPr>
  </w:style>
  <w:style w:type="paragraph" w:customStyle="1" w:styleId="NormalHanging">
    <w:name w:val="NormalHanging"/>
    <w:basedOn w:val="Normal"/>
    <w:rsid w:val="00615C00"/>
    <w:pPr>
      <w:widowControl/>
      <w:spacing w:after="240"/>
      <w:ind w:left="566" w:hanging="566"/>
    </w:pPr>
    <w:rPr>
      <w:szCs w:val="24"/>
      <w:lang w:eastAsia="en-US"/>
    </w:rPr>
  </w:style>
  <w:style w:type="paragraph" w:customStyle="1" w:styleId="NormalCenter12a">
    <w:name w:val="NormalCenter12a"/>
    <w:basedOn w:val="Normal"/>
    <w:rsid w:val="00615C00"/>
    <w:pPr>
      <w:widowControl/>
      <w:spacing w:after="240"/>
      <w:jc w:val="center"/>
    </w:pPr>
    <w:rPr>
      <w:szCs w:val="24"/>
      <w:lang w:eastAsia="en-US"/>
    </w:rPr>
  </w:style>
  <w:style w:type="character" w:styleId="Hyperlink">
    <w:name w:val="Hyperlink"/>
    <w:basedOn w:val="DefaultParagraphFont"/>
    <w:rsid w:val="00615C00"/>
    <w:rPr>
      <w:color w:val="0000FF"/>
      <w:u w:val="single"/>
    </w:rPr>
  </w:style>
  <w:style w:type="character" w:customStyle="1" w:styleId="NormalHanging12aChar">
    <w:name w:val="NormalHanging12a Char"/>
    <w:basedOn w:val="DefaultParagraphFont"/>
    <w:link w:val="NormalHanging12a"/>
    <w:rsid w:val="00615C00"/>
    <w:rPr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reg/2022/2065/oj" TargetMode="External"/><Relationship Id="rId2" Type="http://schemas.openxmlformats.org/officeDocument/2006/relationships/hyperlink" Target="http://data.europa.eu/eli/reg/2024/1083/oj" TargetMode="External"/><Relationship Id="rId1" Type="http://schemas.openxmlformats.org/officeDocument/2006/relationships/hyperlink" Target="http://data.europa.eu/eli/dir/2018/1808/oj" TargetMode="External"/><Relationship Id="rId6" Type="http://schemas.openxmlformats.org/officeDocument/2006/relationships/hyperlink" Target="http://data.europa.eu/eli/C/2025/5519/oj" TargetMode="External"/><Relationship Id="rId5" Type="http://schemas.openxmlformats.org/officeDocument/2006/relationships/hyperlink" Target="http://data.europa.eu/eli/C/2026/1708/oj" TargetMode="External"/><Relationship Id="rId4" Type="http://schemas.openxmlformats.org/officeDocument/2006/relationships/hyperlink" Target="http://data.europa.eu/eli/reg/2024/168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4351</Words>
  <Characters>29675</Characters>
  <Application>Microsoft Office Word</Application>
  <DocSecurity>0</DocSecurity>
  <Lines>247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ZALESKI Tomasz</cp:lastModifiedBy>
  <cp:revision>2</cp:revision>
  <cp:lastPrinted>2004-11-19T15:42:00Z</cp:lastPrinted>
  <dcterms:created xsi:type="dcterms:W3CDTF">2026-07-07T15:56:00Z</dcterms:created>
  <dcterms:modified xsi:type="dcterms:W3CDTF">2026-07-07T15:56:00Z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A10-0173/2026</vt:lpwstr>
  </property>
  <property fmtid="{D5CDD505-2E9C-101B-9397-08002B2CF9AE}" pid="4" name="&lt;Type&gt;">
    <vt:lpwstr>RR</vt:lpwstr>
  </property>
</Properties>
</file>