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55FD2" w14:paraId="751CE74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9CDF11C" w14:textId="637F7B28" w:rsidR="00751A4A" w:rsidRPr="00255FD2" w:rsidRDefault="005D32A6" w:rsidP="0010095E">
            <w:pPr>
              <w:pStyle w:val="EPName"/>
            </w:pPr>
            <w:r w:rsidRPr="00255FD2">
              <w:t>Európsky parlament</w:t>
            </w:r>
          </w:p>
          <w:p w14:paraId="0CA78888" w14:textId="77777777" w:rsidR="00751A4A" w:rsidRPr="00255FD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55FD2">
              <w:t>2024</w:t>
            </w:r>
            <w:r w:rsidR="00817416" w:rsidRPr="00255FD2">
              <w:t>-202</w:t>
            </w:r>
            <w:r w:rsidRPr="00255FD2">
              <w:t>9</w:t>
            </w:r>
          </w:p>
        </w:tc>
        <w:tc>
          <w:tcPr>
            <w:tcW w:w="2268" w:type="dxa"/>
            <w:shd w:val="clear" w:color="auto" w:fill="auto"/>
          </w:tcPr>
          <w:p w14:paraId="122D7637" w14:textId="77777777" w:rsidR="00751A4A" w:rsidRPr="00255FD2" w:rsidRDefault="00187494" w:rsidP="0010095E">
            <w:pPr>
              <w:pStyle w:val="EPLogo"/>
            </w:pPr>
            <w:r w:rsidRPr="00255FD2">
              <w:rPr>
                <w:noProof/>
                <w:lang w:eastAsia="ja-JP"/>
              </w:rPr>
              <w:drawing>
                <wp:inline distT="0" distB="0" distL="0" distR="0" wp14:anchorId="790FC528" wp14:editId="6D0B8B3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E1A40C" w14:textId="77777777" w:rsidR="00D058B8" w:rsidRPr="00255FD2" w:rsidRDefault="00D058B8" w:rsidP="004C5D52">
      <w:pPr>
        <w:pStyle w:val="LineTop"/>
      </w:pPr>
    </w:p>
    <w:p w14:paraId="1B5F59F8" w14:textId="417F3B70" w:rsidR="00680577" w:rsidRPr="00255FD2" w:rsidRDefault="005D32A6" w:rsidP="00680577">
      <w:pPr>
        <w:pStyle w:val="EPBodyTA1"/>
      </w:pPr>
      <w:r w:rsidRPr="00255FD2">
        <w:t>PRIJATÉ TEXTY</w:t>
      </w:r>
    </w:p>
    <w:p w14:paraId="340B5171" w14:textId="77777777" w:rsidR="00D058B8" w:rsidRPr="00255FD2" w:rsidRDefault="00D058B8" w:rsidP="00D058B8">
      <w:pPr>
        <w:pStyle w:val="LineBottom"/>
      </w:pPr>
    </w:p>
    <w:p w14:paraId="3CFF8B20" w14:textId="0D59EE38" w:rsidR="005D32A6" w:rsidRPr="00255FD2" w:rsidRDefault="005D32A6" w:rsidP="005D32A6">
      <w:pPr>
        <w:pStyle w:val="ATHeading1"/>
      </w:pPr>
      <w:bookmarkStart w:id="0" w:name="TANumber"/>
      <w:r w:rsidRPr="00255FD2">
        <w:t>P10_TA(2026)0</w:t>
      </w:r>
      <w:r w:rsidR="00255FD2" w:rsidRPr="00255FD2">
        <w:t>249</w:t>
      </w:r>
      <w:bookmarkEnd w:id="0"/>
    </w:p>
    <w:p w14:paraId="1FCAF584" w14:textId="77777777" w:rsidR="005D32A6" w:rsidRPr="00255FD2" w:rsidRDefault="005D32A6" w:rsidP="005D32A6">
      <w:pPr>
        <w:pStyle w:val="ATHeading2"/>
      </w:pPr>
      <w:bookmarkStart w:id="1" w:name="title"/>
      <w:r w:rsidRPr="00255FD2">
        <w:t>Nová stratégia pre mediálnu gramotnosť a digitálne vzdelávanie</w:t>
      </w:r>
      <w:bookmarkEnd w:id="1"/>
    </w:p>
    <w:p w14:paraId="0EA9AE8D" w14:textId="77777777" w:rsidR="005D32A6" w:rsidRPr="00255FD2" w:rsidRDefault="005D32A6" w:rsidP="005D32A6">
      <w:pPr>
        <w:rPr>
          <w:i/>
          <w:vanish/>
        </w:rPr>
      </w:pPr>
      <w:r w:rsidRPr="00255FD2">
        <w:rPr>
          <w:i/>
        </w:rPr>
        <w:fldChar w:fldCharType="begin"/>
      </w:r>
      <w:r w:rsidRPr="00255FD2">
        <w:rPr>
          <w:i/>
        </w:rPr>
        <w:instrText xml:space="preserve"> TC"(</w:instrText>
      </w:r>
      <w:bookmarkStart w:id="2" w:name="DocNumber"/>
      <w:r w:rsidRPr="00255FD2">
        <w:rPr>
          <w:i/>
        </w:rPr>
        <w:instrText>A10-0173/2026</w:instrText>
      </w:r>
      <w:bookmarkEnd w:id="2"/>
      <w:r w:rsidRPr="00255FD2">
        <w:rPr>
          <w:i/>
        </w:rPr>
        <w:instrText xml:space="preserve"> - Spravodajca: Marcos Ros Sempere)"\l3 \n&gt; \* MERGEFORMAT </w:instrText>
      </w:r>
      <w:r w:rsidRPr="00255FD2">
        <w:rPr>
          <w:i/>
        </w:rPr>
        <w:fldChar w:fldCharType="end"/>
      </w:r>
    </w:p>
    <w:p w14:paraId="6757935D" w14:textId="77777777" w:rsidR="005D32A6" w:rsidRPr="00255FD2" w:rsidRDefault="005D32A6" w:rsidP="005D32A6">
      <w:pPr>
        <w:rPr>
          <w:vanish/>
        </w:rPr>
      </w:pPr>
      <w:bookmarkStart w:id="3" w:name="Commission"/>
      <w:r w:rsidRPr="00255FD2">
        <w:rPr>
          <w:vanish/>
        </w:rPr>
        <w:t>Výbor pre kultúru a vzdelávanie</w:t>
      </w:r>
      <w:bookmarkEnd w:id="3"/>
    </w:p>
    <w:p w14:paraId="5BEF8A26" w14:textId="77777777" w:rsidR="005D32A6" w:rsidRPr="00255FD2" w:rsidRDefault="005D32A6" w:rsidP="005D32A6">
      <w:pPr>
        <w:rPr>
          <w:vanish/>
        </w:rPr>
      </w:pPr>
      <w:bookmarkStart w:id="4" w:name="PE"/>
      <w:r w:rsidRPr="00255FD2">
        <w:rPr>
          <w:vanish/>
        </w:rPr>
        <w:t>PE784.483</w:t>
      </w:r>
      <w:bookmarkEnd w:id="4"/>
    </w:p>
    <w:p w14:paraId="6E3854FF" w14:textId="2A153E07" w:rsidR="00711204" w:rsidRPr="00255FD2" w:rsidRDefault="005D32A6" w:rsidP="00711204">
      <w:pPr>
        <w:pStyle w:val="ATHeading3"/>
      </w:pPr>
      <w:bookmarkStart w:id="5" w:name="Sujet"/>
      <w:r w:rsidRPr="00255FD2">
        <w:t xml:space="preserve">Uznesenie Európskeho parlamentu zo </w:t>
      </w:r>
      <w:r w:rsidR="003A4FE0" w:rsidRPr="00255FD2">
        <w:t>7. júla</w:t>
      </w:r>
      <w:r w:rsidRPr="00255FD2">
        <w:t xml:space="preserve"> 2026 o novej stratégii pre mediálnu gramotnosť a digitálne vzdelávanie</w:t>
      </w:r>
      <w:bookmarkEnd w:id="5"/>
      <w:r w:rsidRPr="00255FD2">
        <w:t xml:space="preserve"> </w:t>
      </w:r>
      <w:bookmarkStart w:id="6" w:name="References"/>
      <w:r w:rsidRPr="00255FD2">
        <w:t>(2025/2181(INI))</w:t>
      </w:r>
      <w:bookmarkEnd w:id="6"/>
    </w:p>
    <w:p w14:paraId="620CDBE9" w14:textId="77777777" w:rsidR="00187C50" w:rsidRPr="00255FD2" w:rsidRDefault="00187C50" w:rsidP="00187C50">
      <w:pPr>
        <w:widowControl/>
        <w:spacing w:before="360" w:after="240"/>
        <w:rPr>
          <w:szCs w:val="24"/>
          <w:lang w:eastAsia="en-US"/>
        </w:rPr>
      </w:pPr>
      <w:r w:rsidRPr="00255FD2">
        <w:rPr>
          <w:i/>
          <w:szCs w:val="24"/>
          <w:lang w:eastAsia="en-US"/>
        </w:rPr>
        <w:t>Európsky parlament</w:t>
      </w:r>
      <w:r w:rsidRPr="00255FD2">
        <w:rPr>
          <w:szCs w:val="24"/>
          <w:lang w:eastAsia="en-US"/>
        </w:rPr>
        <w:t>,</w:t>
      </w:r>
    </w:p>
    <w:p w14:paraId="225D6ACA" w14:textId="5D22A61C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t>–</w:t>
      </w:r>
      <w:r w:rsidRPr="00255FD2">
        <w:rPr>
          <w:szCs w:val="24"/>
          <w:lang w:eastAsia="en-US"/>
        </w:rPr>
        <w:tab/>
        <w:t>so zreteľom na smernicu Európskeho parlamentu a Rady (EÚ) 2018/1808 zo 14. novembra 2018, ktorou sa mení smernica 2010/13/EÚ o koordinácii niektorých ustanovení upravených zákonom, iným právnym predpisom alebo správnym opatrením v členských štátoch týkajúcich sa poskytovania audiovizuálnych mediálnych služieb (smernica o audiovizuálnych mediálnych službách) s ohľadom na meniace sa podmienky na trhu</w:t>
      </w:r>
      <w:r w:rsidR="003A4FE0" w:rsidRPr="00255FD2">
        <w:rPr>
          <w:rStyle w:val="FootnoteReference"/>
          <w:szCs w:val="24"/>
          <w:lang w:eastAsia="en-US"/>
        </w:rPr>
        <w:footnoteReference w:id="1"/>
      </w:r>
      <w:r w:rsidRPr="00255FD2">
        <w:rPr>
          <w:szCs w:val="24"/>
          <w:lang w:eastAsia="en-US"/>
        </w:rPr>
        <w:t>,</w:t>
      </w:r>
    </w:p>
    <w:p w14:paraId="74D6857F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t>–</w:t>
      </w:r>
      <w:r w:rsidRPr="00255FD2">
        <w:rPr>
          <w:szCs w:val="24"/>
          <w:lang w:eastAsia="en-US"/>
        </w:rPr>
        <w:tab/>
        <w:t>so zreteľom na nariadenie Európskeho parlamentu a Rady (EÚ) 2024/1083 z 11. apríla 2024, ktorým sa stanovuje spoločný rámec pre mediálne služby na vnútornom trhu a mení smernica 2010/13/EÚ (Európsky akt o slobode médií)</w:t>
      </w:r>
      <w:r w:rsidRPr="00255FD2">
        <w:rPr>
          <w:szCs w:val="24"/>
          <w:vertAlign w:val="superscript"/>
          <w:lang w:eastAsia="en-US"/>
        </w:rPr>
        <w:footnoteReference w:id="2"/>
      </w:r>
      <w:r w:rsidRPr="00255FD2">
        <w:rPr>
          <w:szCs w:val="24"/>
          <w:lang w:eastAsia="en-US"/>
        </w:rPr>
        <w:t>,</w:t>
      </w:r>
    </w:p>
    <w:p w14:paraId="64CC493A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t>–</w:t>
      </w:r>
      <w:r w:rsidRPr="00255FD2">
        <w:rPr>
          <w:szCs w:val="24"/>
          <w:lang w:eastAsia="en-US"/>
        </w:rPr>
        <w:tab/>
        <w:t>so zreteľom na nariadenie Európskeho parlamentu a Rady (EÚ) 2022/2065 z 19. októbra 2022 o jednotnom trhu s digitálnymi službami a o zmene smernice 2000/31/ES (akt o digitálnych službách)</w:t>
      </w:r>
      <w:r w:rsidRPr="00255FD2">
        <w:rPr>
          <w:szCs w:val="24"/>
          <w:vertAlign w:val="superscript"/>
          <w:lang w:eastAsia="en-US"/>
        </w:rPr>
        <w:footnoteReference w:id="3"/>
      </w:r>
      <w:r w:rsidRPr="00255FD2">
        <w:rPr>
          <w:szCs w:val="24"/>
          <w:lang w:eastAsia="en-US"/>
        </w:rPr>
        <w:t>,</w:t>
      </w:r>
    </w:p>
    <w:p w14:paraId="0C222C16" w14:textId="77777777" w:rsidR="00187C50" w:rsidRPr="00255FD2" w:rsidRDefault="00187C50" w:rsidP="00187C50">
      <w:pPr>
        <w:widowControl/>
        <w:spacing w:after="240"/>
        <w:ind w:left="566" w:hanging="566"/>
        <w:rPr>
          <w:b/>
          <w:i/>
          <w:szCs w:val="24"/>
          <w:lang w:eastAsia="en-US"/>
        </w:rPr>
      </w:pPr>
      <w:r w:rsidRPr="00255FD2">
        <w:rPr>
          <w:b/>
          <w:i/>
          <w:szCs w:val="24"/>
          <w:lang w:eastAsia="en-US"/>
        </w:rPr>
        <w:t>–</w:t>
      </w:r>
      <w:r w:rsidRPr="00255FD2">
        <w:rPr>
          <w:i/>
          <w:szCs w:val="24"/>
          <w:lang w:eastAsia="en-US"/>
        </w:rPr>
        <w:tab/>
      </w:r>
      <w:r w:rsidRPr="00255FD2">
        <w:rPr>
          <w:szCs w:val="24"/>
          <w:lang w:eastAsia="en-US"/>
        </w:rPr>
        <w:t>so zreteľom na nariadenie Európskeho parlamentu a Rady (EÚ) 2024/1689 z 13. júna 2024, ktorým sa stanovujú harmonizované pravidlá v oblasti umelej inteligencie a ktorým sa menia nariadenia (ES) č. 300/2008, (EÚ) č. 167/2013, (EÚ) č. 168/2013, (EÚ) 2018/858, (EÚ) 2018/1139 a (EÚ) 2019/2144 a smernice 2014/90/EÚ, (EÚ) 2016/797 a (EÚ) 2020/1828 (akt o umelej inteligencii)</w:t>
      </w:r>
      <w:r w:rsidRPr="00255FD2">
        <w:rPr>
          <w:bCs/>
          <w:iCs/>
          <w:szCs w:val="24"/>
          <w:vertAlign w:val="superscript"/>
          <w:lang w:eastAsia="en-US"/>
        </w:rPr>
        <w:footnoteReference w:id="4"/>
      </w:r>
      <w:r w:rsidRPr="00255FD2">
        <w:rPr>
          <w:szCs w:val="24"/>
          <w:lang w:eastAsia="en-US"/>
        </w:rPr>
        <w:t>,</w:t>
      </w:r>
    </w:p>
    <w:p w14:paraId="1601FEB1" w14:textId="77777777" w:rsidR="00187C50" w:rsidRPr="00255FD2" w:rsidRDefault="00187C50" w:rsidP="00187C50">
      <w:pPr>
        <w:widowControl/>
        <w:spacing w:after="240"/>
        <w:ind w:left="566" w:hanging="566"/>
        <w:rPr>
          <w:b/>
          <w:i/>
          <w:szCs w:val="24"/>
          <w:lang w:eastAsia="en-US"/>
        </w:rPr>
      </w:pPr>
      <w:r w:rsidRPr="00255FD2">
        <w:rPr>
          <w:b/>
          <w:i/>
          <w:szCs w:val="24"/>
          <w:lang w:eastAsia="en-US"/>
        </w:rPr>
        <w:t>–</w:t>
      </w:r>
      <w:r w:rsidRPr="00255FD2">
        <w:rPr>
          <w:b/>
          <w:i/>
          <w:szCs w:val="24"/>
          <w:lang w:eastAsia="en-US"/>
        </w:rPr>
        <w:tab/>
      </w:r>
      <w:r w:rsidRPr="00255FD2">
        <w:rPr>
          <w:szCs w:val="24"/>
          <w:lang w:eastAsia="en-US"/>
        </w:rPr>
        <w:t>so zreteľom na svoje uznesenie z 25. marca 2021 o formovaní politiky digitálneho vzdelávania</w:t>
      </w:r>
      <w:r w:rsidRPr="00255FD2">
        <w:rPr>
          <w:bCs/>
          <w:iCs/>
          <w:szCs w:val="24"/>
          <w:vertAlign w:val="superscript"/>
          <w:lang w:eastAsia="en-US"/>
        </w:rPr>
        <w:footnoteReference w:id="5"/>
      </w:r>
      <w:r w:rsidRPr="00255FD2">
        <w:rPr>
          <w:szCs w:val="24"/>
          <w:lang w:eastAsia="en-US"/>
        </w:rPr>
        <w:t>,</w:t>
      </w:r>
    </w:p>
    <w:p w14:paraId="659496B4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lastRenderedPageBreak/>
        <w:t>–</w:t>
      </w:r>
      <w:r w:rsidRPr="00255FD2">
        <w:rPr>
          <w:szCs w:val="24"/>
          <w:lang w:eastAsia="en-US"/>
        </w:rPr>
        <w:tab/>
        <w:t>so zreteľom na oznámenie Komisie z 11. mája 2022 s názvom Digitálne desaťročie pre deti a mládež: nová Európska stratégia vytvárania lepšieho internetu pre deti (stratégia BIK+) (COM(2022)0212),</w:t>
      </w:r>
    </w:p>
    <w:p w14:paraId="10665F65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t>–</w:t>
      </w:r>
      <w:r w:rsidRPr="00255FD2">
        <w:rPr>
          <w:szCs w:val="24"/>
          <w:lang w:eastAsia="en-US"/>
        </w:rPr>
        <w:tab/>
        <w:t>so zreteľom na spoločné oznámenie Komisie a vysokej predstaviteľky Únie pre zahraničné veci a bezpečnostnú politiku z 12. novembra 2025 s názvom Európsky štít na ochranu demokracie: opora silných a odolných demokracií (JOIN(2025)0791),</w:t>
      </w:r>
    </w:p>
    <w:p w14:paraId="42665DAA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t>–</w:t>
      </w:r>
      <w:r w:rsidRPr="00255FD2">
        <w:rPr>
          <w:szCs w:val="24"/>
          <w:lang w:eastAsia="en-US"/>
        </w:rPr>
        <w:tab/>
        <w:t>so zreteľom na oznámenie Komisie z 5. marca 2025 o Akčnom pláne pre základné zručnosti (COM(2025)0088),</w:t>
      </w:r>
    </w:p>
    <w:p w14:paraId="6C241088" w14:textId="77777777" w:rsidR="00187C50" w:rsidRPr="00255FD2" w:rsidRDefault="00187C50" w:rsidP="00187C50">
      <w:pPr>
        <w:widowControl/>
        <w:spacing w:after="240"/>
        <w:ind w:left="566" w:hanging="566"/>
        <w:rPr>
          <w:b/>
          <w:i/>
          <w:szCs w:val="24"/>
          <w:lang w:eastAsia="en-US"/>
        </w:rPr>
      </w:pPr>
      <w:r w:rsidRPr="00255FD2">
        <w:rPr>
          <w:b/>
          <w:i/>
          <w:szCs w:val="24"/>
          <w:lang w:eastAsia="en-US"/>
        </w:rPr>
        <w:t>–</w:t>
      </w:r>
      <w:r w:rsidRPr="00255FD2">
        <w:rPr>
          <w:b/>
          <w:i/>
          <w:szCs w:val="24"/>
          <w:lang w:eastAsia="en-US"/>
        </w:rPr>
        <w:tab/>
      </w:r>
      <w:r w:rsidRPr="00255FD2">
        <w:rPr>
          <w:szCs w:val="24"/>
          <w:lang w:eastAsia="en-US"/>
        </w:rPr>
        <w:t>so zreteľom na oznámenie Komisie z 3. decembra 2020 s názvom Európske médiá v digitálnej dekáde: akčný plán na podporu obnovy a transformácie (COM(2020)0784),</w:t>
      </w:r>
    </w:p>
    <w:p w14:paraId="3E9B2013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b/>
          <w:i/>
          <w:szCs w:val="24"/>
          <w:lang w:eastAsia="en-US"/>
        </w:rPr>
        <w:t>–</w:t>
      </w:r>
      <w:r w:rsidRPr="00255FD2">
        <w:rPr>
          <w:b/>
          <w:i/>
          <w:szCs w:val="24"/>
          <w:lang w:eastAsia="en-US"/>
        </w:rPr>
        <w:tab/>
      </w:r>
      <w:r w:rsidRPr="00255FD2">
        <w:rPr>
          <w:szCs w:val="24"/>
          <w:lang w:eastAsia="en-US"/>
        </w:rPr>
        <w:t>so zreteľom na oznámenie Komisie z 10. februára 2026 s názvom Akčný plán proti kybernetickému šikanovaniu „V bezpečí online, silnejší spolu“ (COM(2026)0071),</w:t>
      </w:r>
    </w:p>
    <w:p w14:paraId="602A5DAE" w14:textId="77777777" w:rsidR="00187C50" w:rsidRPr="00255FD2" w:rsidRDefault="00187C50" w:rsidP="00187C50">
      <w:pPr>
        <w:widowControl/>
        <w:spacing w:after="240"/>
        <w:ind w:left="566" w:hanging="566"/>
        <w:rPr>
          <w:b/>
          <w:i/>
          <w:szCs w:val="24"/>
          <w:lang w:eastAsia="en-US"/>
        </w:rPr>
      </w:pPr>
      <w:r w:rsidRPr="00255FD2">
        <w:rPr>
          <w:b/>
          <w:i/>
          <w:szCs w:val="24"/>
          <w:lang w:eastAsia="en-US"/>
        </w:rPr>
        <w:t>–</w:t>
      </w:r>
      <w:r w:rsidRPr="00255FD2">
        <w:rPr>
          <w:b/>
          <w:i/>
          <w:szCs w:val="24"/>
          <w:lang w:eastAsia="en-US"/>
        </w:rPr>
        <w:tab/>
      </w:r>
      <w:r w:rsidRPr="00255FD2">
        <w:rPr>
          <w:szCs w:val="24"/>
          <w:lang w:eastAsia="en-US"/>
        </w:rPr>
        <w:t>so zreteľom na oznámenie Komisie z 5. marca 2026 s názvom Stratégia pre medzigeneračnú spravodlivosť (COM(2026)0110),</w:t>
      </w:r>
    </w:p>
    <w:p w14:paraId="5458C1D0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b/>
          <w:i/>
          <w:szCs w:val="24"/>
          <w:lang w:eastAsia="en-US"/>
        </w:rPr>
        <w:t>–</w:t>
      </w:r>
      <w:r w:rsidRPr="00255FD2">
        <w:rPr>
          <w:b/>
          <w:i/>
          <w:szCs w:val="24"/>
          <w:lang w:eastAsia="en-US"/>
        </w:rPr>
        <w:tab/>
      </w:r>
      <w:r w:rsidRPr="00255FD2">
        <w:rPr>
          <w:szCs w:val="24"/>
          <w:lang w:eastAsia="en-US"/>
        </w:rPr>
        <w:t>so zreteľom na svoje uznesenie z 26. novembra 2025 o ochrane maloletých na internete</w:t>
      </w:r>
      <w:r w:rsidRPr="00255FD2">
        <w:rPr>
          <w:szCs w:val="24"/>
          <w:vertAlign w:val="superscript"/>
          <w:lang w:eastAsia="en-US"/>
        </w:rPr>
        <w:footnoteReference w:id="6"/>
      </w:r>
      <w:r w:rsidRPr="00255FD2">
        <w:rPr>
          <w:szCs w:val="24"/>
          <w:lang w:eastAsia="en-US"/>
        </w:rPr>
        <w:t>,</w:t>
      </w:r>
    </w:p>
    <w:p w14:paraId="6C102E17" w14:textId="77777777" w:rsidR="00187C50" w:rsidRPr="00255FD2" w:rsidRDefault="00187C50" w:rsidP="00187C50">
      <w:pPr>
        <w:widowControl/>
        <w:spacing w:after="240"/>
        <w:ind w:left="566" w:hanging="566"/>
        <w:rPr>
          <w:bCs/>
          <w:iCs/>
          <w:szCs w:val="24"/>
          <w:lang w:eastAsia="en-US"/>
        </w:rPr>
      </w:pPr>
      <w:r w:rsidRPr="00255FD2">
        <w:rPr>
          <w:b/>
          <w:i/>
          <w:szCs w:val="24"/>
          <w:lang w:eastAsia="en-US"/>
        </w:rPr>
        <w:t>–</w:t>
      </w:r>
      <w:r w:rsidRPr="00255FD2">
        <w:rPr>
          <w:szCs w:val="24"/>
          <w:lang w:eastAsia="en-US"/>
        </w:rPr>
        <w:tab/>
        <w:t>so zreteľom na Pakt OSN pre budúcnosť z 22. septembra 2024,</w:t>
      </w:r>
    </w:p>
    <w:p w14:paraId="43C506EA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b/>
          <w:i/>
          <w:szCs w:val="24"/>
          <w:lang w:eastAsia="en-US"/>
        </w:rPr>
        <w:t>–</w:t>
      </w:r>
      <w:r w:rsidRPr="00255FD2">
        <w:rPr>
          <w:b/>
          <w:i/>
          <w:szCs w:val="24"/>
          <w:lang w:eastAsia="en-US"/>
        </w:rPr>
        <w:tab/>
      </w:r>
      <w:r w:rsidRPr="00255FD2">
        <w:rPr>
          <w:szCs w:val="24"/>
          <w:lang w:eastAsia="en-US"/>
        </w:rPr>
        <w:t>so zreteľom na uznesenie Rady Európskej únie a zástupcov vlád členských štátov, ktorí sa zišli na zasadnutí Rady, o rámci pre európsku spoluprácu v oblasti mládeže: stratégia Európskej únie pre mládež na roky 2019 – 2027</w:t>
      </w:r>
      <w:r w:rsidRPr="00255FD2">
        <w:rPr>
          <w:szCs w:val="24"/>
          <w:vertAlign w:val="superscript"/>
          <w:lang w:eastAsia="en-US"/>
        </w:rPr>
        <w:footnoteReference w:id="7"/>
      </w:r>
      <w:r w:rsidRPr="00255FD2">
        <w:rPr>
          <w:szCs w:val="24"/>
          <w:lang w:eastAsia="en-US"/>
        </w:rPr>
        <w:t>,</w:t>
      </w:r>
    </w:p>
    <w:p w14:paraId="78A721D6" w14:textId="77777777" w:rsidR="00187C50" w:rsidRPr="00255FD2" w:rsidRDefault="00187C50" w:rsidP="00187C50">
      <w:pPr>
        <w:widowControl/>
        <w:spacing w:after="240"/>
        <w:ind w:left="566" w:hanging="566"/>
        <w:rPr>
          <w:b/>
          <w:i/>
          <w:szCs w:val="24"/>
          <w:lang w:eastAsia="en-US"/>
        </w:rPr>
      </w:pPr>
      <w:r w:rsidRPr="00255FD2">
        <w:rPr>
          <w:b/>
          <w:i/>
          <w:szCs w:val="24"/>
          <w:lang w:eastAsia="en-US"/>
        </w:rPr>
        <w:t>–</w:t>
      </w:r>
      <w:r w:rsidRPr="00255FD2">
        <w:rPr>
          <w:b/>
          <w:i/>
          <w:szCs w:val="24"/>
          <w:lang w:eastAsia="en-US"/>
        </w:rPr>
        <w:tab/>
      </w:r>
      <w:r w:rsidRPr="00255FD2">
        <w:rPr>
          <w:szCs w:val="24"/>
          <w:lang w:eastAsia="en-US"/>
        </w:rPr>
        <w:t>so zreteľom na publikáciu Komisie s názvom Usmernenia pre pedagógov týkajúce sa etického používania umelej inteligencie a údajov pri výučbe a vzdelávaní, ktorá bola uverejnená v roku 2026,</w:t>
      </w:r>
    </w:p>
    <w:p w14:paraId="3EC9FEFC" w14:textId="77777777" w:rsidR="00187C50" w:rsidRPr="00255FD2" w:rsidRDefault="00187C50" w:rsidP="00187C50">
      <w:pPr>
        <w:widowControl/>
        <w:spacing w:after="240"/>
        <w:ind w:left="566" w:hanging="566"/>
        <w:rPr>
          <w:b/>
          <w:i/>
          <w:szCs w:val="24"/>
          <w:lang w:eastAsia="en-US"/>
        </w:rPr>
      </w:pPr>
      <w:r w:rsidRPr="00255FD2">
        <w:rPr>
          <w:b/>
          <w:i/>
          <w:szCs w:val="24"/>
          <w:lang w:eastAsia="en-US"/>
        </w:rPr>
        <w:t>–</w:t>
      </w:r>
      <w:r w:rsidRPr="00255FD2">
        <w:rPr>
          <w:szCs w:val="24"/>
          <w:lang w:eastAsia="en-US"/>
        </w:rPr>
        <w:tab/>
        <w:t xml:space="preserve">so zreteľom na publikáciu Komisie s názvom </w:t>
      </w:r>
      <w:proofErr w:type="spellStart"/>
      <w:r w:rsidRPr="00255FD2">
        <w:rPr>
          <w:szCs w:val="24"/>
          <w:lang w:eastAsia="en-US"/>
        </w:rPr>
        <w:t>Guidelines</w:t>
      </w:r>
      <w:proofErr w:type="spellEnd"/>
      <w:r w:rsidRPr="00255FD2">
        <w:rPr>
          <w:szCs w:val="24"/>
          <w:lang w:eastAsia="en-US"/>
        </w:rPr>
        <w:t xml:space="preserve"> </w:t>
      </w:r>
      <w:proofErr w:type="spellStart"/>
      <w:r w:rsidRPr="00255FD2">
        <w:rPr>
          <w:szCs w:val="24"/>
          <w:lang w:eastAsia="en-US"/>
        </w:rPr>
        <w:t>for</w:t>
      </w:r>
      <w:proofErr w:type="spellEnd"/>
      <w:r w:rsidRPr="00255FD2">
        <w:rPr>
          <w:szCs w:val="24"/>
          <w:lang w:eastAsia="en-US"/>
        </w:rPr>
        <w:t xml:space="preserve"> </w:t>
      </w:r>
      <w:proofErr w:type="spellStart"/>
      <w:r w:rsidRPr="00255FD2">
        <w:rPr>
          <w:szCs w:val="24"/>
          <w:lang w:eastAsia="en-US"/>
        </w:rPr>
        <w:t>teaching</w:t>
      </w:r>
      <w:proofErr w:type="spellEnd"/>
      <w:r w:rsidRPr="00255FD2">
        <w:rPr>
          <w:szCs w:val="24"/>
          <w:lang w:eastAsia="en-US"/>
        </w:rPr>
        <w:t xml:space="preserve"> </w:t>
      </w:r>
      <w:proofErr w:type="spellStart"/>
      <w:r w:rsidRPr="00255FD2">
        <w:rPr>
          <w:szCs w:val="24"/>
          <w:lang w:eastAsia="en-US"/>
        </w:rPr>
        <w:t>informatics</w:t>
      </w:r>
      <w:proofErr w:type="spellEnd"/>
      <w:r w:rsidRPr="00255FD2">
        <w:rPr>
          <w:szCs w:val="24"/>
          <w:lang w:eastAsia="en-US"/>
        </w:rPr>
        <w:t xml:space="preserve">: </w:t>
      </w:r>
      <w:proofErr w:type="spellStart"/>
      <w:r w:rsidRPr="00255FD2">
        <w:rPr>
          <w:szCs w:val="24"/>
          <w:lang w:eastAsia="en-US"/>
        </w:rPr>
        <w:t>practical</w:t>
      </w:r>
      <w:proofErr w:type="spellEnd"/>
      <w:r w:rsidRPr="00255FD2">
        <w:rPr>
          <w:szCs w:val="24"/>
          <w:lang w:eastAsia="en-US"/>
        </w:rPr>
        <w:t xml:space="preserve"> </w:t>
      </w:r>
      <w:proofErr w:type="spellStart"/>
      <w:r w:rsidRPr="00255FD2">
        <w:rPr>
          <w:szCs w:val="24"/>
          <w:lang w:eastAsia="en-US"/>
        </w:rPr>
        <w:t>strategies</w:t>
      </w:r>
      <w:proofErr w:type="spellEnd"/>
      <w:r w:rsidRPr="00255FD2">
        <w:rPr>
          <w:szCs w:val="24"/>
          <w:lang w:eastAsia="en-US"/>
        </w:rPr>
        <w:t xml:space="preserve"> </w:t>
      </w:r>
      <w:proofErr w:type="spellStart"/>
      <w:r w:rsidRPr="00255FD2">
        <w:rPr>
          <w:szCs w:val="24"/>
          <w:lang w:eastAsia="en-US"/>
        </w:rPr>
        <w:t>for</w:t>
      </w:r>
      <w:proofErr w:type="spellEnd"/>
      <w:r w:rsidRPr="00255FD2">
        <w:rPr>
          <w:szCs w:val="24"/>
          <w:lang w:eastAsia="en-US"/>
        </w:rPr>
        <w:t xml:space="preserve"> European </w:t>
      </w:r>
      <w:proofErr w:type="spellStart"/>
      <w:r w:rsidRPr="00255FD2">
        <w:rPr>
          <w:szCs w:val="24"/>
          <w:lang w:eastAsia="en-US"/>
        </w:rPr>
        <w:t>classrooms</w:t>
      </w:r>
      <w:proofErr w:type="spellEnd"/>
      <w:r w:rsidRPr="00255FD2">
        <w:rPr>
          <w:szCs w:val="24"/>
          <w:lang w:eastAsia="en-US"/>
        </w:rPr>
        <w:t xml:space="preserve"> (Usmernenia pre výučbu informatiky: praktické stratégie pre európske školy), ktorá bola uverejnená v roku 2026,</w:t>
      </w:r>
    </w:p>
    <w:p w14:paraId="6647E748" w14:textId="77777777" w:rsidR="00187C50" w:rsidRPr="00255FD2" w:rsidRDefault="00187C50" w:rsidP="00187C50">
      <w:pPr>
        <w:widowControl/>
        <w:spacing w:after="240"/>
        <w:ind w:left="566" w:hanging="566"/>
        <w:rPr>
          <w:b/>
          <w:i/>
          <w:szCs w:val="24"/>
          <w:lang w:eastAsia="en-US"/>
        </w:rPr>
      </w:pPr>
      <w:r w:rsidRPr="00255FD2">
        <w:rPr>
          <w:b/>
          <w:i/>
          <w:szCs w:val="24"/>
          <w:lang w:eastAsia="en-US"/>
        </w:rPr>
        <w:t>–</w:t>
      </w:r>
      <w:r w:rsidRPr="00255FD2">
        <w:rPr>
          <w:b/>
          <w:i/>
          <w:szCs w:val="24"/>
          <w:lang w:eastAsia="en-US"/>
        </w:rPr>
        <w:tab/>
      </w:r>
      <w:r w:rsidRPr="00255FD2">
        <w:rPr>
          <w:szCs w:val="24"/>
          <w:lang w:eastAsia="en-US"/>
        </w:rPr>
        <w:t xml:space="preserve">so zreteľom na publikáciu Komisie s názvom </w:t>
      </w:r>
      <w:proofErr w:type="spellStart"/>
      <w:r w:rsidRPr="00255FD2">
        <w:rPr>
          <w:szCs w:val="24"/>
          <w:lang w:eastAsia="en-US"/>
        </w:rPr>
        <w:t>Wellbeing</w:t>
      </w:r>
      <w:proofErr w:type="spellEnd"/>
      <w:r w:rsidRPr="00255FD2">
        <w:rPr>
          <w:szCs w:val="24"/>
          <w:lang w:eastAsia="en-US"/>
        </w:rPr>
        <w:t xml:space="preserve"> and </w:t>
      </w:r>
      <w:proofErr w:type="spellStart"/>
      <w:r w:rsidRPr="00255FD2">
        <w:rPr>
          <w:szCs w:val="24"/>
          <w:lang w:eastAsia="en-US"/>
        </w:rPr>
        <w:t>mental</w:t>
      </w:r>
      <w:proofErr w:type="spellEnd"/>
      <w:r w:rsidRPr="00255FD2">
        <w:rPr>
          <w:szCs w:val="24"/>
          <w:lang w:eastAsia="en-US"/>
        </w:rPr>
        <w:t xml:space="preserve"> </w:t>
      </w:r>
      <w:proofErr w:type="spellStart"/>
      <w:r w:rsidRPr="00255FD2">
        <w:rPr>
          <w:szCs w:val="24"/>
          <w:lang w:eastAsia="en-US"/>
        </w:rPr>
        <w:t>health</w:t>
      </w:r>
      <w:proofErr w:type="spellEnd"/>
      <w:r w:rsidRPr="00255FD2">
        <w:rPr>
          <w:szCs w:val="24"/>
          <w:lang w:eastAsia="en-US"/>
        </w:rPr>
        <w:t xml:space="preserve"> at </w:t>
      </w:r>
      <w:proofErr w:type="spellStart"/>
      <w:r w:rsidRPr="00255FD2">
        <w:rPr>
          <w:szCs w:val="24"/>
          <w:lang w:eastAsia="en-US"/>
        </w:rPr>
        <w:t>school</w:t>
      </w:r>
      <w:proofErr w:type="spellEnd"/>
      <w:r w:rsidRPr="00255FD2">
        <w:rPr>
          <w:szCs w:val="24"/>
          <w:lang w:eastAsia="en-US"/>
        </w:rPr>
        <w:t xml:space="preserve"> – </w:t>
      </w:r>
      <w:proofErr w:type="spellStart"/>
      <w:r w:rsidRPr="00255FD2">
        <w:rPr>
          <w:szCs w:val="24"/>
          <w:lang w:eastAsia="en-US"/>
        </w:rPr>
        <w:t>Guidelines</w:t>
      </w:r>
      <w:proofErr w:type="spellEnd"/>
      <w:r w:rsidRPr="00255FD2">
        <w:rPr>
          <w:szCs w:val="24"/>
          <w:lang w:eastAsia="en-US"/>
        </w:rPr>
        <w:t xml:space="preserve"> </w:t>
      </w:r>
      <w:proofErr w:type="spellStart"/>
      <w:r w:rsidRPr="00255FD2">
        <w:rPr>
          <w:szCs w:val="24"/>
          <w:lang w:eastAsia="en-US"/>
        </w:rPr>
        <w:t>for</w:t>
      </w:r>
      <w:proofErr w:type="spellEnd"/>
      <w:r w:rsidRPr="00255FD2">
        <w:rPr>
          <w:szCs w:val="24"/>
          <w:lang w:eastAsia="en-US"/>
        </w:rPr>
        <w:t xml:space="preserve"> </w:t>
      </w:r>
      <w:proofErr w:type="spellStart"/>
      <w:r w:rsidRPr="00255FD2">
        <w:rPr>
          <w:szCs w:val="24"/>
          <w:lang w:eastAsia="en-US"/>
        </w:rPr>
        <w:t>education</w:t>
      </w:r>
      <w:proofErr w:type="spellEnd"/>
      <w:r w:rsidRPr="00255FD2">
        <w:rPr>
          <w:szCs w:val="24"/>
          <w:lang w:eastAsia="en-US"/>
        </w:rPr>
        <w:t xml:space="preserve"> </w:t>
      </w:r>
      <w:proofErr w:type="spellStart"/>
      <w:r w:rsidRPr="00255FD2">
        <w:rPr>
          <w:szCs w:val="24"/>
          <w:lang w:eastAsia="en-US"/>
        </w:rPr>
        <w:t>policymakers</w:t>
      </w:r>
      <w:proofErr w:type="spellEnd"/>
      <w:r w:rsidRPr="00255FD2">
        <w:rPr>
          <w:szCs w:val="24"/>
          <w:lang w:eastAsia="en-US"/>
        </w:rPr>
        <w:t xml:space="preserve"> (Pohoda a duševné zdravie v školách – Usmernenia pre tvorcov politík v oblasti vzdelávania), ktorá bola uverejnená v roku 2024,</w:t>
      </w:r>
    </w:p>
    <w:p w14:paraId="6F8097E9" w14:textId="77777777" w:rsidR="00187C50" w:rsidRPr="00255FD2" w:rsidRDefault="00187C50" w:rsidP="00187C50">
      <w:pPr>
        <w:widowControl/>
        <w:spacing w:after="240"/>
        <w:ind w:left="566" w:hanging="566"/>
        <w:rPr>
          <w:b/>
          <w:i/>
          <w:szCs w:val="24"/>
          <w:lang w:eastAsia="en-US"/>
        </w:rPr>
      </w:pPr>
      <w:r w:rsidRPr="00255FD2">
        <w:rPr>
          <w:b/>
          <w:i/>
          <w:szCs w:val="24"/>
          <w:lang w:eastAsia="en-US"/>
        </w:rPr>
        <w:t>–</w:t>
      </w:r>
      <w:r w:rsidRPr="00255FD2">
        <w:rPr>
          <w:b/>
          <w:i/>
          <w:szCs w:val="24"/>
          <w:lang w:eastAsia="en-US"/>
        </w:rPr>
        <w:tab/>
      </w:r>
      <w:r w:rsidRPr="00255FD2">
        <w:rPr>
          <w:szCs w:val="24"/>
          <w:lang w:eastAsia="en-US"/>
        </w:rPr>
        <w:t xml:space="preserve">so zreteľom na publikáciu Spoločného výskumného centra s názvom </w:t>
      </w:r>
      <w:proofErr w:type="spellStart"/>
      <w:r w:rsidRPr="00255FD2">
        <w:rPr>
          <w:szCs w:val="24"/>
          <w:lang w:eastAsia="en-US"/>
        </w:rPr>
        <w:t>Social</w:t>
      </w:r>
      <w:proofErr w:type="spellEnd"/>
      <w:r w:rsidRPr="00255FD2">
        <w:rPr>
          <w:szCs w:val="24"/>
          <w:lang w:eastAsia="en-US"/>
        </w:rPr>
        <w:t xml:space="preserve"> </w:t>
      </w:r>
      <w:proofErr w:type="spellStart"/>
      <w:r w:rsidRPr="00255FD2">
        <w:rPr>
          <w:szCs w:val="24"/>
          <w:lang w:eastAsia="en-US"/>
        </w:rPr>
        <w:t>media</w:t>
      </w:r>
      <w:proofErr w:type="spellEnd"/>
      <w:r w:rsidRPr="00255FD2">
        <w:rPr>
          <w:szCs w:val="24"/>
          <w:lang w:eastAsia="en-US"/>
        </w:rPr>
        <w:t xml:space="preserve"> </w:t>
      </w:r>
      <w:proofErr w:type="spellStart"/>
      <w:r w:rsidRPr="00255FD2">
        <w:rPr>
          <w:szCs w:val="24"/>
          <w:lang w:eastAsia="en-US"/>
        </w:rPr>
        <w:t>usage</w:t>
      </w:r>
      <w:proofErr w:type="spellEnd"/>
      <w:r w:rsidRPr="00255FD2">
        <w:rPr>
          <w:szCs w:val="24"/>
          <w:lang w:eastAsia="en-US"/>
        </w:rPr>
        <w:t xml:space="preserve"> and </w:t>
      </w:r>
      <w:proofErr w:type="spellStart"/>
      <w:r w:rsidRPr="00255FD2">
        <w:rPr>
          <w:szCs w:val="24"/>
          <w:lang w:eastAsia="en-US"/>
        </w:rPr>
        <w:t>adolescents</w:t>
      </w:r>
      <w:proofErr w:type="spellEnd"/>
      <w:r w:rsidRPr="00255FD2">
        <w:rPr>
          <w:szCs w:val="24"/>
          <w:lang w:eastAsia="en-US"/>
        </w:rPr>
        <w:t xml:space="preserve">’ </w:t>
      </w:r>
      <w:proofErr w:type="spellStart"/>
      <w:r w:rsidRPr="00255FD2">
        <w:rPr>
          <w:szCs w:val="24"/>
          <w:lang w:eastAsia="en-US"/>
        </w:rPr>
        <w:t>mental</w:t>
      </w:r>
      <w:proofErr w:type="spellEnd"/>
      <w:r w:rsidRPr="00255FD2">
        <w:rPr>
          <w:szCs w:val="24"/>
          <w:lang w:eastAsia="en-US"/>
        </w:rPr>
        <w:t xml:space="preserve"> </w:t>
      </w:r>
      <w:proofErr w:type="spellStart"/>
      <w:r w:rsidRPr="00255FD2">
        <w:rPr>
          <w:szCs w:val="24"/>
          <w:lang w:eastAsia="en-US"/>
        </w:rPr>
        <w:t>health</w:t>
      </w:r>
      <w:proofErr w:type="spellEnd"/>
      <w:r w:rsidRPr="00255FD2">
        <w:rPr>
          <w:szCs w:val="24"/>
          <w:lang w:eastAsia="en-US"/>
        </w:rPr>
        <w:t xml:space="preserve"> in </w:t>
      </w:r>
      <w:proofErr w:type="spellStart"/>
      <w:r w:rsidRPr="00255FD2">
        <w:rPr>
          <w:szCs w:val="24"/>
          <w:lang w:eastAsia="en-US"/>
        </w:rPr>
        <w:t>the</w:t>
      </w:r>
      <w:proofErr w:type="spellEnd"/>
      <w:r w:rsidRPr="00255FD2">
        <w:rPr>
          <w:szCs w:val="24"/>
          <w:lang w:eastAsia="en-US"/>
        </w:rPr>
        <w:t xml:space="preserve"> EU (Používanie sociálnych médií a duševné zdravie dospievajúcich v EÚ), ktorá bola uverejnená v roku 2025,</w:t>
      </w:r>
    </w:p>
    <w:p w14:paraId="3350AEEB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b/>
          <w:i/>
          <w:szCs w:val="24"/>
          <w:lang w:eastAsia="en-US"/>
        </w:rPr>
        <w:t>–</w:t>
      </w:r>
      <w:r w:rsidRPr="00255FD2">
        <w:rPr>
          <w:b/>
          <w:i/>
          <w:szCs w:val="24"/>
          <w:lang w:eastAsia="en-US"/>
        </w:rPr>
        <w:tab/>
      </w:r>
      <w:r w:rsidRPr="00255FD2">
        <w:rPr>
          <w:szCs w:val="24"/>
          <w:lang w:eastAsia="en-US"/>
        </w:rPr>
        <w:t xml:space="preserve">so zreteľom na správy UNESCO, najmä na správu s názvom </w:t>
      </w:r>
      <w:proofErr w:type="spellStart"/>
      <w:r w:rsidRPr="00255FD2">
        <w:rPr>
          <w:szCs w:val="24"/>
          <w:lang w:eastAsia="en-US"/>
        </w:rPr>
        <w:t>Media</w:t>
      </w:r>
      <w:proofErr w:type="spellEnd"/>
      <w:r w:rsidRPr="00255FD2">
        <w:rPr>
          <w:szCs w:val="24"/>
          <w:lang w:eastAsia="en-US"/>
        </w:rPr>
        <w:t xml:space="preserve"> and </w:t>
      </w:r>
      <w:proofErr w:type="spellStart"/>
      <w:r w:rsidRPr="00255FD2">
        <w:rPr>
          <w:szCs w:val="24"/>
          <w:lang w:eastAsia="en-US"/>
        </w:rPr>
        <w:t>information</w:t>
      </w:r>
      <w:proofErr w:type="spellEnd"/>
      <w:r w:rsidRPr="00255FD2">
        <w:rPr>
          <w:szCs w:val="24"/>
          <w:lang w:eastAsia="en-US"/>
        </w:rPr>
        <w:t xml:space="preserve"> </w:t>
      </w:r>
      <w:proofErr w:type="spellStart"/>
      <w:r w:rsidRPr="00255FD2">
        <w:rPr>
          <w:szCs w:val="24"/>
          <w:lang w:eastAsia="en-US"/>
        </w:rPr>
        <w:t>literacy</w:t>
      </w:r>
      <w:proofErr w:type="spellEnd"/>
      <w:r w:rsidRPr="00255FD2">
        <w:rPr>
          <w:szCs w:val="24"/>
          <w:lang w:eastAsia="en-US"/>
        </w:rPr>
        <w:t xml:space="preserve"> </w:t>
      </w:r>
      <w:proofErr w:type="spellStart"/>
      <w:r w:rsidRPr="00255FD2">
        <w:rPr>
          <w:szCs w:val="24"/>
          <w:lang w:eastAsia="en-US"/>
        </w:rPr>
        <w:t>for</w:t>
      </w:r>
      <w:proofErr w:type="spellEnd"/>
      <w:r w:rsidRPr="00255FD2">
        <w:rPr>
          <w:szCs w:val="24"/>
          <w:lang w:eastAsia="en-US"/>
        </w:rPr>
        <w:t xml:space="preserve"> </w:t>
      </w:r>
      <w:proofErr w:type="spellStart"/>
      <w:r w:rsidRPr="00255FD2">
        <w:rPr>
          <w:szCs w:val="24"/>
          <w:lang w:eastAsia="en-US"/>
        </w:rPr>
        <w:t>all</w:t>
      </w:r>
      <w:proofErr w:type="spellEnd"/>
      <w:r w:rsidRPr="00255FD2">
        <w:rPr>
          <w:szCs w:val="24"/>
          <w:lang w:eastAsia="en-US"/>
        </w:rPr>
        <w:t xml:space="preserve">: </w:t>
      </w:r>
      <w:proofErr w:type="spellStart"/>
      <w:r w:rsidRPr="00255FD2">
        <w:rPr>
          <w:szCs w:val="24"/>
          <w:lang w:eastAsia="en-US"/>
        </w:rPr>
        <w:t>closing</w:t>
      </w:r>
      <w:proofErr w:type="spellEnd"/>
      <w:r w:rsidRPr="00255FD2">
        <w:rPr>
          <w:szCs w:val="24"/>
          <w:lang w:eastAsia="en-US"/>
        </w:rPr>
        <w:t xml:space="preserve"> </w:t>
      </w:r>
      <w:proofErr w:type="spellStart"/>
      <w:r w:rsidRPr="00255FD2">
        <w:rPr>
          <w:szCs w:val="24"/>
          <w:lang w:eastAsia="en-US"/>
        </w:rPr>
        <w:t>the</w:t>
      </w:r>
      <w:proofErr w:type="spellEnd"/>
      <w:r w:rsidRPr="00255FD2">
        <w:rPr>
          <w:szCs w:val="24"/>
          <w:lang w:eastAsia="en-US"/>
        </w:rPr>
        <w:t xml:space="preserve"> </w:t>
      </w:r>
      <w:proofErr w:type="spellStart"/>
      <w:r w:rsidRPr="00255FD2">
        <w:rPr>
          <w:szCs w:val="24"/>
          <w:lang w:eastAsia="en-US"/>
        </w:rPr>
        <w:t>gaps</w:t>
      </w:r>
      <w:proofErr w:type="spellEnd"/>
      <w:r w:rsidRPr="00255FD2">
        <w:rPr>
          <w:szCs w:val="24"/>
          <w:lang w:eastAsia="en-US"/>
        </w:rPr>
        <w:t xml:space="preserve">: </w:t>
      </w:r>
      <w:proofErr w:type="spellStart"/>
      <w:r w:rsidRPr="00255FD2">
        <w:rPr>
          <w:szCs w:val="24"/>
          <w:lang w:eastAsia="en-US"/>
        </w:rPr>
        <w:t>global</w:t>
      </w:r>
      <w:proofErr w:type="spellEnd"/>
      <w:r w:rsidRPr="00255FD2">
        <w:rPr>
          <w:szCs w:val="24"/>
          <w:lang w:eastAsia="en-US"/>
        </w:rPr>
        <w:t xml:space="preserve"> </w:t>
      </w:r>
      <w:proofErr w:type="spellStart"/>
      <w:r w:rsidRPr="00255FD2">
        <w:rPr>
          <w:szCs w:val="24"/>
          <w:lang w:eastAsia="en-US"/>
        </w:rPr>
        <w:t>analysis</w:t>
      </w:r>
      <w:proofErr w:type="spellEnd"/>
      <w:r w:rsidRPr="00255FD2">
        <w:rPr>
          <w:szCs w:val="24"/>
          <w:lang w:eastAsia="en-US"/>
        </w:rPr>
        <w:t xml:space="preserve"> of </w:t>
      </w:r>
      <w:proofErr w:type="spellStart"/>
      <w:r w:rsidRPr="00255FD2">
        <w:rPr>
          <w:szCs w:val="24"/>
          <w:lang w:eastAsia="en-US"/>
        </w:rPr>
        <w:t>the</w:t>
      </w:r>
      <w:proofErr w:type="spellEnd"/>
      <w:r w:rsidRPr="00255FD2">
        <w:rPr>
          <w:szCs w:val="24"/>
          <w:lang w:eastAsia="en-US"/>
        </w:rPr>
        <w:t xml:space="preserve"> </w:t>
      </w:r>
      <w:proofErr w:type="spellStart"/>
      <w:r w:rsidRPr="00255FD2">
        <w:rPr>
          <w:szCs w:val="24"/>
          <w:lang w:eastAsia="en-US"/>
        </w:rPr>
        <w:t>current</w:t>
      </w:r>
      <w:proofErr w:type="spellEnd"/>
      <w:r w:rsidRPr="00255FD2">
        <w:rPr>
          <w:szCs w:val="24"/>
          <w:lang w:eastAsia="en-US"/>
        </w:rPr>
        <w:t xml:space="preserve"> state of </w:t>
      </w:r>
      <w:proofErr w:type="spellStart"/>
      <w:r w:rsidRPr="00255FD2">
        <w:rPr>
          <w:szCs w:val="24"/>
          <w:lang w:eastAsia="en-US"/>
        </w:rPr>
        <w:t>play</w:t>
      </w:r>
      <w:proofErr w:type="spellEnd"/>
      <w:r w:rsidRPr="00255FD2">
        <w:rPr>
          <w:szCs w:val="24"/>
          <w:lang w:eastAsia="en-US"/>
        </w:rPr>
        <w:t xml:space="preserve"> of </w:t>
      </w:r>
      <w:proofErr w:type="spellStart"/>
      <w:r w:rsidRPr="00255FD2">
        <w:rPr>
          <w:szCs w:val="24"/>
          <w:lang w:eastAsia="en-US"/>
        </w:rPr>
        <w:t>media</w:t>
      </w:r>
      <w:proofErr w:type="spellEnd"/>
      <w:r w:rsidRPr="00255FD2">
        <w:rPr>
          <w:szCs w:val="24"/>
          <w:lang w:eastAsia="en-US"/>
        </w:rPr>
        <w:t xml:space="preserve"> and </w:t>
      </w:r>
      <w:proofErr w:type="spellStart"/>
      <w:r w:rsidRPr="00255FD2">
        <w:rPr>
          <w:szCs w:val="24"/>
          <w:lang w:eastAsia="en-US"/>
        </w:rPr>
        <w:t>information</w:t>
      </w:r>
      <w:proofErr w:type="spellEnd"/>
      <w:r w:rsidRPr="00255FD2">
        <w:rPr>
          <w:szCs w:val="24"/>
          <w:lang w:eastAsia="en-US"/>
        </w:rPr>
        <w:t xml:space="preserve"> </w:t>
      </w:r>
      <w:proofErr w:type="spellStart"/>
      <w:r w:rsidRPr="00255FD2">
        <w:rPr>
          <w:szCs w:val="24"/>
          <w:lang w:eastAsia="en-US"/>
        </w:rPr>
        <w:t>literacy</w:t>
      </w:r>
      <w:proofErr w:type="spellEnd"/>
      <w:r w:rsidRPr="00255FD2">
        <w:rPr>
          <w:szCs w:val="24"/>
          <w:lang w:eastAsia="en-US"/>
        </w:rPr>
        <w:t xml:space="preserve"> (Mediálna a informačná gramotnosť pre všetkých: odstraňovanie </w:t>
      </w:r>
      <w:r w:rsidRPr="00255FD2">
        <w:rPr>
          <w:szCs w:val="24"/>
          <w:lang w:eastAsia="en-US"/>
        </w:rPr>
        <w:lastRenderedPageBreak/>
        <w:t>nedostatkov: globálna analýza súčasného stavu mediálnej a informačnej gramotnosti), ktorá bola uverejnená v roku 2025,</w:t>
      </w:r>
    </w:p>
    <w:p w14:paraId="39534F27" w14:textId="77777777" w:rsidR="00187C50" w:rsidRPr="00255FD2" w:rsidRDefault="00187C50" w:rsidP="00187C50">
      <w:pPr>
        <w:widowControl/>
        <w:spacing w:after="240"/>
        <w:ind w:left="566" w:hanging="566"/>
        <w:rPr>
          <w:b/>
          <w:i/>
          <w:szCs w:val="24"/>
          <w:lang w:eastAsia="en-US"/>
        </w:rPr>
      </w:pPr>
      <w:r w:rsidRPr="00255FD2">
        <w:rPr>
          <w:b/>
          <w:i/>
          <w:szCs w:val="24"/>
          <w:lang w:eastAsia="en-US"/>
        </w:rPr>
        <w:t>–</w:t>
      </w:r>
      <w:r w:rsidRPr="00255FD2">
        <w:rPr>
          <w:b/>
          <w:i/>
          <w:szCs w:val="24"/>
          <w:lang w:eastAsia="en-US"/>
        </w:rPr>
        <w:tab/>
      </w:r>
      <w:r w:rsidRPr="00255FD2">
        <w:rPr>
          <w:szCs w:val="24"/>
          <w:lang w:eastAsia="en-US"/>
        </w:rPr>
        <w:t xml:space="preserve">so zreteľom na publikáciu OECD s názvom </w:t>
      </w:r>
      <w:proofErr w:type="spellStart"/>
      <w:r w:rsidRPr="00255FD2">
        <w:rPr>
          <w:szCs w:val="24"/>
          <w:lang w:eastAsia="en-US"/>
        </w:rPr>
        <w:t>Pisa</w:t>
      </w:r>
      <w:proofErr w:type="spellEnd"/>
      <w:r w:rsidRPr="00255FD2">
        <w:rPr>
          <w:szCs w:val="24"/>
          <w:lang w:eastAsia="en-US"/>
        </w:rPr>
        <w:t xml:space="preserve"> 2022 </w:t>
      </w:r>
      <w:proofErr w:type="spellStart"/>
      <w:r w:rsidRPr="00255FD2">
        <w:rPr>
          <w:szCs w:val="24"/>
          <w:lang w:eastAsia="en-US"/>
        </w:rPr>
        <w:t>Results</w:t>
      </w:r>
      <w:proofErr w:type="spellEnd"/>
      <w:r w:rsidRPr="00255FD2">
        <w:rPr>
          <w:szCs w:val="24"/>
          <w:lang w:eastAsia="en-US"/>
        </w:rPr>
        <w:t xml:space="preserve"> (</w:t>
      </w:r>
      <w:proofErr w:type="spellStart"/>
      <w:r w:rsidRPr="00255FD2">
        <w:rPr>
          <w:szCs w:val="24"/>
          <w:lang w:eastAsia="en-US"/>
        </w:rPr>
        <w:t>Volume</w:t>
      </w:r>
      <w:proofErr w:type="spellEnd"/>
      <w:r w:rsidRPr="00255FD2">
        <w:rPr>
          <w:szCs w:val="24"/>
          <w:lang w:eastAsia="en-US"/>
        </w:rPr>
        <w:t xml:space="preserve"> II): </w:t>
      </w:r>
      <w:proofErr w:type="spellStart"/>
      <w:r w:rsidRPr="00255FD2">
        <w:rPr>
          <w:szCs w:val="24"/>
          <w:lang w:eastAsia="en-US"/>
        </w:rPr>
        <w:t>Learning</w:t>
      </w:r>
      <w:proofErr w:type="spellEnd"/>
      <w:r w:rsidRPr="00255FD2">
        <w:rPr>
          <w:szCs w:val="24"/>
          <w:lang w:eastAsia="en-US"/>
        </w:rPr>
        <w:t xml:space="preserve"> </w:t>
      </w:r>
      <w:proofErr w:type="spellStart"/>
      <w:r w:rsidRPr="00255FD2">
        <w:rPr>
          <w:szCs w:val="24"/>
          <w:lang w:eastAsia="en-US"/>
        </w:rPr>
        <w:t>During</w:t>
      </w:r>
      <w:proofErr w:type="spellEnd"/>
      <w:r w:rsidRPr="00255FD2">
        <w:rPr>
          <w:szCs w:val="24"/>
          <w:lang w:eastAsia="en-US"/>
        </w:rPr>
        <w:t xml:space="preserve"> – and </w:t>
      </w:r>
      <w:proofErr w:type="spellStart"/>
      <w:r w:rsidRPr="00255FD2">
        <w:rPr>
          <w:szCs w:val="24"/>
          <w:lang w:eastAsia="en-US"/>
        </w:rPr>
        <w:t>From</w:t>
      </w:r>
      <w:proofErr w:type="spellEnd"/>
      <w:r w:rsidRPr="00255FD2">
        <w:rPr>
          <w:szCs w:val="24"/>
          <w:lang w:eastAsia="en-US"/>
        </w:rPr>
        <w:t xml:space="preserve"> – </w:t>
      </w:r>
      <w:proofErr w:type="spellStart"/>
      <w:r w:rsidRPr="00255FD2">
        <w:rPr>
          <w:szCs w:val="24"/>
          <w:lang w:eastAsia="en-US"/>
        </w:rPr>
        <w:t>Disruption</w:t>
      </w:r>
      <w:proofErr w:type="spellEnd"/>
      <w:r w:rsidRPr="00255FD2">
        <w:rPr>
          <w:szCs w:val="24"/>
          <w:lang w:eastAsia="en-US"/>
        </w:rPr>
        <w:t xml:space="preserve"> (Výsledky PISA 2022 (zväzok II) Vzdelávanie počas krízy a z toho vyplývajúce ponaučenia), ktorá bola uverejnená v roku 2023,</w:t>
      </w:r>
    </w:p>
    <w:p w14:paraId="4C106694" w14:textId="77777777" w:rsidR="00187C50" w:rsidRPr="00255FD2" w:rsidRDefault="00187C50" w:rsidP="00187C50">
      <w:pPr>
        <w:widowControl/>
        <w:spacing w:after="240"/>
        <w:ind w:left="566" w:hanging="566"/>
        <w:rPr>
          <w:b/>
          <w:i/>
          <w:szCs w:val="24"/>
          <w:lang w:eastAsia="en-US"/>
        </w:rPr>
      </w:pPr>
      <w:r w:rsidRPr="00255FD2">
        <w:rPr>
          <w:b/>
          <w:i/>
          <w:szCs w:val="24"/>
          <w:lang w:eastAsia="en-US"/>
        </w:rPr>
        <w:t>–</w:t>
      </w:r>
      <w:r w:rsidRPr="00255FD2">
        <w:rPr>
          <w:b/>
          <w:i/>
          <w:szCs w:val="24"/>
          <w:lang w:eastAsia="en-US"/>
        </w:rPr>
        <w:tab/>
      </w:r>
      <w:r w:rsidRPr="00255FD2">
        <w:rPr>
          <w:szCs w:val="24"/>
          <w:lang w:eastAsia="en-US"/>
        </w:rPr>
        <w:t>so zreteľom na oznámenie Komisie zo 10. októbra 2025 s názvom Usmernenia k opatreniam na zabezpečenie vysokej úrovne súkromia, bezpečnosti a ochrany maloletých osôb na internete v súlade s článkom 28 ods. 4 nariadenia (EÚ) 2022/2065</w:t>
      </w:r>
      <w:r w:rsidRPr="00255FD2">
        <w:rPr>
          <w:bCs/>
          <w:iCs/>
          <w:szCs w:val="24"/>
          <w:vertAlign w:val="superscript"/>
          <w:lang w:eastAsia="en-US"/>
        </w:rPr>
        <w:footnoteReference w:id="8"/>
      </w:r>
      <w:r w:rsidRPr="00255FD2">
        <w:rPr>
          <w:szCs w:val="24"/>
          <w:lang w:eastAsia="en-US"/>
        </w:rPr>
        <w:t>,</w:t>
      </w:r>
    </w:p>
    <w:p w14:paraId="2C3C2CAF" w14:textId="77777777" w:rsidR="00187C50" w:rsidRPr="00255FD2" w:rsidRDefault="00187C50" w:rsidP="00187C50">
      <w:pPr>
        <w:widowControl/>
        <w:spacing w:after="240"/>
        <w:ind w:left="566" w:hanging="566"/>
        <w:rPr>
          <w:b/>
          <w:i/>
          <w:szCs w:val="24"/>
          <w:lang w:eastAsia="en-US"/>
        </w:rPr>
      </w:pPr>
      <w:r w:rsidRPr="00255FD2">
        <w:rPr>
          <w:b/>
          <w:i/>
          <w:szCs w:val="24"/>
          <w:lang w:eastAsia="en-US"/>
        </w:rPr>
        <w:t>–</w:t>
      </w:r>
      <w:r w:rsidRPr="00255FD2">
        <w:rPr>
          <w:szCs w:val="24"/>
          <w:lang w:eastAsia="en-US"/>
        </w:rPr>
        <w:tab/>
        <w:t>so zreteľom na Dohovor OSN o právach dieťaťa z 20. novembra 1989 a na všeobecné odporúčanie č. 25 z roku 2021 týkajúce sa práv detí v súvislosti s digitálnym prostredím,</w:t>
      </w:r>
    </w:p>
    <w:p w14:paraId="1B8B0527" w14:textId="77777777" w:rsidR="00187C50" w:rsidRPr="00255FD2" w:rsidRDefault="00187C50" w:rsidP="00187C50">
      <w:pPr>
        <w:widowControl/>
        <w:spacing w:after="240"/>
        <w:ind w:left="566" w:hanging="566"/>
        <w:rPr>
          <w:b/>
          <w:i/>
          <w:szCs w:val="24"/>
          <w:lang w:eastAsia="en-US"/>
        </w:rPr>
      </w:pPr>
      <w:r w:rsidRPr="00255FD2">
        <w:rPr>
          <w:b/>
          <w:i/>
          <w:szCs w:val="24"/>
          <w:lang w:eastAsia="en-US"/>
        </w:rPr>
        <w:t>–</w:t>
      </w:r>
      <w:r w:rsidRPr="00255FD2">
        <w:rPr>
          <w:b/>
          <w:i/>
          <w:szCs w:val="24"/>
          <w:lang w:eastAsia="en-US"/>
        </w:rPr>
        <w:tab/>
      </w:r>
      <w:r w:rsidRPr="00255FD2">
        <w:rPr>
          <w:szCs w:val="24"/>
          <w:lang w:eastAsia="en-US"/>
        </w:rPr>
        <w:t xml:space="preserve">so zreteľom na publikáciu OECD s názvom </w:t>
      </w:r>
      <w:proofErr w:type="spellStart"/>
      <w:r w:rsidRPr="00255FD2">
        <w:rPr>
          <w:szCs w:val="24"/>
          <w:lang w:eastAsia="en-US"/>
        </w:rPr>
        <w:t>Recommendation</w:t>
      </w:r>
      <w:proofErr w:type="spellEnd"/>
      <w:r w:rsidRPr="00255FD2">
        <w:rPr>
          <w:szCs w:val="24"/>
          <w:lang w:eastAsia="en-US"/>
        </w:rPr>
        <w:t xml:space="preserve"> of </w:t>
      </w:r>
      <w:proofErr w:type="spellStart"/>
      <w:r w:rsidRPr="00255FD2">
        <w:rPr>
          <w:szCs w:val="24"/>
          <w:lang w:eastAsia="en-US"/>
        </w:rPr>
        <w:t>the</w:t>
      </w:r>
      <w:proofErr w:type="spellEnd"/>
      <w:r w:rsidRPr="00255FD2">
        <w:rPr>
          <w:szCs w:val="24"/>
          <w:lang w:eastAsia="en-US"/>
        </w:rPr>
        <w:t xml:space="preserve"> </w:t>
      </w:r>
      <w:proofErr w:type="spellStart"/>
      <w:r w:rsidRPr="00255FD2">
        <w:rPr>
          <w:szCs w:val="24"/>
          <w:lang w:eastAsia="en-US"/>
        </w:rPr>
        <w:t>Council</w:t>
      </w:r>
      <w:proofErr w:type="spellEnd"/>
      <w:r w:rsidRPr="00255FD2">
        <w:rPr>
          <w:szCs w:val="24"/>
          <w:lang w:eastAsia="en-US"/>
        </w:rPr>
        <w:t xml:space="preserve"> on </w:t>
      </w:r>
      <w:proofErr w:type="spellStart"/>
      <w:r w:rsidRPr="00255FD2">
        <w:rPr>
          <w:szCs w:val="24"/>
          <w:lang w:eastAsia="en-US"/>
        </w:rPr>
        <w:t>Children</w:t>
      </w:r>
      <w:proofErr w:type="spellEnd"/>
      <w:r w:rsidRPr="00255FD2">
        <w:rPr>
          <w:szCs w:val="24"/>
          <w:lang w:eastAsia="en-US"/>
        </w:rPr>
        <w:t xml:space="preserve"> in </w:t>
      </w:r>
      <w:proofErr w:type="spellStart"/>
      <w:r w:rsidRPr="00255FD2">
        <w:rPr>
          <w:szCs w:val="24"/>
          <w:lang w:eastAsia="en-US"/>
        </w:rPr>
        <w:t>the</w:t>
      </w:r>
      <w:proofErr w:type="spellEnd"/>
      <w:r w:rsidRPr="00255FD2">
        <w:rPr>
          <w:szCs w:val="24"/>
          <w:lang w:eastAsia="en-US"/>
        </w:rPr>
        <w:t xml:space="preserve"> </w:t>
      </w:r>
      <w:proofErr w:type="spellStart"/>
      <w:r w:rsidRPr="00255FD2">
        <w:rPr>
          <w:szCs w:val="24"/>
          <w:lang w:eastAsia="en-US"/>
        </w:rPr>
        <w:t>Digital</w:t>
      </w:r>
      <w:proofErr w:type="spellEnd"/>
      <w:r w:rsidRPr="00255FD2">
        <w:rPr>
          <w:szCs w:val="24"/>
          <w:lang w:eastAsia="en-US"/>
        </w:rPr>
        <w:t xml:space="preserve"> </w:t>
      </w:r>
      <w:proofErr w:type="spellStart"/>
      <w:r w:rsidRPr="00255FD2">
        <w:rPr>
          <w:szCs w:val="24"/>
          <w:lang w:eastAsia="en-US"/>
        </w:rPr>
        <w:t>Environment</w:t>
      </w:r>
      <w:proofErr w:type="spellEnd"/>
      <w:r w:rsidRPr="00255FD2">
        <w:rPr>
          <w:szCs w:val="24"/>
          <w:lang w:eastAsia="en-US"/>
        </w:rPr>
        <w:t xml:space="preserve"> (Odporúčanie Rady týkajúce sa detí v digitálnom prostredí), ktorá bola uverejnená v roku 2025,</w:t>
      </w:r>
    </w:p>
    <w:p w14:paraId="3F5158E6" w14:textId="77777777" w:rsidR="00187C50" w:rsidRPr="00255FD2" w:rsidRDefault="00187C50" w:rsidP="00187C50">
      <w:pPr>
        <w:widowControl/>
        <w:spacing w:after="240"/>
        <w:ind w:left="566" w:hanging="566"/>
        <w:rPr>
          <w:b/>
          <w:i/>
          <w:szCs w:val="24"/>
          <w:lang w:eastAsia="en-US"/>
        </w:rPr>
      </w:pPr>
      <w:r w:rsidRPr="00255FD2">
        <w:rPr>
          <w:b/>
          <w:i/>
          <w:szCs w:val="24"/>
          <w:lang w:eastAsia="en-US"/>
        </w:rPr>
        <w:t>–</w:t>
      </w:r>
      <w:r w:rsidRPr="00255FD2">
        <w:rPr>
          <w:b/>
          <w:i/>
          <w:szCs w:val="24"/>
          <w:lang w:eastAsia="en-US"/>
        </w:rPr>
        <w:tab/>
      </w:r>
      <w:r w:rsidRPr="00255FD2">
        <w:rPr>
          <w:szCs w:val="24"/>
          <w:lang w:eastAsia="en-US"/>
        </w:rPr>
        <w:t>so zreteľom na usmernenia Rady Európy o dodržiavaní, ochrane a napĺňaní práv dieťaťa v digitálnom prostredí, ktoré boli uverejnené v roku 2018,</w:t>
      </w:r>
    </w:p>
    <w:p w14:paraId="2ECC3E15" w14:textId="77777777" w:rsidR="00187C50" w:rsidRPr="00255FD2" w:rsidRDefault="00187C50" w:rsidP="00187C50">
      <w:pPr>
        <w:widowControl/>
        <w:spacing w:after="240"/>
        <w:ind w:left="566" w:hanging="566"/>
        <w:rPr>
          <w:b/>
          <w:i/>
          <w:szCs w:val="24"/>
          <w:lang w:eastAsia="en-US"/>
        </w:rPr>
      </w:pPr>
      <w:r w:rsidRPr="00255FD2">
        <w:rPr>
          <w:b/>
          <w:i/>
          <w:szCs w:val="24"/>
          <w:lang w:eastAsia="en-US"/>
        </w:rPr>
        <w:t>–</w:t>
      </w:r>
      <w:r w:rsidRPr="00255FD2">
        <w:rPr>
          <w:b/>
          <w:i/>
          <w:szCs w:val="24"/>
          <w:lang w:eastAsia="en-US"/>
        </w:rPr>
        <w:tab/>
      </w:r>
      <w:r w:rsidRPr="00255FD2">
        <w:rPr>
          <w:szCs w:val="24"/>
          <w:lang w:eastAsia="en-US"/>
        </w:rPr>
        <w:t xml:space="preserve">so zreteľom na správu Rady Európy s názvom </w:t>
      </w:r>
      <w:proofErr w:type="spellStart"/>
      <w:r w:rsidRPr="00255FD2">
        <w:rPr>
          <w:szCs w:val="24"/>
          <w:lang w:eastAsia="en-US"/>
        </w:rPr>
        <w:t>Media</w:t>
      </w:r>
      <w:proofErr w:type="spellEnd"/>
      <w:r w:rsidRPr="00255FD2">
        <w:rPr>
          <w:szCs w:val="24"/>
          <w:lang w:eastAsia="en-US"/>
        </w:rPr>
        <w:t xml:space="preserve"> </w:t>
      </w:r>
      <w:proofErr w:type="spellStart"/>
      <w:r w:rsidRPr="00255FD2">
        <w:rPr>
          <w:szCs w:val="24"/>
          <w:lang w:eastAsia="en-US"/>
        </w:rPr>
        <w:t>Literacy</w:t>
      </w:r>
      <w:proofErr w:type="spellEnd"/>
      <w:r w:rsidRPr="00255FD2">
        <w:rPr>
          <w:szCs w:val="24"/>
          <w:lang w:eastAsia="en-US"/>
        </w:rPr>
        <w:t xml:space="preserve"> </w:t>
      </w:r>
      <w:proofErr w:type="spellStart"/>
      <w:r w:rsidRPr="00255FD2">
        <w:rPr>
          <w:szCs w:val="24"/>
          <w:lang w:eastAsia="en-US"/>
        </w:rPr>
        <w:t>for</w:t>
      </w:r>
      <w:proofErr w:type="spellEnd"/>
      <w:r w:rsidRPr="00255FD2">
        <w:rPr>
          <w:szCs w:val="24"/>
          <w:lang w:eastAsia="en-US"/>
        </w:rPr>
        <w:t xml:space="preserve"> </w:t>
      </w:r>
      <w:proofErr w:type="spellStart"/>
      <w:r w:rsidRPr="00255FD2">
        <w:rPr>
          <w:szCs w:val="24"/>
          <w:lang w:eastAsia="en-US"/>
        </w:rPr>
        <w:t>all</w:t>
      </w:r>
      <w:proofErr w:type="spellEnd"/>
      <w:r w:rsidRPr="00255FD2">
        <w:rPr>
          <w:szCs w:val="24"/>
          <w:lang w:eastAsia="en-US"/>
        </w:rPr>
        <w:t xml:space="preserve">: </w:t>
      </w:r>
      <w:proofErr w:type="spellStart"/>
      <w:r w:rsidRPr="00255FD2">
        <w:rPr>
          <w:szCs w:val="24"/>
          <w:lang w:eastAsia="en-US"/>
        </w:rPr>
        <w:t>Supporting</w:t>
      </w:r>
      <w:proofErr w:type="spellEnd"/>
      <w:r w:rsidRPr="00255FD2">
        <w:rPr>
          <w:szCs w:val="24"/>
          <w:lang w:eastAsia="en-US"/>
        </w:rPr>
        <w:t xml:space="preserve"> </w:t>
      </w:r>
      <w:proofErr w:type="spellStart"/>
      <w:r w:rsidRPr="00255FD2">
        <w:rPr>
          <w:szCs w:val="24"/>
          <w:lang w:eastAsia="en-US"/>
        </w:rPr>
        <w:t>marginalised</w:t>
      </w:r>
      <w:proofErr w:type="spellEnd"/>
      <w:r w:rsidRPr="00255FD2">
        <w:rPr>
          <w:szCs w:val="24"/>
          <w:lang w:eastAsia="en-US"/>
        </w:rPr>
        <w:t xml:space="preserve"> </w:t>
      </w:r>
      <w:proofErr w:type="spellStart"/>
      <w:r w:rsidRPr="00255FD2">
        <w:rPr>
          <w:szCs w:val="24"/>
          <w:lang w:eastAsia="en-US"/>
        </w:rPr>
        <w:t>groups</w:t>
      </w:r>
      <w:proofErr w:type="spellEnd"/>
      <w:r w:rsidRPr="00255FD2">
        <w:rPr>
          <w:szCs w:val="24"/>
          <w:lang w:eastAsia="en-US"/>
        </w:rPr>
        <w:t xml:space="preserve"> </w:t>
      </w:r>
      <w:proofErr w:type="spellStart"/>
      <w:r w:rsidRPr="00255FD2">
        <w:rPr>
          <w:szCs w:val="24"/>
          <w:lang w:eastAsia="en-US"/>
        </w:rPr>
        <w:t>through</w:t>
      </w:r>
      <w:proofErr w:type="spellEnd"/>
      <w:r w:rsidRPr="00255FD2">
        <w:rPr>
          <w:szCs w:val="24"/>
          <w:lang w:eastAsia="en-US"/>
        </w:rPr>
        <w:t xml:space="preserve"> </w:t>
      </w:r>
      <w:proofErr w:type="spellStart"/>
      <w:r w:rsidRPr="00255FD2">
        <w:rPr>
          <w:szCs w:val="24"/>
          <w:lang w:eastAsia="en-US"/>
        </w:rPr>
        <w:t>community</w:t>
      </w:r>
      <w:proofErr w:type="spellEnd"/>
      <w:r w:rsidRPr="00255FD2">
        <w:rPr>
          <w:szCs w:val="24"/>
          <w:lang w:eastAsia="en-US"/>
        </w:rPr>
        <w:t xml:space="preserve"> </w:t>
      </w:r>
      <w:proofErr w:type="spellStart"/>
      <w:r w:rsidRPr="00255FD2">
        <w:rPr>
          <w:szCs w:val="24"/>
          <w:lang w:eastAsia="en-US"/>
        </w:rPr>
        <w:t>media</w:t>
      </w:r>
      <w:proofErr w:type="spellEnd"/>
      <w:r w:rsidRPr="00255FD2">
        <w:rPr>
          <w:szCs w:val="24"/>
          <w:lang w:eastAsia="en-US"/>
        </w:rPr>
        <w:t xml:space="preserve"> (Mediálna gramotnosť pre všetkých: podpora marginalizovaných skupín prostredníctvom komunitných médií), ktorá bola uverejnená v roku 2020,</w:t>
      </w:r>
    </w:p>
    <w:p w14:paraId="6C766CE4" w14:textId="77777777" w:rsidR="00187C50" w:rsidRPr="00255FD2" w:rsidRDefault="00187C50" w:rsidP="00187C50">
      <w:pPr>
        <w:widowControl/>
        <w:spacing w:after="240"/>
        <w:ind w:left="566" w:hanging="566"/>
        <w:rPr>
          <w:b/>
          <w:i/>
          <w:szCs w:val="24"/>
          <w:lang w:eastAsia="en-US"/>
        </w:rPr>
      </w:pPr>
      <w:r w:rsidRPr="00255FD2">
        <w:rPr>
          <w:b/>
          <w:i/>
          <w:szCs w:val="24"/>
          <w:lang w:eastAsia="en-US"/>
        </w:rPr>
        <w:t>–</w:t>
      </w:r>
      <w:r w:rsidRPr="00255FD2">
        <w:rPr>
          <w:b/>
          <w:i/>
          <w:szCs w:val="24"/>
          <w:lang w:eastAsia="en-US"/>
        </w:rPr>
        <w:tab/>
      </w:r>
      <w:r w:rsidRPr="00255FD2">
        <w:rPr>
          <w:szCs w:val="24"/>
          <w:lang w:eastAsia="en-US"/>
        </w:rPr>
        <w:t xml:space="preserve">so zreteľom na politický dokument Riadiaceho výboru Rady Európy pre médiá a informačnú spoločnosť (CDMSI) s názvom National </w:t>
      </w:r>
      <w:proofErr w:type="spellStart"/>
      <w:r w:rsidRPr="00255FD2">
        <w:rPr>
          <w:szCs w:val="24"/>
          <w:lang w:eastAsia="en-US"/>
        </w:rPr>
        <w:t>Media</w:t>
      </w:r>
      <w:proofErr w:type="spellEnd"/>
      <w:r w:rsidRPr="00255FD2">
        <w:rPr>
          <w:szCs w:val="24"/>
          <w:lang w:eastAsia="en-US"/>
        </w:rPr>
        <w:t xml:space="preserve"> and </w:t>
      </w:r>
      <w:proofErr w:type="spellStart"/>
      <w:r w:rsidRPr="00255FD2">
        <w:rPr>
          <w:szCs w:val="24"/>
          <w:lang w:eastAsia="en-US"/>
        </w:rPr>
        <w:t>Information</w:t>
      </w:r>
      <w:proofErr w:type="spellEnd"/>
      <w:r w:rsidRPr="00255FD2">
        <w:rPr>
          <w:szCs w:val="24"/>
          <w:lang w:eastAsia="en-US"/>
        </w:rPr>
        <w:t xml:space="preserve"> </w:t>
      </w:r>
      <w:proofErr w:type="spellStart"/>
      <w:r w:rsidRPr="00255FD2">
        <w:rPr>
          <w:szCs w:val="24"/>
          <w:lang w:eastAsia="en-US"/>
        </w:rPr>
        <w:t>Literacy</w:t>
      </w:r>
      <w:proofErr w:type="spellEnd"/>
      <w:r w:rsidRPr="00255FD2">
        <w:rPr>
          <w:szCs w:val="24"/>
          <w:lang w:eastAsia="en-US"/>
        </w:rPr>
        <w:t xml:space="preserve"> (MIL) </w:t>
      </w:r>
      <w:proofErr w:type="spellStart"/>
      <w:r w:rsidRPr="00255FD2">
        <w:rPr>
          <w:szCs w:val="24"/>
          <w:lang w:eastAsia="en-US"/>
        </w:rPr>
        <w:t>Strategies</w:t>
      </w:r>
      <w:proofErr w:type="spellEnd"/>
      <w:r w:rsidRPr="00255FD2">
        <w:rPr>
          <w:szCs w:val="24"/>
          <w:lang w:eastAsia="en-US"/>
        </w:rPr>
        <w:t xml:space="preserve">: </w:t>
      </w:r>
      <w:proofErr w:type="spellStart"/>
      <w:r w:rsidRPr="00255FD2">
        <w:rPr>
          <w:szCs w:val="24"/>
          <w:lang w:eastAsia="en-US"/>
        </w:rPr>
        <w:t>Practical</w:t>
      </w:r>
      <w:proofErr w:type="spellEnd"/>
      <w:r w:rsidRPr="00255FD2">
        <w:rPr>
          <w:szCs w:val="24"/>
          <w:lang w:eastAsia="en-US"/>
        </w:rPr>
        <w:t xml:space="preserve"> </w:t>
      </w:r>
      <w:proofErr w:type="spellStart"/>
      <w:r w:rsidRPr="00255FD2">
        <w:rPr>
          <w:szCs w:val="24"/>
          <w:lang w:eastAsia="en-US"/>
        </w:rPr>
        <w:t>Steps</w:t>
      </w:r>
      <w:proofErr w:type="spellEnd"/>
      <w:r w:rsidRPr="00255FD2">
        <w:rPr>
          <w:szCs w:val="24"/>
          <w:lang w:eastAsia="en-US"/>
        </w:rPr>
        <w:t xml:space="preserve"> and </w:t>
      </w:r>
      <w:proofErr w:type="spellStart"/>
      <w:r w:rsidRPr="00255FD2">
        <w:rPr>
          <w:szCs w:val="24"/>
          <w:lang w:eastAsia="en-US"/>
        </w:rPr>
        <w:t>Indicators</w:t>
      </w:r>
      <w:proofErr w:type="spellEnd"/>
      <w:r w:rsidRPr="00255FD2">
        <w:rPr>
          <w:szCs w:val="24"/>
          <w:lang w:eastAsia="en-US"/>
        </w:rPr>
        <w:t xml:space="preserve"> (Národné stratégie mediálnej a informačnej gramotnosti: praktické kroky a ukazovatele), ktorý bol prijatý v decembri 2025,</w:t>
      </w:r>
    </w:p>
    <w:p w14:paraId="163C48B0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b/>
          <w:i/>
          <w:szCs w:val="24"/>
          <w:lang w:eastAsia="en-US"/>
        </w:rPr>
        <w:t>–</w:t>
      </w:r>
      <w:r w:rsidRPr="00255FD2">
        <w:rPr>
          <w:b/>
          <w:i/>
          <w:szCs w:val="24"/>
          <w:lang w:eastAsia="en-US"/>
        </w:rPr>
        <w:tab/>
      </w:r>
      <w:r w:rsidRPr="00255FD2">
        <w:rPr>
          <w:szCs w:val="24"/>
          <w:lang w:eastAsia="en-US"/>
        </w:rPr>
        <w:t>so zreteľom na článok 55 rokovacieho poriadku,</w:t>
      </w:r>
    </w:p>
    <w:p w14:paraId="21BD441B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t>–</w:t>
      </w:r>
      <w:r w:rsidRPr="00255FD2">
        <w:rPr>
          <w:szCs w:val="24"/>
          <w:lang w:eastAsia="en-US"/>
        </w:rPr>
        <w:tab/>
        <w:t>so zreteľom na správu Výboru pre kultúru a vzdelávanie (A10-0173/2026),</w:t>
      </w:r>
    </w:p>
    <w:p w14:paraId="74EA942D" w14:textId="77777777" w:rsidR="00187C50" w:rsidRPr="00255FD2" w:rsidRDefault="00187C50" w:rsidP="00187C50">
      <w:pPr>
        <w:widowControl/>
        <w:spacing w:after="240"/>
        <w:ind w:left="566" w:hanging="566"/>
        <w:rPr>
          <w:b/>
          <w:i/>
          <w:szCs w:val="24"/>
          <w:lang w:eastAsia="en-US"/>
        </w:rPr>
      </w:pPr>
      <w:r w:rsidRPr="00255FD2">
        <w:rPr>
          <w:szCs w:val="24"/>
          <w:lang w:eastAsia="en-US"/>
        </w:rPr>
        <w:t>A.</w:t>
      </w:r>
      <w:r w:rsidRPr="00255FD2">
        <w:rPr>
          <w:b/>
          <w:i/>
          <w:szCs w:val="24"/>
          <w:lang w:eastAsia="en-US"/>
        </w:rPr>
        <w:tab/>
      </w:r>
      <w:r w:rsidRPr="00255FD2">
        <w:rPr>
          <w:szCs w:val="24"/>
          <w:lang w:eastAsia="en-US"/>
        </w:rPr>
        <w:t>keďže mediálna gramotnosť a digitálne vzdelávanie sú nevyhnutné na to, aby občania získali kritické zručnosti potrebné na samostatné a zodpovedné posudzovanie, overovanie a vytváranie informácií a mediálneho obsahu a ich výmenu v rámci tradičných a online platforiem a na prijímanie informovaných rozhodnutí v neustále sa vyvíjajúcom informačnom prostredí; keďže tieto zručnosti posilňujú občiansku angažovanosť, sociálne začlenenie a demokratickú odolnosť;</w:t>
      </w:r>
    </w:p>
    <w:p w14:paraId="6643706A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t>B.</w:t>
      </w:r>
      <w:r w:rsidRPr="00255FD2">
        <w:rPr>
          <w:szCs w:val="24"/>
          <w:lang w:eastAsia="en-US"/>
        </w:rPr>
        <w:tab/>
        <w:t xml:space="preserve">keďže mediálna gramotnosť a digitálne vzdelávanie poskytujú v modernej spoločnosti základné zručnosti a majú zásadný význam z hľadiska boja proti šíreniu dezinformácií, poklesu dôvery v médiá a vplyvu online platforiem a nových mediálnych aktérov, ako sú </w:t>
      </w:r>
      <w:proofErr w:type="spellStart"/>
      <w:r w:rsidRPr="00255FD2">
        <w:rPr>
          <w:szCs w:val="24"/>
          <w:lang w:eastAsia="en-US"/>
        </w:rPr>
        <w:t>influenceri</w:t>
      </w:r>
      <w:proofErr w:type="spellEnd"/>
      <w:r w:rsidRPr="00255FD2">
        <w:rPr>
          <w:szCs w:val="24"/>
          <w:lang w:eastAsia="en-US"/>
        </w:rPr>
        <w:t xml:space="preserve"> a tvorcovia obsahu, a umelej inteligencie; keďže mediálna gramotnosť a </w:t>
      </w:r>
      <w:r w:rsidRPr="00255FD2">
        <w:rPr>
          <w:szCs w:val="24"/>
          <w:lang w:eastAsia="en-US"/>
        </w:rPr>
        <w:lastRenderedPageBreak/>
        <w:t xml:space="preserve">digitálne vzdelávanie sú nevyhnutné v súvislosti so zmenenými modelmi spotreby informácií, ktoré sa opierajú o tzv. kultúru </w:t>
      </w:r>
      <w:proofErr w:type="spellStart"/>
      <w:r w:rsidRPr="00255FD2">
        <w:rPr>
          <w:szCs w:val="24"/>
          <w:lang w:eastAsia="en-US"/>
        </w:rPr>
        <w:t>skrolovania</w:t>
      </w:r>
      <w:proofErr w:type="spellEnd"/>
      <w:r w:rsidRPr="00255FD2">
        <w:rPr>
          <w:szCs w:val="24"/>
          <w:lang w:eastAsia="en-US"/>
        </w:rPr>
        <w:t>;</w:t>
      </w:r>
    </w:p>
    <w:p w14:paraId="443C8C44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t>C.</w:t>
      </w:r>
      <w:r w:rsidRPr="00255FD2">
        <w:rPr>
          <w:szCs w:val="24"/>
          <w:lang w:eastAsia="en-US"/>
        </w:rPr>
        <w:tab/>
        <w:t>keďže mediálna gramotnosť a digitálne vzdelávanie sú nevyhnutné na zabezpečenie digitálnej pohody používateľov;</w:t>
      </w:r>
    </w:p>
    <w:p w14:paraId="61DDECE9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t>D.</w:t>
      </w:r>
      <w:r w:rsidRPr="00255FD2">
        <w:rPr>
          <w:szCs w:val="24"/>
          <w:lang w:eastAsia="en-US"/>
        </w:rPr>
        <w:tab/>
        <w:t xml:space="preserve">keďže spôsoby spotreby médií a digitálneho obsahu sa výrazne zmenili, pričom používatelia, najmä maloleté osoby a mladí ľudia, si čoraz viac vyberajú prispôsobený obsah na platformách sociálnych médií, pozorne sledujú aktivity </w:t>
      </w:r>
      <w:proofErr w:type="spellStart"/>
      <w:r w:rsidRPr="00255FD2">
        <w:rPr>
          <w:szCs w:val="24"/>
          <w:lang w:eastAsia="en-US"/>
        </w:rPr>
        <w:t>influencerov</w:t>
      </w:r>
      <w:proofErr w:type="spellEnd"/>
      <w:r w:rsidRPr="00255FD2">
        <w:rPr>
          <w:szCs w:val="24"/>
          <w:lang w:eastAsia="en-US"/>
        </w:rPr>
        <w:t xml:space="preserve">, vo veľkej miere sa spoliehajú na algoritmické odporúčania a pri používaní tradičných médií je rozsah ich pozornosti kratší; keďže sociálne médiá môžu svoje kanály rýchlo </w:t>
      </w:r>
      <w:proofErr w:type="spellStart"/>
      <w:r w:rsidRPr="00255FD2">
        <w:rPr>
          <w:szCs w:val="24"/>
          <w:lang w:eastAsia="en-US"/>
        </w:rPr>
        <w:t>personalizovať</w:t>
      </w:r>
      <w:proofErr w:type="spellEnd"/>
      <w:r w:rsidRPr="00255FD2">
        <w:rPr>
          <w:szCs w:val="24"/>
          <w:lang w:eastAsia="en-US"/>
        </w:rPr>
        <w:t>, čím vystavujú používateľov, najmä maloleté osoby a starších alebo iných zraniteľných používateľov, riziku amplifikácie škodlivého obsahu alebo jeho zachytenia v informačných bublinách;</w:t>
      </w:r>
    </w:p>
    <w:p w14:paraId="19D6892E" w14:textId="77777777" w:rsidR="00187C50" w:rsidRPr="00255FD2" w:rsidRDefault="00187C50" w:rsidP="00187C50">
      <w:pPr>
        <w:widowControl/>
        <w:spacing w:after="240"/>
        <w:ind w:left="566" w:hanging="566"/>
        <w:rPr>
          <w:bCs/>
          <w:iCs/>
          <w:szCs w:val="24"/>
          <w:lang w:eastAsia="en-US"/>
        </w:rPr>
      </w:pPr>
      <w:r w:rsidRPr="00255FD2">
        <w:rPr>
          <w:szCs w:val="24"/>
          <w:lang w:eastAsia="en-US"/>
        </w:rPr>
        <w:t>E.</w:t>
      </w:r>
      <w:r w:rsidRPr="00255FD2">
        <w:rPr>
          <w:szCs w:val="24"/>
          <w:lang w:eastAsia="en-US"/>
        </w:rPr>
        <w:tab/>
        <w:t>keďže niektoré prvky dizajnu digitálnych platforiem vrátane algoritmických odporúčacích systémov môžu ovplyvniť výber a viditeľnosť obsahu a prispievať tak k ohrozeniu pohody používateľov a ich vystaveniu škodlivému obsahu;</w:t>
      </w:r>
    </w:p>
    <w:p w14:paraId="565957B7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t>F.</w:t>
      </w:r>
      <w:r w:rsidRPr="00255FD2">
        <w:rPr>
          <w:szCs w:val="24"/>
          <w:lang w:eastAsia="en-US"/>
        </w:rPr>
        <w:tab/>
        <w:t>keďže v súčasnej geopolitickej situácii by ľudia v EÚ mali mať široké spektrum kognitívnych, technických a sociálnych zručností na účinný prístup k mediálnemu obsahu a jeho účinnú analýzu, vďaka čomu by si zachovali odolnosť voči potenciálnemu manipulatívnemu konaniu alebo hybridným útokom, ktorých cieľom je destabilizovať občiansku diskusiu a demokratické procesy;</w:t>
      </w:r>
    </w:p>
    <w:p w14:paraId="3C86F58D" w14:textId="77777777" w:rsidR="00187C50" w:rsidRPr="00255FD2" w:rsidRDefault="00187C50" w:rsidP="00187C50">
      <w:pPr>
        <w:widowControl/>
        <w:spacing w:after="240"/>
        <w:ind w:left="566" w:hanging="566"/>
        <w:rPr>
          <w:b/>
          <w:i/>
          <w:szCs w:val="24"/>
          <w:lang w:eastAsia="en-US"/>
        </w:rPr>
      </w:pPr>
      <w:r w:rsidRPr="00255FD2">
        <w:rPr>
          <w:szCs w:val="24"/>
          <w:lang w:eastAsia="en-US"/>
        </w:rPr>
        <w:t>G.</w:t>
      </w:r>
      <w:r w:rsidRPr="00255FD2">
        <w:rPr>
          <w:b/>
          <w:i/>
          <w:szCs w:val="24"/>
          <w:lang w:eastAsia="en-US"/>
        </w:rPr>
        <w:tab/>
      </w:r>
      <w:r w:rsidRPr="00255FD2">
        <w:rPr>
          <w:szCs w:val="24"/>
          <w:lang w:eastAsia="en-US"/>
        </w:rPr>
        <w:t>keďže vysokokvalitná, nezávislá a pluralitná žurnalistika je základným kameňom demokratických spoločností a zohráva kľúčovú úlohu pri posilňovaní mediálnej gramotnosti, boji proti dezinformáciám a zvyšovaní dôvery občanov v informačný ekosystém, čo má pozitívny vplyv na ekonomickú udržateľnosť mediálneho sektora; keďže verejnoprávne médiá zohrávajú kľúčovú úlohu pri dosahovaní týchto cieľov a vyžadujú si primerané a udržateľné financovanie;</w:t>
      </w:r>
    </w:p>
    <w:p w14:paraId="2086F58C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t>H.</w:t>
      </w:r>
      <w:r w:rsidRPr="00255FD2">
        <w:rPr>
          <w:szCs w:val="24"/>
          <w:lang w:eastAsia="en-US"/>
        </w:rPr>
        <w:tab/>
        <w:t xml:space="preserve">keďže mediálna gramotnosť a digitálne vzdelávanie sa musia považovať za neoddeliteľnú súčasť komplexnej stratégie celoživotného vzdelávania, ktorá by mala pokrývať osobitné potreby vzdelávajúcich sa osôb a zainteresovaných strán vo vzdelávacom a informačnom ekosystéme vrátane rodičov, opatrovateľov, pedagógov, médií, novinárov, knižníc, organizácií občianskej spoločnosti a nových mediálnych aktérov, ako sú </w:t>
      </w:r>
      <w:proofErr w:type="spellStart"/>
      <w:r w:rsidRPr="00255FD2">
        <w:rPr>
          <w:szCs w:val="24"/>
          <w:lang w:eastAsia="en-US"/>
        </w:rPr>
        <w:t>influenceri</w:t>
      </w:r>
      <w:proofErr w:type="spellEnd"/>
      <w:r w:rsidRPr="00255FD2">
        <w:rPr>
          <w:szCs w:val="24"/>
          <w:lang w:eastAsia="en-US"/>
        </w:rPr>
        <w:t xml:space="preserve"> a tvorcovia obsahu; keďže v Stratégii pre medzigeneračnú spravodlivosť sa celoživotné vzdelávanie, digitálne zručnosti, mediálna gramotnosť a aktívna účasť všetkých vekových skupín uznávajú ako kľúčové podmienky medzigeneračnej spravodlivosti a odolnosti demokratických spoločností;</w:t>
      </w:r>
    </w:p>
    <w:p w14:paraId="7486AEBC" w14:textId="77777777" w:rsidR="00187C50" w:rsidRPr="00255FD2" w:rsidRDefault="00187C50" w:rsidP="00187C50">
      <w:pPr>
        <w:widowControl/>
        <w:spacing w:after="240"/>
        <w:ind w:left="566" w:hanging="566"/>
        <w:rPr>
          <w:bCs/>
          <w:iCs/>
          <w:szCs w:val="24"/>
          <w:lang w:eastAsia="en-US"/>
        </w:rPr>
      </w:pPr>
      <w:r w:rsidRPr="00255FD2">
        <w:rPr>
          <w:szCs w:val="24"/>
          <w:lang w:eastAsia="en-US"/>
        </w:rPr>
        <w:t>I.</w:t>
      </w:r>
      <w:r w:rsidRPr="00255FD2">
        <w:rPr>
          <w:szCs w:val="24"/>
          <w:lang w:eastAsia="en-US"/>
        </w:rPr>
        <w:tab/>
        <w:t>keďže účinná mediálna gramotnosť a digitálne vzdelávanie si vyžadujú rovnaké príležitosti v prístupe k vzdelávaniu a pluralitné informačné prostredie;</w:t>
      </w:r>
    </w:p>
    <w:p w14:paraId="6DEA48F2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lastRenderedPageBreak/>
        <w:t>J.</w:t>
      </w:r>
      <w:r w:rsidRPr="00255FD2">
        <w:rPr>
          <w:szCs w:val="24"/>
          <w:lang w:eastAsia="en-US"/>
        </w:rPr>
        <w:tab/>
        <w:t>keďže deti začínajú používať sociálne médiá v čoraz mladšom veku, pričom 97 % mladých ľudí v EÚ používa internet denne a platformy sociálnych médií sa stávajú hlavným zdrojom informácií pre mladých ľudí vo veku 15 – 24 rokov</w:t>
      </w:r>
      <w:r w:rsidRPr="00255FD2">
        <w:rPr>
          <w:szCs w:val="24"/>
          <w:vertAlign w:val="superscript"/>
          <w:lang w:eastAsia="en-US"/>
        </w:rPr>
        <w:footnoteReference w:id="9"/>
      </w:r>
      <w:r w:rsidRPr="00255FD2">
        <w:rPr>
          <w:szCs w:val="24"/>
          <w:lang w:eastAsia="en-US"/>
        </w:rPr>
        <w:t>;</w:t>
      </w:r>
    </w:p>
    <w:p w14:paraId="4FFD666C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t>K.</w:t>
      </w:r>
      <w:r w:rsidRPr="00255FD2">
        <w:rPr>
          <w:szCs w:val="24"/>
          <w:lang w:eastAsia="en-US"/>
        </w:rPr>
        <w:tab/>
        <w:t>keďže prístupy k mediálnej gramotnosti a digitálnemu vzdelávaniu sa v rámci EÚ líšia, pričom existujú značné rozdiely, pokiaľ ide o ich začlenenie do školských osnov a úroveň finančnej alebo administratívnej podpory poskytovanej na súvisiace opatrenia alebo programy, ako aj pokiaľ ide o príslušné orgány alebo subjekty a spoluprácu medzi nimi;</w:t>
      </w:r>
    </w:p>
    <w:p w14:paraId="474F1679" w14:textId="77777777" w:rsidR="00187C50" w:rsidRPr="00255FD2" w:rsidRDefault="00187C50" w:rsidP="00187C50">
      <w:pPr>
        <w:widowControl/>
        <w:spacing w:after="240"/>
        <w:ind w:left="566" w:hanging="566"/>
        <w:rPr>
          <w:bCs/>
          <w:iCs/>
          <w:szCs w:val="24"/>
          <w:lang w:eastAsia="en-US"/>
        </w:rPr>
      </w:pPr>
      <w:r w:rsidRPr="00255FD2">
        <w:rPr>
          <w:szCs w:val="24"/>
          <w:lang w:eastAsia="en-US"/>
        </w:rPr>
        <w:t>L.</w:t>
      </w:r>
      <w:r w:rsidRPr="00255FD2">
        <w:rPr>
          <w:szCs w:val="24"/>
          <w:lang w:eastAsia="en-US"/>
        </w:rPr>
        <w:tab/>
        <w:t>keďže vo všeobecnom odporúčaní č. 25 o právach detí v súvislosti s digitálnym prostredím, ktorú v roku 2021 prijal Výbor OSN pre práva dieťaťa, sa stanovuje, že práva dieťaťa sa musia v digitálnom prostredí rešpektovať, chrániť a napĺňať a že poskytovatelia digitálnych služieb musia pri sprístupňovaní svojich produktov a služieb deťom dodržiavať najvyššie normy etiky, súkromia a bezpečnosti a vekovej primeranosti;</w:t>
      </w:r>
    </w:p>
    <w:p w14:paraId="401E069C" w14:textId="77777777" w:rsidR="00187C50" w:rsidRPr="00255FD2" w:rsidRDefault="00187C50" w:rsidP="00187C50">
      <w:pPr>
        <w:widowControl/>
        <w:spacing w:after="240"/>
        <w:ind w:left="566" w:hanging="566"/>
        <w:rPr>
          <w:bCs/>
          <w:iCs/>
          <w:szCs w:val="24"/>
          <w:lang w:eastAsia="en-US"/>
        </w:rPr>
      </w:pPr>
      <w:r w:rsidRPr="00255FD2">
        <w:rPr>
          <w:szCs w:val="24"/>
          <w:lang w:eastAsia="en-US"/>
        </w:rPr>
        <w:t>M.</w:t>
      </w:r>
      <w:r w:rsidRPr="00255FD2">
        <w:rPr>
          <w:szCs w:val="24"/>
          <w:lang w:eastAsia="en-US"/>
        </w:rPr>
        <w:tab/>
        <w:t>keďže zručnosti v oblasti mediálnej gramotnosti a digitálneho vzdelávania by sa mali rozvíjať od útleho veku, pretože ich začlenenie do základného vzdelávania prispieva k lepšej pripravenosti detí na výzvy digitálneho prostredia, a to spôsobom primeraným ich veku a vývoju; keďže tieto zručnosti sú rovnako dôležité počas celého života človeka, čo si vyžaduje prístup založený na celoživotnom vzdelávaní;</w:t>
      </w:r>
    </w:p>
    <w:p w14:paraId="5AF062AA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t>N.</w:t>
      </w:r>
      <w:r w:rsidRPr="00255FD2">
        <w:rPr>
          <w:szCs w:val="24"/>
          <w:lang w:eastAsia="en-US"/>
        </w:rPr>
        <w:tab/>
        <w:t>keďže pokiaľ sa maloleté osoby dostanú do predčasného kontaktu s digitálnymi nástrojmi alebo technológiami ešte pred tým, ako sa u nich pomocou analógových nástrojov vyvinú základné zručnosti v oblasti mediálnej gramotnosti a kritické myslenie, vystavuje ich to veľkému množstvu digitálnych rizík a škodlivých účinkov online, ktoré ešte nemusia byť schopné rozpoznať alebo zvládnuť;</w:t>
      </w:r>
    </w:p>
    <w:p w14:paraId="53060559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t>O.</w:t>
      </w:r>
      <w:r w:rsidRPr="00255FD2">
        <w:rPr>
          <w:szCs w:val="24"/>
          <w:lang w:eastAsia="en-US"/>
        </w:rPr>
        <w:tab/>
        <w:t xml:space="preserve">keďže všetky skupiny obyvateľstva, najmä maloleté osoby, mladí ľudia, starší ľudia, osoby so zdravotným postihnutím a osoby vo vidieckych či vzdialených oblastiach s obmedzenou digitálnou infraštruktúrou, sú v digitálnom prostredí naďalej vystavené vyššiemu riziku vykorisťovania; keďže občania všetkých vekových kategórií, najmä maloletí, ktorých kognitívne schopnosti sa stále vyvíjajú, sú zraniteľní voči rizikám súvisiacim s obsahom vytvoreným umelou inteligenciou a </w:t>
      </w:r>
      <w:proofErr w:type="spellStart"/>
      <w:r w:rsidRPr="00255FD2">
        <w:rPr>
          <w:szCs w:val="24"/>
          <w:lang w:eastAsia="en-US"/>
        </w:rPr>
        <w:t>chatbotmi</w:t>
      </w:r>
      <w:proofErr w:type="spellEnd"/>
      <w:r w:rsidRPr="00255FD2">
        <w:rPr>
          <w:szCs w:val="24"/>
          <w:lang w:eastAsia="en-US"/>
        </w:rPr>
        <w:t>;</w:t>
      </w:r>
    </w:p>
    <w:p w14:paraId="29080F42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t>P.</w:t>
      </w:r>
      <w:r w:rsidRPr="00255FD2">
        <w:rPr>
          <w:szCs w:val="24"/>
          <w:lang w:eastAsia="en-US"/>
        </w:rPr>
        <w:tab/>
        <w:t>keďže tvorcovia politík na vnútroštátnej úrovni aj na úrovni EÚ diskutujú o zavedení minimálneho veku na ochranu maloletých pri používaní online platforiem, a to aj pokiaľ ide o minimálny vek, overovanie veku a rodičovskú kontrolu;</w:t>
      </w:r>
    </w:p>
    <w:p w14:paraId="353E2E58" w14:textId="77777777" w:rsidR="00187C50" w:rsidRPr="00255FD2" w:rsidRDefault="00187C50" w:rsidP="00187C50">
      <w:pPr>
        <w:widowControl/>
        <w:spacing w:after="240"/>
        <w:ind w:left="566" w:hanging="566"/>
        <w:rPr>
          <w:bCs/>
          <w:iCs/>
          <w:szCs w:val="24"/>
          <w:lang w:eastAsia="en-US"/>
        </w:rPr>
      </w:pPr>
      <w:r w:rsidRPr="00255FD2">
        <w:rPr>
          <w:szCs w:val="24"/>
          <w:lang w:eastAsia="en-US"/>
        </w:rPr>
        <w:t>Q.</w:t>
      </w:r>
      <w:r w:rsidRPr="00255FD2">
        <w:rPr>
          <w:szCs w:val="24"/>
          <w:lang w:eastAsia="en-US"/>
        </w:rPr>
        <w:tab/>
        <w:t>keďže Komisia v marci 2026 zriadila špecializovaný osobitný panel odborníkov pre bezpečnosť detí online, ktorého úlohou je vypracúvať odporúčania na lepšiu ochranu a posilnenie postavenia detí v digitálnom prostredí; keďže tento panel sa zaoberá aj významom mediálnej gramotnosti a digitálneho vzdelávania pre deti, rodičov a pedagógov;</w:t>
      </w:r>
    </w:p>
    <w:p w14:paraId="2D84B7DE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lastRenderedPageBreak/>
        <w:t>R.</w:t>
      </w:r>
      <w:r w:rsidRPr="00255FD2">
        <w:rPr>
          <w:szCs w:val="24"/>
          <w:lang w:eastAsia="en-US"/>
        </w:rPr>
        <w:tab/>
        <w:t>keďže v právnych predpisoch EÚ venovaných audiovizuálnej a mediálnej oblasti sa vymedzuje pojem mediálna gramotnosť a uznáva sa jej význam, najmä prostredníctvom článku 2 ods. 21 európskeho aktu o slobode médií a povinností v oblasti mediálnej gramotnosti podľa smernice o audiovizuálnych mediálnych službách; keďže v článku 13 európskeho aktu o slobode médií sa Európska rada pre mediálne služby poveruje výmenou najlepších postupov v oblasti mediálnej gramotnosti;</w:t>
      </w:r>
    </w:p>
    <w:p w14:paraId="578E8794" w14:textId="77777777" w:rsidR="00187C50" w:rsidRPr="00255FD2" w:rsidRDefault="00187C50" w:rsidP="00187C50">
      <w:pPr>
        <w:widowControl/>
        <w:spacing w:after="240"/>
        <w:rPr>
          <w:i/>
          <w:iCs/>
          <w:szCs w:val="24"/>
          <w:lang w:eastAsia="en-US"/>
        </w:rPr>
      </w:pPr>
      <w:r w:rsidRPr="00255FD2">
        <w:rPr>
          <w:b/>
          <w:i/>
          <w:szCs w:val="24"/>
          <w:lang w:eastAsia="en-US"/>
        </w:rPr>
        <w:t>Základné prvky nového prístupu k mediálnej gramotnosti a digitálnemu vzdelávaniu</w:t>
      </w:r>
    </w:p>
    <w:p w14:paraId="11F420FE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t>1.</w:t>
      </w:r>
      <w:r w:rsidRPr="00255FD2">
        <w:rPr>
          <w:szCs w:val="24"/>
          <w:lang w:eastAsia="en-US"/>
        </w:rPr>
        <w:tab/>
        <w:t>zdôrazňuje, že výhľadový prístup k mediálnej gramotnosti a digitálnemu vzdelávaniu by mal byť zameraný na to, aby ľudia všetkých vekových kategórií nadobudli základné zručnosti, ktoré im umožnia plne využívať digitálne prostredie, posilniť svoje tvorivé zručnosti, využívať rozličné zdroje a vyhnúť sa rizikám súvisiacim s používaním a dizajnom online platforiem;</w:t>
      </w:r>
    </w:p>
    <w:p w14:paraId="5DA27D26" w14:textId="77777777" w:rsidR="00187C50" w:rsidRPr="00255FD2" w:rsidRDefault="00187C50" w:rsidP="00187C50">
      <w:pPr>
        <w:widowControl/>
        <w:spacing w:after="240"/>
        <w:ind w:left="566" w:hanging="566"/>
        <w:rPr>
          <w:bCs/>
          <w:iCs/>
          <w:szCs w:val="24"/>
          <w:lang w:eastAsia="en-US"/>
        </w:rPr>
      </w:pPr>
      <w:r w:rsidRPr="00255FD2">
        <w:rPr>
          <w:szCs w:val="24"/>
          <w:lang w:eastAsia="en-US"/>
        </w:rPr>
        <w:t>2.</w:t>
      </w:r>
      <w:r w:rsidRPr="00255FD2">
        <w:rPr>
          <w:szCs w:val="24"/>
          <w:lang w:eastAsia="en-US"/>
        </w:rPr>
        <w:tab/>
        <w:t>zdôrazňuje úlohu mediálnej gramotnosti pri zabezpečovaní toho, aby jednotlivci disponovali zručnosťami v oblasti kritického myslenia, ktoré prispievajú k informovanému a autonómnemu rozhodovaniu v demokratických procesoch a posilňujú občiansku zodpovednosť v boji proti dezinformáciám, polarizácii a zahraničnej manipulácii s informáciami a zahraničnému zasahovaniu, najmä v súvislosti s voľbami;</w:t>
      </w:r>
    </w:p>
    <w:p w14:paraId="3DA80295" w14:textId="77777777" w:rsidR="00187C50" w:rsidRPr="00255FD2" w:rsidRDefault="00187C50" w:rsidP="00187C50">
      <w:pPr>
        <w:widowControl/>
        <w:spacing w:after="240"/>
        <w:ind w:left="566" w:hanging="566"/>
        <w:rPr>
          <w:bCs/>
          <w:iCs/>
          <w:szCs w:val="24"/>
          <w:lang w:eastAsia="en-US"/>
        </w:rPr>
      </w:pPr>
      <w:r w:rsidRPr="00255FD2">
        <w:rPr>
          <w:szCs w:val="24"/>
          <w:lang w:eastAsia="en-US"/>
        </w:rPr>
        <w:t>3.</w:t>
      </w:r>
      <w:r w:rsidRPr="00255FD2">
        <w:rPr>
          <w:szCs w:val="24"/>
          <w:lang w:eastAsia="en-US"/>
        </w:rPr>
        <w:tab/>
        <w:t>zdôrazňuje, že mediálna gramotnosť a digitálne vzdelávanie by sa mali odrážať v širších iniciatívach EÚ zameraných na ochranu demokratických procesov, a to aj v súvislosti so štítom EÚ na obranu demokracie;</w:t>
      </w:r>
    </w:p>
    <w:p w14:paraId="7177D78E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t>4.</w:t>
      </w:r>
      <w:r w:rsidRPr="00255FD2">
        <w:rPr>
          <w:szCs w:val="24"/>
          <w:lang w:eastAsia="en-US"/>
        </w:rPr>
        <w:tab/>
        <w:t>uznáva, že prístupy k výučbe mediálnej gramotnosti a digitálnemu vzdelávaniu musia byť inovatívne, určené pre všetky skupiny obyvateľstva a prispôsobené potrebám vzdelávajúcich sa osôb, najmä zraniteľných používateľov, ktorí sú znevýhodnení v dôsledku geografických, sociálnych, kultúrnych a ekonomických faktorov;</w:t>
      </w:r>
    </w:p>
    <w:p w14:paraId="1D956317" w14:textId="77777777" w:rsidR="00187C50" w:rsidRPr="00255FD2" w:rsidRDefault="00187C50" w:rsidP="00187C50">
      <w:pPr>
        <w:widowControl/>
        <w:spacing w:after="240"/>
        <w:ind w:left="566" w:hanging="566"/>
        <w:rPr>
          <w:bCs/>
          <w:iCs/>
          <w:szCs w:val="24"/>
          <w:lang w:eastAsia="en-US"/>
        </w:rPr>
      </w:pPr>
      <w:r w:rsidRPr="00255FD2">
        <w:rPr>
          <w:szCs w:val="24"/>
          <w:lang w:eastAsia="en-US"/>
        </w:rPr>
        <w:t>5.</w:t>
      </w:r>
      <w:r w:rsidRPr="00255FD2">
        <w:rPr>
          <w:szCs w:val="24"/>
          <w:lang w:eastAsia="en-US"/>
        </w:rPr>
        <w:tab/>
        <w:t>uznáva hodnotu partnerského vzdelávania poskytovaného centrami pre bezpečnejší internet a organizáciami občianskej spoločnosti, ktoré dopĺňa formálne vzdelávania ako účinný nástroj na oboznámenie detí a dospievajúcich s bezpečným používaním internetu;</w:t>
      </w:r>
    </w:p>
    <w:p w14:paraId="0707309E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t>6.</w:t>
      </w:r>
      <w:r w:rsidRPr="00255FD2">
        <w:rPr>
          <w:szCs w:val="24"/>
          <w:lang w:eastAsia="en-US"/>
        </w:rPr>
        <w:tab/>
        <w:t>zdôrazňuje kľúčovú úlohu, ktorú zohráva mediálna gramotnosť a digitálne vzdelávanie pri umožňovaní toho, aby sa používatelia mohli bezpečne pohybovať v digitálnom prostredí, a to aj pokiaľ ide o boj proti kybernetickému šikanovaniu a ďalším formám ujmy na internete; zdôrazňuje najmä, že nadobúdanie zručností v oblasti mediálnej gramotnosti a digitálneho vzdelávania počas celej dráhy vzdelávania a v rámci celoživotného vzdelávania má zásadný význam pre rozvoj a posilnenie kritického myslenia, sebauvedomenia a zodpovedného správania na internete;</w:t>
      </w:r>
    </w:p>
    <w:p w14:paraId="39E0C6E9" w14:textId="77777777" w:rsidR="00187C50" w:rsidRPr="00255FD2" w:rsidRDefault="00187C50" w:rsidP="00187C50">
      <w:pPr>
        <w:widowControl/>
        <w:spacing w:after="240"/>
        <w:ind w:left="566" w:hanging="566"/>
        <w:rPr>
          <w:bCs/>
          <w:iCs/>
          <w:szCs w:val="24"/>
          <w:lang w:eastAsia="en-US"/>
        </w:rPr>
      </w:pPr>
      <w:r w:rsidRPr="00255FD2">
        <w:rPr>
          <w:szCs w:val="24"/>
          <w:lang w:eastAsia="en-US"/>
        </w:rPr>
        <w:t>7.</w:t>
      </w:r>
      <w:r w:rsidRPr="00255FD2">
        <w:rPr>
          <w:szCs w:val="24"/>
          <w:lang w:eastAsia="en-US"/>
        </w:rPr>
        <w:tab/>
        <w:t>zdôrazňuje, že politiky v oblasti mediálnej gramotnosti by mali zvyšovať informovanosť o tom, ako digitálne prostredie a dizajn platforiem ovplyvňujú spôsob prístupu k informáciám vrátane schopnosti pochopiť fungovanie algoritmov a rozpoznať návykový dizajn a emocionálne manipulatívny obsah;</w:t>
      </w:r>
    </w:p>
    <w:p w14:paraId="7F3BA43E" w14:textId="77777777" w:rsidR="00187C50" w:rsidRPr="00255FD2" w:rsidRDefault="00187C50" w:rsidP="00187C50">
      <w:pPr>
        <w:widowControl/>
        <w:spacing w:after="240"/>
        <w:ind w:left="566" w:hanging="566"/>
        <w:rPr>
          <w:bCs/>
          <w:iCs/>
          <w:szCs w:val="24"/>
          <w:lang w:eastAsia="en-US"/>
        </w:rPr>
      </w:pPr>
      <w:r w:rsidRPr="00255FD2">
        <w:rPr>
          <w:szCs w:val="24"/>
          <w:lang w:eastAsia="en-US"/>
        </w:rPr>
        <w:t>8.</w:t>
      </w:r>
      <w:r w:rsidRPr="00255FD2">
        <w:rPr>
          <w:szCs w:val="24"/>
          <w:lang w:eastAsia="en-US"/>
        </w:rPr>
        <w:tab/>
        <w:t xml:space="preserve">zdôrazňuje rastúci vplyv digitálneho prostredia na duševné zdravie a pohodu používateľov; vyzýva Komisiu a členské štáty, aby do programov mediálnej gramotnosti a digitálneho vzdelávania zahrnuli rozvoj digitálnej empatie, zodpovedné </w:t>
      </w:r>
      <w:r w:rsidRPr="00255FD2">
        <w:rPr>
          <w:szCs w:val="24"/>
          <w:lang w:eastAsia="en-US"/>
        </w:rPr>
        <w:lastRenderedPageBreak/>
        <w:t>správanie na internete a pochopenie vplyvu digitálneho prostredia na duševné zdravie a pohodu ako dôležité prvky prevencie kybernetického šikanovania a podpory digitálnej pohody;</w:t>
      </w:r>
    </w:p>
    <w:p w14:paraId="2E18E94B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t>9.</w:t>
      </w:r>
      <w:r w:rsidRPr="00255FD2">
        <w:rPr>
          <w:szCs w:val="24"/>
          <w:lang w:eastAsia="en-US"/>
        </w:rPr>
        <w:tab/>
        <w:t xml:space="preserve">zdôrazňuje, že je dôležité využívať všetky relevantné regulačné nástroje, ktoré sú k dispozícii, a podľa potreby podporovať spoluprácu medzi všetkými príslušnými aktérmi, aby sa tak mohol k mediálnej gramotnosti a digitálnemu vzdelávaniu zaujať </w:t>
      </w:r>
      <w:proofErr w:type="spellStart"/>
      <w:r w:rsidRPr="00255FD2">
        <w:rPr>
          <w:szCs w:val="24"/>
          <w:lang w:eastAsia="en-US"/>
        </w:rPr>
        <w:t>celoúnijný</w:t>
      </w:r>
      <w:proofErr w:type="spellEnd"/>
      <w:r w:rsidRPr="00255FD2">
        <w:rPr>
          <w:szCs w:val="24"/>
          <w:lang w:eastAsia="en-US"/>
        </w:rPr>
        <w:t xml:space="preserve"> prístup;</w:t>
      </w:r>
    </w:p>
    <w:p w14:paraId="0CBAA503" w14:textId="77777777" w:rsidR="00187C50" w:rsidRPr="00255FD2" w:rsidRDefault="00187C50" w:rsidP="00187C50">
      <w:pPr>
        <w:widowControl/>
        <w:spacing w:after="240"/>
        <w:ind w:left="566" w:hanging="566"/>
        <w:rPr>
          <w:bCs/>
          <w:iCs/>
          <w:szCs w:val="24"/>
          <w:lang w:eastAsia="en-US"/>
        </w:rPr>
      </w:pPr>
      <w:r w:rsidRPr="00255FD2">
        <w:rPr>
          <w:szCs w:val="24"/>
          <w:lang w:eastAsia="en-US"/>
        </w:rPr>
        <w:t>10.</w:t>
      </w:r>
      <w:r w:rsidRPr="00255FD2">
        <w:rPr>
          <w:szCs w:val="24"/>
          <w:lang w:eastAsia="en-US"/>
        </w:rPr>
        <w:tab/>
        <w:t>zdôrazňuje význam posilnenia spolupráce medzi verejnými a súkromnými zainteresovanými stranami s cieľom podporiť mediálnu gramotnosť v celej EÚ; zdôrazňuje dôležitú úlohu organizácií občianskej spoločnosti, komunitných iniciatív, dobrovoľníkov a kultúrnych subjektov pri budovaní dôvery, čím sa podporuje dialóg vo verejnej diskusii;</w:t>
      </w:r>
    </w:p>
    <w:p w14:paraId="6F59117E" w14:textId="77777777" w:rsidR="00187C50" w:rsidRPr="00255FD2" w:rsidRDefault="00187C50" w:rsidP="00187C50">
      <w:pPr>
        <w:widowControl/>
        <w:spacing w:after="240"/>
        <w:ind w:left="566" w:hanging="566"/>
        <w:rPr>
          <w:bCs/>
          <w:iCs/>
          <w:szCs w:val="24"/>
          <w:lang w:eastAsia="en-US"/>
        </w:rPr>
      </w:pPr>
      <w:r w:rsidRPr="00255FD2">
        <w:rPr>
          <w:szCs w:val="24"/>
          <w:lang w:eastAsia="en-US"/>
        </w:rPr>
        <w:t>11.</w:t>
      </w:r>
      <w:r w:rsidRPr="00255FD2">
        <w:rPr>
          <w:szCs w:val="24"/>
          <w:lang w:eastAsia="en-US"/>
        </w:rPr>
        <w:tab/>
        <w:t>víta prácu expertnej skupiny pre mediálnu gramotnosť a Európskeho strediska pre monitorovanie digitálnych médií (EDMO) a ich dôležitú úlohu pri združovaní tvorcov politík, výskumných pracovníkov a odborníkov z praxe s cieľom vybudovať multidisciplinárnu komunitu odborníkov, vymieňať si najlepšie postupy a zvyšovať informovanosť; vyzýva na posilnenie ich činností v oblasti mediálnej gramotnosti s cieľom podporiť spoluprácu medzi členskými štátmi;</w:t>
      </w:r>
    </w:p>
    <w:p w14:paraId="470111D3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t>12.</w:t>
      </w:r>
      <w:r w:rsidRPr="00255FD2">
        <w:rPr>
          <w:szCs w:val="24"/>
          <w:lang w:eastAsia="en-US"/>
        </w:rPr>
        <w:tab/>
        <w:t>zdôrazňuje význam začlenenia mediálnej gramotnosti a digitálneho vzdelávania do školských osnov počas celého procesu formálneho vzdelávania, ako aj potrebu vypracovať holistický prístup k používaniu digitálnych technológií v školách založený na dôkazoch;</w:t>
      </w:r>
    </w:p>
    <w:p w14:paraId="0F1599A8" w14:textId="77777777" w:rsidR="00187C50" w:rsidRPr="00255FD2" w:rsidRDefault="00187C50" w:rsidP="00187C50">
      <w:pPr>
        <w:widowControl/>
        <w:spacing w:after="240"/>
        <w:ind w:left="566" w:hanging="566"/>
        <w:rPr>
          <w:bCs/>
          <w:iCs/>
          <w:szCs w:val="24"/>
          <w:lang w:eastAsia="en-US"/>
        </w:rPr>
      </w:pPr>
      <w:r w:rsidRPr="00255FD2">
        <w:rPr>
          <w:szCs w:val="24"/>
          <w:lang w:eastAsia="en-US"/>
        </w:rPr>
        <w:t>13.</w:t>
      </w:r>
      <w:r w:rsidRPr="00255FD2">
        <w:rPr>
          <w:szCs w:val="24"/>
          <w:lang w:eastAsia="en-US"/>
        </w:rPr>
        <w:tab/>
        <w:t>zdôrazňuje, že je dôležité podporovať mediálnu gramotnosť a digitálne vzdelávanie nad rámec formálneho vzdelávania a na pracovisku a zabezpečiť celoživotné vzdelávanie a celospoločenský prístup so zapojením vlád, vzdelávacích inštitúcií, občianskej spoločnosti, mediálnych organizácií, technologických platforiem a rodín;</w:t>
      </w:r>
    </w:p>
    <w:p w14:paraId="4AB478E1" w14:textId="77777777" w:rsidR="00187C50" w:rsidRPr="00255FD2" w:rsidRDefault="00187C50" w:rsidP="00187C50">
      <w:pPr>
        <w:widowControl/>
        <w:spacing w:after="240"/>
        <w:ind w:left="566" w:hanging="566"/>
        <w:rPr>
          <w:bCs/>
          <w:iCs/>
          <w:szCs w:val="24"/>
          <w:lang w:eastAsia="en-US"/>
        </w:rPr>
      </w:pPr>
      <w:r w:rsidRPr="00255FD2">
        <w:rPr>
          <w:szCs w:val="24"/>
          <w:lang w:eastAsia="en-US"/>
        </w:rPr>
        <w:t>14.</w:t>
      </w:r>
      <w:r w:rsidRPr="00255FD2">
        <w:rPr>
          <w:szCs w:val="24"/>
          <w:lang w:eastAsia="en-US"/>
        </w:rPr>
        <w:tab/>
        <w:t xml:space="preserve">vzýva Komisiu, aby v spolupráci s členskými štátmi vytvorila štruktúrovaný rámec monitorovania a hodnotenia vnútroštátnych opatrení v oblasti mediálnej gramotnosti vrátane merateľných ukazovateľov na posúdenie vedomostí, výsledkov z hľadiska správania, rozvoja kritického myslenia a odolnosti voči dezinformáciám, a to aj prostredníctvom </w:t>
      </w:r>
      <w:proofErr w:type="spellStart"/>
      <w:r w:rsidRPr="00255FD2">
        <w:rPr>
          <w:szCs w:val="24"/>
          <w:lang w:eastAsia="en-US"/>
        </w:rPr>
        <w:t>longitudinálnych</w:t>
      </w:r>
      <w:proofErr w:type="spellEnd"/>
      <w:r w:rsidRPr="00255FD2">
        <w:rPr>
          <w:szCs w:val="24"/>
          <w:lang w:eastAsia="en-US"/>
        </w:rPr>
        <w:t xml:space="preserve"> štúdií a hodnotenia prístupov primeraných veku a programov rodičovskej podpory;</w:t>
      </w:r>
    </w:p>
    <w:p w14:paraId="088E2815" w14:textId="77777777" w:rsidR="00187C50" w:rsidRPr="00255FD2" w:rsidRDefault="00187C50" w:rsidP="00187C50">
      <w:pPr>
        <w:widowControl/>
        <w:spacing w:after="240"/>
        <w:rPr>
          <w:b/>
          <w:bCs/>
          <w:i/>
          <w:iCs/>
          <w:szCs w:val="24"/>
          <w:lang w:eastAsia="en-US"/>
        </w:rPr>
      </w:pPr>
      <w:r w:rsidRPr="00255FD2">
        <w:rPr>
          <w:b/>
          <w:i/>
          <w:szCs w:val="24"/>
          <w:lang w:eastAsia="en-US"/>
        </w:rPr>
        <w:t>Mediálna gramotnosť a digitálne vzdelávanie: posilnenie pilierov moderného mediálneho ekosystému</w:t>
      </w:r>
    </w:p>
    <w:p w14:paraId="50A46706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t>15.</w:t>
      </w:r>
      <w:r w:rsidRPr="00255FD2">
        <w:rPr>
          <w:szCs w:val="24"/>
          <w:lang w:eastAsia="en-US"/>
        </w:rPr>
        <w:tab/>
        <w:t>vyzýva inštitúcie EÚ a členské štáty, aby spolupracovali na zavedení koordinovaného prístupu EÚ k mediálnej gramotnosti a digitálnemu vzdelávaniu;</w:t>
      </w:r>
    </w:p>
    <w:p w14:paraId="4E113043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t>16.</w:t>
      </w:r>
      <w:r w:rsidRPr="00255FD2">
        <w:rPr>
          <w:szCs w:val="24"/>
          <w:lang w:eastAsia="en-US"/>
        </w:rPr>
        <w:tab/>
        <w:t>vyzýva Komisiu, aby posúdila a vo vhodných prípadoch navrhla jasný spoločný prístup EÚ, pokiaľ ide o veku primeraný prístup k online platformám, najmä platformám sociálnych médií, a to na základe prístupu založeného na ochrane blaha detí, uznaní potrieb v oblasti kognitívneho a emocionálneho vývoja maloletých osôb a potrebe zaistiť bezpečné a veku primerané digitálne prostredie pri plnom rešpektovaní základných práv a rozdielov vo vnútroštátnych prístupoch;</w:t>
      </w:r>
    </w:p>
    <w:p w14:paraId="04756770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lastRenderedPageBreak/>
        <w:t>17.</w:t>
      </w:r>
      <w:r w:rsidRPr="00255FD2">
        <w:rPr>
          <w:szCs w:val="24"/>
          <w:lang w:eastAsia="en-US"/>
        </w:rPr>
        <w:tab/>
        <w:t>vyzýva Komisiu, aby vyhodnotila príslušné ustanovenia smernice o audiovizuálnych mediálnych službách</w:t>
      </w:r>
      <w:r w:rsidRPr="00255FD2">
        <w:rPr>
          <w:i/>
          <w:szCs w:val="24"/>
          <w:lang w:eastAsia="en-US"/>
        </w:rPr>
        <w:t>,</w:t>
      </w:r>
      <w:r w:rsidRPr="00255FD2">
        <w:rPr>
          <w:szCs w:val="24"/>
          <w:lang w:eastAsia="en-US"/>
        </w:rPr>
        <w:t xml:space="preserve"> zabezpečila jej presadzovanie a navrhla cielené zmeny s cieľom ďalej zvýšiť úroveň ochrany používateľov na platformách na zdieľanie videí, najmä pokiaľ ide o maloleté osoby, rozšíriť pravidlá týkajúce sa mediálneho obsahu na </w:t>
      </w:r>
      <w:proofErr w:type="spellStart"/>
      <w:r w:rsidRPr="00255FD2">
        <w:rPr>
          <w:szCs w:val="24"/>
          <w:lang w:eastAsia="en-US"/>
        </w:rPr>
        <w:t>influencerov</w:t>
      </w:r>
      <w:proofErr w:type="spellEnd"/>
      <w:r w:rsidRPr="00255FD2">
        <w:rPr>
          <w:szCs w:val="24"/>
          <w:lang w:eastAsia="en-US"/>
        </w:rPr>
        <w:t xml:space="preserve"> a tvorcov obsahu a zabezpečiť účinné označovanie obsahu vytvoreného umelou inteligenciou, manipulovaného umelou inteligenciou a komerčne sponzorovaného obsahu, a to bez toho, aby sa pri tom využívali výlučne označenia alebo automatizované ukazovatele;</w:t>
      </w:r>
    </w:p>
    <w:p w14:paraId="270DF926" w14:textId="77777777" w:rsidR="00187C50" w:rsidRPr="00255FD2" w:rsidRDefault="00187C50" w:rsidP="00187C50">
      <w:pPr>
        <w:widowControl/>
        <w:spacing w:after="240"/>
        <w:ind w:left="566" w:hanging="566"/>
        <w:rPr>
          <w:bCs/>
          <w:iCs/>
          <w:szCs w:val="24"/>
          <w:lang w:eastAsia="en-US"/>
        </w:rPr>
      </w:pPr>
      <w:r w:rsidRPr="00255FD2">
        <w:rPr>
          <w:szCs w:val="24"/>
          <w:lang w:eastAsia="en-US"/>
        </w:rPr>
        <w:t>18.</w:t>
      </w:r>
      <w:r w:rsidRPr="00255FD2">
        <w:rPr>
          <w:szCs w:val="24"/>
          <w:lang w:eastAsia="en-US"/>
        </w:rPr>
        <w:tab/>
        <w:t xml:space="preserve">žiada, aby sa pre </w:t>
      </w:r>
      <w:proofErr w:type="spellStart"/>
      <w:r w:rsidRPr="00255FD2">
        <w:rPr>
          <w:szCs w:val="24"/>
          <w:lang w:eastAsia="en-US"/>
        </w:rPr>
        <w:t>influencerov</w:t>
      </w:r>
      <w:proofErr w:type="spellEnd"/>
      <w:r w:rsidRPr="00255FD2">
        <w:rPr>
          <w:szCs w:val="24"/>
          <w:lang w:eastAsia="en-US"/>
        </w:rPr>
        <w:t xml:space="preserve"> a tvorcov obsahu vypracovali a presadzovali kódexy správania a jasné usmernenia týkajúce sa začlenenia zásad mediálnej gramotnosti a digitálneho vzdelávania do ich obsahu, pretože zohrávajú významnú úlohu pri formovaní modelov spotreby informácií, najmä medzi mladými ľuďmi; nabáda online platformy, aby viac zviditeľnili obsah, ktorý aktívne podporuje mediálnu gramotnosť, kritické myslenie a bezpečnosť na internete, a to aj prostredníctvom odporúčacích systémov;</w:t>
      </w:r>
    </w:p>
    <w:p w14:paraId="5E1BE8E4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t>19.</w:t>
      </w:r>
      <w:r w:rsidRPr="00255FD2">
        <w:rPr>
          <w:szCs w:val="24"/>
          <w:lang w:eastAsia="en-US"/>
        </w:rPr>
        <w:tab/>
        <w:t>vyzýva členské štáty, aby poskytli účinný dohľad a zabezpečili, aby platformy na zdieľanie videí dodržiavali povinnosť poskytovať účinné opatrenia a nástroje v oblasti mediálnej gramotnosti a zvyšovať informovanosť používateľov o takýchto opatreniach a nástrojoch, ako sa stanovuje v článku 28b bode 3 smernice o audiovizuálnych mediálnych službách; vyzýva národné regulačné orgány a subjekty, aby využívali mechanizmus spolupráce zriadený podľa článku 15 európskeho aktu o slobode médií s cieľom zabezpečiť účinné presadzovanie tejto povinnosti v celej EÚ;</w:t>
      </w:r>
    </w:p>
    <w:p w14:paraId="6FC2549B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t>20.</w:t>
      </w:r>
      <w:r w:rsidRPr="00255FD2">
        <w:rPr>
          <w:szCs w:val="24"/>
          <w:lang w:eastAsia="en-US"/>
        </w:rPr>
        <w:tab/>
        <w:t>pripomína, že členské štáty sú podľa článku 33a smernice o audiovizuálnych mediálnych službách povinné podporovať a prijímať opatrenia na rozvoj zručností v oblasti mediálnej gramotnosti a podávať Komisii správy o ich vykonávaní; nabáda vnútroštátne regulačné orgány pre médiá, aby pri vypracúvaní takýchto opatrení konzultovali so zástupcami všetkých skupín obyvateľstva a aby pri ich uplatňovaní zaujali prispôsobený prístup a riešili potreby všetkých vekových skupín; vyzýva členské štáty, aby zabezpečili, že tieto orgány budú mať stabilné a vyhradené finančné prostriedky na podporu a zavádzanie opatrení v oblasti mediálnej gramotnosti;</w:t>
      </w:r>
    </w:p>
    <w:p w14:paraId="0D34C016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t>21.</w:t>
      </w:r>
      <w:r w:rsidRPr="00255FD2">
        <w:rPr>
          <w:szCs w:val="24"/>
          <w:lang w:eastAsia="en-US"/>
        </w:rPr>
        <w:tab/>
        <w:t>naliehavo vyzýva veľmi veľké online platformy, aby zaviedli vhodné, primerané a účinné zmierňujúce opatrenia na riešenie systémových rizík, ktoré vyplývajú zo zneužívania nedostatočných zručností používateľov, najmä maloletých osôb, v oblasti mediálnej gramotnosti a digitálneho vzdelávania, ako sa vyžaduje v akte o digitálnych službách; vyzýva veľmi veľké online platformy, aby vykonávali posúdenia vplyvu mediálnej gramotnosti a digitálneho vzdelávania s cieľom proaktívne identifikovať, ako môže dizajn ich služieb ovplyvniť schopnosť používateľov pristupovať k obsahu, vytvárať ho a zapájať sa doň;</w:t>
      </w:r>
    </w:p>
    <w:p w14:paraId="3BB9D68C" w14:textId="77777777" w:rsidR="00187C50" w:rsidRPr="00255FD2" w:rsidRDefault="00187C50" w:rsidP="00187C50">
      <w:pPr>
        <w:widowControl/>
        <w:spacing w:after="240"/>
        <w:ind w:left="566" w:hanging="566"/>
        <w:rPr>
          <w:bCs/>
          <w:iCs/>
          <w:szCs w:val="24"/>
          <w:lang w:eastAsia="en-US"/>
        </w:rPr>
      </w:pPr>
      <w:r w:rsidRPr="00255FD2">
        <w:rPr>
          <w:szCs w:val="24"/>
          <w:lang w:eastAsia="en-US"/>
        </w:rPr>
        <w:t>22.</w:t>
      </w:r>
      <w:r w:rsidRPr="00255FD2">
        <w:rPr>
          <w:szCs w:val="24"/>
          <w:lang w:eastAsia="en-US"/>
        </w:rPr>
        <w:tab/>
        <w:t>zdôrazňuje, že v takýchto posúdeniach vplyvu by sa mal zohľadňovať aj vplyv na pohodu používateľov a ich kognitívny a sociálno-emocionálny vývoj a duševné zdravie, ako aj riziká spojené s prvkami dizajnu založenými na angažovanosti alebo potenciálne návykovom dizajne; žiada, aby takéto posúdenia boli transparentné, nezávislé a verejne dostupné;</w:t>
      </w:r>
    </w:p>
    <w:p w14:paraId="6368886E" w14:textId="77777777" w:rsidR="00187C50" w:rsidRPr="00255FD2" w:rsidRDefault="00187C50" w:rsidP="00187C50">
      <w:pPr>
        <w:widowControl/>
        <w:spacing w:after="240"/>
        <w:ind w:left="566" w:hanging="566"/>
        <w:rPr>
          <w:b/>
          <w:i/>
          <w:szCs w:val="24"/>
          <w:lang w:eastAsia="en-US"/>
        </w:rPr>
      </w:pPr>
      <w:r w:rsidRPr="00255FD2">
        <w:rPr>
          <w:szCs w:val="24"/>
          <w:lang w:eastAsia="en-US"/>
        </w:rPr>
        <w:lastRenderedPageBreak/>
        <w:t>23.</w:t>
      </w:r>
      <w:r w:rsidRPr="00255FD2">
        <w:rPr>
          <w:szCs w:val="24"/>
          <w:lang w:eastAsia="en-US"/>
        </w:rPr>
        <w:tab/>
        <w:t>vyzýva Komisiu, aby zabezpečila účinné vykonávanie záväzkov v oblasti mediálnej gramotnosti v rámci Kódexu správania proti šíreniu dezinformácií podľa aktu o digitálnych službách;</w:t>
      </w:r>
    </w:p>
    <w:p w14:paraId="3C46E06B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t>24.</w:t>
      </w:r>
      <w:r w:rsidRPr="00255FD2">
        <w:rPr>
          <w:szCs w:val="24"/>
          <w:lang w:eastAsia="en-US"/>
        </w:rPr>
        <w:tab/>
        <w:t>vyzýva Komisiu, aby sa v rámci preskúmania usmernení aktu o digitálnych službách, ktoré sa týkajú opatrení na zabezpečenie vysokej úrovne súkromia, bezpečnosti a ochrany maloletých osôb na internete, zaoberala mediálnou gramotnosťou a digitálnym vzdelávaním, najmä pokiaľ ide o opatrenia v oblasti mediálnej gramotnosti a digitálneho vzdelávania, ktoré by online platformy mohli prijať s cieľom zabezpečiť maloletým osobám na internete skúsenosti primerané ich veku;</w:t>
      </w:r>
    </w:p>
    <w:p w14:paraId="061C3766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t>25.</w:t>
      </w:r>
      <w:r w:rsidRPr="00255FD2">
        <w:rPr>
          <w:szCs w:val="24"/>
          <w:lang w:eastAsia="en-US"/>
        </w:rPr>
        <w:tab/>
        <w:t>vyzýva Európsku radu pre mediálne služby, aby využila štruktúrovaný dialóg podľa článku 19 európskeho aktu o slobode médií na monitorovanie opatrení prijímaných veľmi veľkými online platformami v oblasti mediálnej gramotnosti, ako aj na posilnenie dialógu medzi poskytovateľmi mediálnych služieb o podpore mediálnej gramotnosti a digitálneho vzdelávania a viditeľnosti renomovaných médií online;</w:t>
      </w:r>
    </w:p>
    <w:p w14:paraId="03860552" w14:textId="77777777" w:rsidR="00187C50" w:rsidRPr="00255FD2" w:rsidRDefault="00187C50" w:rsidP="00187C50">
      <w:pPr>
        <w:widowControl/>
        <w:spacing w:after="240"/>
        <w:ind w:left="566" w:hanging="566"/>
        <w:rPr>
          <w:b/>
          <w:i/>
          <w:szCs w:val="24"/>
          <w:lang w:eastAsia="en-US"/>
        </w:rPr>
      </w:pPr>
      <w:r w:rsidRPr="00255FD2">
        <w:rPr>
          <w:szCs w:val="24"/>
          <w:lang w:eastAsia="en-US"/>
        </w:rPr>
        <w:t>26.</w:t>
      </w:r>
      <w:r w:rsidRPr="00255FD2">
        <w:rPr>
          <w:szCs w:val="24"/>
          <w:lang w:eastAsia="en-US"/>
        </w:rPr>
        <w:tab/>
        <w:t>zdôrazňuje, že politiky v oblasti mediálnej gramotnosti musia plne rešpektovať slobodu prejavu a pluralitu médií a mali by posilniť postavenie používateľov bez toho, aby obmedzovali prístup k rôznym zdrojom informácií;</w:t>
      </w:r>
    </w:p>
    <w:p w14:paraId="4786D648" w14:textId="77777777" w:rsidR="00187C50" w:rsidRPr="00255FD2" w:rsidRDefault="00187C50" w:rsidP="00187C50">
      <w:pPr>
        <w:widowControl/>
        <w:spacing w:after="240"/>
        <w:ind w:left="566" w:hanging="566"/>
        <w:rPr>
          <w:bCs/>
          <w:iCs/>
          <w:szCs w:val="24"/>
          <w:lang w:eastAsia="en-US"/>
        </w:rPr>
      </w:pPr>
      <w:r w:rsidRPr="00255FD2">
        <w:rPr>
          <w:szCs w:val="24"/>
          <w:lang w:eastAsia="en-US"/>
        </w:rPr>
        <w:t>27.</w:t>
      </w:r>
      <w:r w:rsidRPr="00255FD2">
        <w:rPr>
          <w:szCs w:val="24"/>
          <w:lang w:eastAsia="en-US"/>
        </w:rPr>
        <w:tab/>
        <w:t xml:space="preserve">zdôrazňuje, že mediálna gramotnosť závisí nielen od schopnosti používateľov kriticky posudzovať informácie, ale aj od existencie silnej, nezávislej a vysokokvalitnej žurnalistiky poskytujúcej spoľahlivé, overené a pluralitné informácie; vyzýva Komisiu, aby posilnila podporu tradičných médií na európskej, národnej, regionálnej a miestnej úrovni, pretože zohrávajú zásadnú úlohu pri informovaní občanov, a to aj podporou spravodlivého odmeňovania novinárskeho obsahu a zabezpečením udržateľného financovania, najmä prostredníctvom programov, ako je budúci program </w:t>
      </w:r>
      <w:proofErr w:type="spellStart"/>
      <w:r w:rsidRPr="00255FD2">
        <w:rPr>
          <w:szCs w:val="24"/>
          <w:lang w:eastAsia="en-US"/>
        </w:rPr>
        <w:t>AgoraEU</w:t>
      </w:r>
      <w:proofErr w:type="spellEnd"/>
      <w:r w:rsidRPr="00255FD2">
        <w:rPr>
          <w:szCs w:val="24"/>
          <w:lang w:eastAsia="en-US"/>
        </w:rPr>
        <w:t>;</w:t>
      </w:r>
    </w:p>
    <w:p w14:paraId="1AD76A8A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t>28.</w:t>
      </w:r>
      <w:r w:rsidRPr="00255FD2">
        <w:rPr>
          <w:szCs w:val="24"/>
          <w:lang w:eastAsia="en-US"/>
        </w:rPr>
        <w:tab/>
        <w:t>žiada Komisiu, aby medzi priority Programu pre odolnosť médií zaradila opatrenia v oblasti mediálnej gramotnosti a aby zabezpečila, že z týchto opatrení budú čerpať všetky vekové kategórie (mladí ľudia, dospelí i seniori) vo vidieckych, vzdialených a mestských oblastiach;</w:t>
      </w:r>
    </w:p>
    <w:p w14:paraId="551EF690" w14:textId="77777777" w:rsidR="00187C50" w:rsidRPr="00255FD2" w:rsidRDefault="00187C50" w:rsidP="00187C50">
      <w:pPr>
        <w:widowControl/>
        <w:spacing w:after="240"/>
        <w:ind w:left="566" w:hanging="566"/>
        <w:rPr>
          <w:bCs/>
          <w:iCs/>
          <w:szCs w:val="24"/>
          <w:lang w:eastAsia="en-US"/>
        </w:rPr>
      </w:pPr>
      <w:r w:rsidRPr="00255FD2">
        <w:rPr>
          <w:szCs w:val="24"/>
          <w:lang w:eastAsia="en-US"/>
        </w:rPr>
        <w:t>29.</w:t>
      </w:r>
      <w:r w:rsidRPr="00255FD2">
        <w:rPr>
          <w:szCs w:val="24"/>
          <w:lang w:eastAsia="en-US"/>
        </w:rPr>
        <w:tab/>
        <w:t>vyzýva členské štáty, aby zabezpečili, že vnútroštátne opatrenia v oblasti mediálnej gramotnosti budú zahŕňať osobitné osvetové stratégie pre sociálno-ekonomicky znevýhodnené skupiny, osoby so zdravotným postihnutím, ľudí žijúcich vo vzdialených regiónoch a osoby s nižšou úrovňou digitálnych zručností, a to s cieľom zabrániť tomu, aby sa všeobecné nerovnosti ešte viac prehĺbili v dôsledku rozdielov v mediálnej gramotnosti a digitálnom vzdelávaní;</w:t>
      </w:r>
    </w:p>
    <w:p w14:paraId="1FE5E8A0" w14:textId="77777777" w:rsidR="00187C50" w:rsidRPr="00255FD2" w:rsidRDefault="00187C50" w:rsidP="00187C50">
      <w:pPr>
        <w:widowControl/>
        <w:spacing w:after="240"/>
        <w:ind w:left="566" w:hanging="566"/>
        <w:rPr>
          <w:bCs/>
          <w:iCs/>
          <w:szCs w:val="24"/>
          <w:lang w:eastAsia="en-US"/>
        </w:rPr>
      </w:pPr>
      <w:r w:rsidRPr="00255FD2">
        <w:rPr>
          <w:szCs w:val="24"/>
          <w:lang w:eastAsia="en-US"/>
        </w:rPr>
        <w:t>30.</w:t>
      </w:r>
      <w:r w:rsidRPr="00255FD2">
        <w:rPr>
          <w:szCs w:val="24"/>
          <w:lang w:eastAsia="en-US"/>
        </w:rPr>
        <w:tab/>
        <w:t xml:space="preserve">zdôrazňuje, že je potrebné zabezpečiť stabilné a dlhodobé financovanie mediálnej gramotnosti a digitálneho vzdelávania zo strany EÚ; vyzýva Komisiu, aby medzi priority príslušných programov EÚ vrátane budúceho programu </w:t>
      </w:r>
      <w:proofErr w:type="spellStart"/>
      <w:r w:rsidRPr="00255FD2">
        <w:rPr>
          <w:szCs w:val="24"/>
          <w:lang w:eastAsia="en-US"/>
        </w:rPr>
        <w:t>AgoraEU</w:t>
      </w:r>
      <w:proofErr w:type="spellEnd"/>
      <w:r w:rsidRPr="00255FD2">
        <w:rPr>
          <w:szCs w:val="24"/>
          <w:lang w:eastAsia="en-US"/>
        </w:rPr>
        <w:t xml:space="preserve"> zaradila iniciatívy v oblasti mediálnej gramotnosti so zameraním na kritické myslenie, odolnosť voči dezinformáciám a pluralitu médií;</w:t>
      </w:r>
    </w:p>
    <w:p w14:paraId="521A14B2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t>31.</w:t>
      </w:r>
      <w:r w:rsidRPr="00255FD2">
        <w:rPr>
          <w:szCs w:val="24"/>
          <w:lang w:eastAsia="en-US"/>
        </w:rPr>
        <w:tab/>
        <w:t xml:space="preserve">vyzýva expertnú skupinu Komisie pre mediálnu gramotnosť, Európsku radu pre mediálne služby a Európsky výbor pre digitálne služby, aby úzko spolupracovali v otázkach súvisiacich s mediálnou gramotnosťou a digitálnym vzdelávaním a poskytli </w:t>
      </w:r>
      <w:r w:rsidRPr="00255FD2">
        <w:rPr>
          <w:szCs w:val="24"/>
          <w:lang w:eastAsia="en-US"/>
        </w:rPr>
        <w:lastRenderedPageBreak/>
        <w:t>ďalšie usmernenia týkajúce sa praktických opatrení, ktoré by sa mohli prijať na vnútroštátnej úrovni;</w:t>
      </w:r>
    </w:p>
    <w:p w14:paraId="4D98D0F2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t>32.</w:t>
      </w:r>
      <w:r w:rsidRPr="00255FD2">
        <w:rPr>
          <w:szCs w:val="24"/>
          <w:lang w:eastAsia="en-US"/>
        </w:rPr>
        <w:tab/>
        <w:t>žiada Komisiu, aby využila Európsky týždeň mediálnej gramotnosti ako každoročné hlavné podujatie s cieľom prezentovať príklady najlepších postupov a poskytnúť inkluzívne fórum na diskusiu a budovanie kapacít a aby povzbudila široké spektrum zainteresovaných strán a inštitúcií vrátane styčných kancelárií Európskeho parlamentu v členských štátoch a medzinárodných organizácií, aby sa aktívne zúčastňovali na podpore mediálnej gramotnosti a digitálneho vzdelávania, pričom treba zabezpečiť, aby takéto podujatia odrážali pluralitu názorov;</w:t>
      </w:r>
    </w:p>
    <w:p w14:paraId="7A94BD69" w14:textId="77777777" w:rsidR="00187C50" w:rsidRPr="00255FD2" w:rsidRDefault="00187C50" w:rsidP="00187C50">
      <w:pPr>
        <w:widowControl/>
        <w:spacing w:after="240"/>
        <w:rPr>
          <w:b/>
          <w:i/>
          <w:iCs/>
          <w:szCs w:val="24"/>
          <w:lang w:eastAsia="en-US"/>
        </w:rPr>
      </w:pPr>
      <w:r w:rsidRPr="00255FD2">
        <w:rPr>
          <w:b/>
          <w:i/>
          <w:szCs w:val="24"/>
          <w:lang w:eastAsia="en-US"/>
        </w:rPr>
        <w:t xml:space="preserve">Mediálna gramotnosť a digitálne vzdelávanie: podpora holistického vzdelávacieho systému orientovaného na budúcnosť </w:t>
      </w:r>
    </w:p>
    <w:p w14:paraId="37335BC2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t>33.</w:t>
      </w:r>
      <w:r w:rsidRPr="00255FD2">
        <w:rPr>
          <w:szCs w:val="24"/>
          <w:lang w:eastAsia="en-US"/>
        </w:rPr>
        <w:tab/>
        <w:t>vyzýva Komisiu, aby mediálnu gramotnosť a digitálne vzdelávanie uznala za základné zručnosti potrebné pre všetkých občanov; vyzýva členské štáty, aby mediálnu gramotnosť a digitálne vzdelávanie začlenili do svojich učebných osnov, a to veku primeraným spôsobom; zdôrazňuje, že na podporu mediálnej gramotnosti možno použiť analógové nástroje;</w:t>
      </w:r>
    </w:p>
    <w:p w14:paraId="4853E9A2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t>34.</w:t>
      </w:r>
      <w:r w:rsidRPr="00255FD2">
        <w:rPr>
          <w:szCs w:val="24"/>
          <w:lang w:eastAsia="en-US"/>
        </w:rPr>
        <w:tab/>
        <w:t>vyzýva Komisiu, aby v pláne pre budúcnosť digitálneho vzdelávania a zručností do roku 2030 venovala osobitnú pozornosť mediálnej gramotnosti a posilneniu digitálnych kompetencií, predchádzaniu kybernetickému šikanovaniu a podpore digitálnej pohody;</w:t>
      </w:r>
    </w:p>
    <w:p w14:paraId="5636C29E" w14:textId="77777777" w:rsidR="00187C50" w:rsidRPr="00255FD2" w:rsidRDefault="00187C50" w:rsidP="00187C50">
      <w:pPr>
        <w:widowControl/>
        <w:spacing w:after="240"/>
        <w:ind w:left="566" w:hanging="566"/>
        <w:rPr>
          <w:bCs/>
          <w:iCs/>
          <w:szCs w:val="24"/>
          <w:lang w:eastAsia="en-US"/>
        </w:rPr>
      </w:pPr>
      <w:r w:rsidRPr="00255FD2">
        <w:rPr>
          <w:szCs w:val="24"/>
          <w:lang w:eastAsia="en-US"/>
        </w:rPr>
        <w:t>35.</w:t>
      </w:r>
      <w:r w:rsidRPr="00255FD2">
        <w:rPr>
          <w:szCs w:val="24"/>
          <w:lang w:eastAsia="en-US"/>
        </w:rPr>
        <w:tab/>
        <w:t>vyzýva Komisiu, aby v spolupráci s členskými štátmi vypracovala európsku príručku a ďalšie vzdelávacie materiály o mediálnej gramotnosti prispôsobené všetkým vekovým skupinám a úrovniam vzdelania a aby organizovala pravidelné semináre zamerané na kritické myslenie, overovanie zdrojov informácií, pluralitu médií, zodpovednú účasť médií a úlohu organizácií na overovanie faktov, novinárskych samoregulačných orgánov a komunitných médií, ako aj usmernenia pre rodičov a opatrovateľov o veku primeranom používaní médií, online rizikách a nástrojoch umelej inteligencie;</w:t>
      </w:r>
    </w:p>
    <w:p w14:paraId="0DD50E47" w14:textId="77777777" w:rsidR="00187C50" w:rsidRPr="00255FD2" w:rsidRDefault="00187C50" w:rsidP="00187C50">
      <w:pPr>
        <w:widowControl/>
        <w:spacing w:after="240"/>
        <w:ind w:left="566" w:hanging="566"/>
        <w:rPr>
          <w:bCs/>
          <w:iCs/>
          <w:szCs w:val="24"/>
          <w:lang w:eastAsia="en-US"/>
        </w:rPr>
      </w:pPr>
      <w:r w:rsidRPr="00255FD2">
        <w:rPr>
          <w:szCs w:val="24"/>
          <w:lang w:eastAsia="en-US"/>
        </w:rPr>
        <w:t>36.</w:t>
      </w:r>
      <w:r w:rsidRPr="00255FD2">
        <w:rPr>
          <w:szCs w:val="24"/>
          <w:lang w:eastAsia="en-US"/>
        </w:rPr>
        <w:tab/>
        <w:t>nabáda členské štáty, aby pri vypracúvaní a hodnotení iniciatív v oblasti mediálnej gramotnosti a digitálneho vzdelávania konzultovali a spolupracovali s pedagógmi, výskumnými pracovníkmi, akademickou obcou, organizáciami občianskej spoločnosti, rodičmi, opatrovateľmi a mládežníckymi organizáciami s cieľom zabezpečiť, aby tieto iniciatívy reagovali na potreby vzdelávajúcich sa osôb a pedagógov;</w:t>
      </w:r>
    </w:p>
    <w:p w14:paraId="41917C54" w14:textId="77777777" w:rsidR="00187C50" w:rsidRPr="00255FD2" w:rsidRDefault="00187C50" w:rsidP="00187C50">
      <w:pPr>
        <w:widowControl/>
        <w:spacing w:after="240"/>
        <w:ind w:left="566" w:hanging="566"/>
        <w:rPr>
          <w:bCs/>
          <w:iCs/>
          <w:szCs w:val="24"/>
          <w:lang w:eastAsia="en-US"/>
        </w:rPr>
      </w:pPr>
      <w:r w:rsidRPr="00255FD2">
        <w:rPr>
          <w:szCs w:val="24"/>
          <w:lang w:eastAsia="en-US"/>
        </w:rPr>
        <w:t>37.</w:t>
      </w:r>
      <w:r w:rsidRPr="00255FD2">
        <w:rPr>
          <w:szCs w:val="24"/>
          <w:lang w:eastAsia="en-US"/>
        </w:rPr>
        <w:tab/>
        <w:t>vyzýva členské štáty a Komisiu, aby zabezpečili, že zavádzanie digitálnych vzdelávacích nástrojov vo vzdelávaní nebude podliehať neprimeranému komerčnému vplyvu; zdôrazňuje, že spolupráca so subjektmi súkromného sektora by mala byť transparentná, založená na vzdelávaní a vo verejnom záujme;</w:t>
      </w:r>
    </w:p>
    <w:p w14:paraId="055B87BF" w14:textId="77777777" w:rsidR="00187C50" w:rsidRPr="00255FD2" w:rsidRDefault="00187C50" w:rsidP="00187C50">
      <w:pPr>
        <w:widowControl/>
        <w:spacing w:after="240"/>
        <w:ind w:left="566" w:hanging="566"/>
        <w:rPr>
          <w:bCs/>
          <w:iCs/>
          <w:szCs w:val="24"/>
          <w:lang w:eastAsia="en-US"/>
        </w:rPr>
      </w:pPr>
      <w:r w:rsidRPr="00255FD2">
        <w:rPr>
          <w:szCs w:val="24"/>
          <w:lang w:eastAsia="en-US"/>
        </w:rPr>
        <w:t>38.</w:t>
      </w:r>
      <w:r w:rsidRPr="00255FD2">
        <w:rPr>
          <w:szCs w:val="24"/>
          <w:lang w:eastAsia="en-US"/>
        </w:rPr>
        <w:tab/>
        <w:t xml:space="preserve">vyzýva členské štáty, aby posilnili programy mediálnej gramotnosti a digitálneho vzdelávania s cieľom umožniť používateľom rozlišovať medzi redakčným, komerčným a syntetickým obsahom a identifikovať </w:t>
      </w:r>
      <w:proofErr w:type="spellStart"/>
      <w:r w:rsidRPr="00255FD2">
        <w:rPr>
          <w:szCs w:val="24"/>
          <w:lang w:eastAsia="en-US"/>
        </w:rPr>
        <w:t>presviedčacie</w:t>
      </w:r>
      <w:proofErr w:type="spellEnd"/>
      <w:r w:rsidRPr="00255FD2">
        <w:rPr>
          <w:szCs w:val="24"/>
          <w:lang w:eastAsia="en-US"/>
        </w:rPr>
        <w:t xml:space="preserve"> techniky; zdôrazňuje, že do týchto programov treba začleniť gramotnosť v oblasti umelej inteligencie, aby bolo možné rozpoznať obsah vytvorený umelou inteligenciou a súvisiace riziká manipulácie a dezinformácií;</w:t>
      </w:r>
    </w:p>
    <w:p w14:paraId="23736D13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lastRenderedPageBreak/>
        <w:t>39.</w:t>
      </w:r>
      <w:r w:rsidRPr="00255FD2">
        <w:rPr>
          <w:szCs w:val="24"/>
          <w:lang w:eastAsia="en-US"/>
        </w:rPr>
        <w:tab/>
        <w:t>vyzýva Komisiu, aby v úzkej spolupráci s členskými štátmi urýchlene a komplexne posúdila vplyv digitálnych zariadení a služieb vrátane nástrojov umelej inteligencie vo vzdelávacom prostredí na vzdelávacie výstupy, kognitívny rozvoj, blaho, duševné zdravie a schopnosť udržať pozornosť, a to s cieľom podporiť ich zodpovedné využívanie v školách; naliehavo vyzýva Komisiu, aby v prípade potreby navrhla politické opatrenia, v ktorých by sa mohli stanoviť cielené obmedzenia alebo zákazy, najmä v rámci vzdelávania v ranom detstve, a to s cieľom zabezpečiť, aby používanie digitálnych technológií vo vzdelávaní bolo z pedagogického hľadiska prísne odôvodnené, primerané veku, náležité a založené na nezávislých vedeckých dôkazoch, tak aby takéto nástroje vzdelávací proces podporovali, a nenahrádzali ho;</w:t>
      </w:r>
    </w:p>
    <w:p w14:paraId="1E2C3EB5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t>40.</w:t>
      </w:r>
      <w:r w:rsidRPr="00255FD2">
        <w:rPr>
          <w:szCs w:val="24"/>
          <w:lang w:eastAsia="en-US"/>
        </w:rPr>
        <w:tab/>
        <w:t xml:space="preserve">nabáda členské štáty, aby zabezpečili kontinuálnu odbornú prípravu pedagógov, či už v rámci formálneho a neformálneho vzdelávania, alebo </w:t>
      </w:r>
      <w:proofErr w:type="spellStart"/>
      <w:r w:rsidRPr="00255FD2">
        <w:rPr>
          <w:szCs w:val="24"/>
          <w:lang w:eastAsia="en-US"/>
        </w:rPr>
        <w:t>informálneho</w:t>
      </w:r>
      <w:proofErr w:type="spellEnd"/>
      <w:r w:rsidRPr="00255FD2">
        <w:rPr>
          <w:szCs w:val="24"/>
          <w:lang w:eastAsia="en-US"/>
        </w:rPr>
        <w:t xml:space="preserve"> učenia sa, ako aj knihovníkov v oblasti médií a digitálneho vzdelávania, a to s podporou primeraného financovania; vyzýva Komisiu, aby posilnila odbornú prípravu v oblasti mediálnej gramotnosti prostredníctvom centier pre bezpečnejší internet, platformy Lepší internet pre deti a príslušných platforiem EÚ;</w:t>
      </w:r>
    </w:p>
    <w:p w14:paraId="226E6033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t>41.</w:t>
      </w:r>
      <w:r w:rsidRPr="00255FD2">
        <w:rPr>
          <w:szCs w:val="24"/>
          <w:lang w:eastAsia="en-US"/>
        </w:rPr>
        <w:tab/>
        <w:t>vyzýva Komisiu a príslušné národné regulačné orgány alebo subjekty, aby uskutočňovali vzdelávacie a osvetové kampane o mediálnej gramotnosti a digitálnom vzdelávaní s cieľom zvýšiť informovanosť o tom, ako digitálne prostredie formuje správanie na internete, a o dostupných opatreniach rodičovskej kontroly, existujúcich právnych povinnostiach online platforiem a dostupných mechanizmoch podpory vrátane organizácií poskytujúcich podporu v oblasti duševného zdravia;</w:t>
      </w:r>
    </w:p>
    <w:p w14:paraId="7F6D5213" w14:textId="77777777" w:rsidR="00187C50" w:rsidRPr="00255FD2" w:rsidRDefault="00187C50" w:rsidP="00187C50">
      <w:pPr>
        <w:widowControl/>
        <w:spacing w:after="240"/>
        <w:ind w:left="566" w:hanging="566"/>
        <w:rPr>
          <w:bCs/>
          <w:iCs/>
          <w:szCs w:val="24"/>
          <w:lang w:eastAsia="en-US"/>
        </w:rPr>
      </w:pPr>
      <w:r w:rsidRPr="00255FD2">
        <w:rPr>
          <w:szCs w:val="24"/>
          <w:lang w:eastAsia="en-US"/>
        </w:rPr>
        <w:t>42.</w:t>
      </w:r>
      <w:r w:rsidRPr="00255FD2">
        <w:rPr>
          <w:szCs w:val="24"/>
          <w:lang w:eastAsia="en-US"/>
        </w:rPr>
        <w:tab/>
        <w:t>vyzýva Komisiu a členské štáty, aby podporovali celoživotnú mediálnu gramotnosť a digitálne vzdelávanie pre všetkých občanov so zameraním na dospelých, starších ľudí a zraniteľné skupiny obyvateľstva;</w:t>
      </w:r>
    </w:p>
    <w:p w14:paraId="1FF2A308" w14:textId="77777777" w:rsidR="00187C50" w:rsidRPr="00255FD2" w:rsidRDefault="00187C50" w:rsidP="00187C50">
      <w:pPr>
        <w:widowControl/>
        <w:spacing w:after="240"/>
        <w:ind w:left="566" w:hanging="566"/>
        <w:rPr>
          <w:bCs/>
          <w:iCs/>
          <w:szCs w:val="24"/>
          <w:lang w:eastAsia="en-US"/>
        </w:rPr>
      </w:pPr>
      <w:r w:rsidRPr="00255FD2">
        <w:rPr>
          <w:szCs w:val="24"/>
          <w:lang w:eastAsia="en-US"/>
        </w:rPr>
        <w:t>43.</w:t>
      </w:r>
      <w:r w:rsidRPr="00255FD2">
        <w:rPr>
          <w:szCs w:val="24"/>
          <w:lang w:eastAsia="en-US"/>
        </w:rPr>
        <w:tab/>
        <w:t>uznáva úlohu verejných knižníc, komunitných centier a organizácií občianskej spoločnosti ako dôveryhodných, prístupných a inkluzívnych centier mediálnej gramotnosti a digitálneho vzdelávania, ktoré prispievajú k sociálnemu začleneniu, demokratickej účasti a rovnakému prístupu k vedomostiam, kultúre a informáciám; vyzýva členské štáty, aby posilnili partnerstvá a investície do týchto kľúčových miestnych infraštruktúr prostredníctvom primeraného financovania, odbornej prípravy zamestnancov a prístupu k aktuálnym digitálnym nástrojom a zdrojom;</w:t>
      </w:r>
    </w:p>
    <w:p w14:paraId="3A6534C3" w14:textId="77777777" w:rsidR="00187C50" w:rsidRPr="00255FD2" w:rsidRDefault="00187C50" w:rsidP="00187C50">
      <w:pPr>
        <w:widowControl/>
        <w:spacing w:after="240"/>
        <w:ind w:left="566" w:hanging="566"/>
        <w:rPr>
          <w:bCs/>
          <w:iCs/>
          <w:szCs w:val="24"/>
          <w:lang w:eastAsia="en-US"/>
        </w:rPr>
      </w:pPr>
      <w:r w:rsidRPr="00255FD2">
        <w:rPr>
          <w:szCs w:val="24"/>
          <w:lang w:eastAsia="en-US"/>
        </w:rPr>
        <w:t>44.</w:t>
      </w:r>
      <w:r w:rsidRPr="00255FD2">
        <w:rPr>
          <w:szCs w:val="24"/>
          <w:lang w:eastAsia="en-US"/>
        </w:rPr>
        <w:tab/>
        <w:t>vyzýva Komisiu a členské štáty, aby v spolupráci so subjektmi verejného záujmu a príslušnými zainteresovanými stranami podporovali rozvoj odolných a dôveryhodných digitálnych ekosystémov, ktoré posilňujú digitálnu odolnosť Európy, pluralitu médií a prístup občanov k presným a spoľahlivým informáciám;</w:t>
      </w:r>
    </w:p>
    <w:p w14:paraId="57A5E1EC" w14:textId="77777777" w:rsidR="00187C50" w:rsidRPr="00255FD2" w:rsidRDefault="00187C50" w:rsidP="00187C50">
      <w:pPr>
        <w:widowControl/>
        <w:spacing w:after="240"/>
        <w:ind w:left="566" w:hanging="566"/>
        <w:rPr>
          <w:bCs/>
          <w:iCs/>
          <w:szCs w:val="24"/>
          <w:lang w:eastAsia="en-US"/>
        </w:rPr>
      </w:pPr>
      <w:r w:rsidRPr="00255FD2">
        <w:rPr>
          <w:szCs w:val="24"/>
          <w:lang w:eastAsia="en-US"/>
        </w:rPr>
        <w:t>45.</w:t>
      </w:r>
      <w:r w:rsidRPr="00255FD2">
        <w:rPr>
          <w:szCs w:val="24"/>
          <w:lang w:eastAsia="en-US"/>
        </w:rPr>
        <w:tab/>
        <w:t>vyzýva členské štáty a ich regionálne a miestne orgány, aby inovatívnym a kreatívnym spôsobom podporovali mediálnu gramotnosť a digitálne vzdelávanie v mestskom prostredí, či už vo fyzickom, alebo v digitálnom, s cieľom podporiť demokratickú účasť a občiansku angažovanosť; zdôrazňuje, že mestá zohrávajú kľúčovú úlohu pri zaisťovaní bezpečnosti a ochrany verejných priestorov, na ktoré má informačné prostredie čoraz väčší vplyv;</w:t>
      </w:r>
    </w:p>
    <w:p w14:paraId="2ED15729" w14:textId="30097BEA" w:rsidR="003A4FE0" w:rsidRPr="00255FD2" w:rsidRDefault="003A4FE0" w:rsidP="003A4FE0">
      <w:pPr>
        <w:widowControl/>
        <w:spacing w:after="240"/>
        <w:jc w:val="center"/>
        <w:rPr>
          <w:szCs w:val="24"/>
          <w:lang w:eastAsia="en-US"/>
        </w:rPr>
      </w:pPr>
      <w:r w:rsidRPr="00255FD2">
        <w:rPr>
          <w:szCs w:val="24"/>
          <w:lang w:eastAsia="en-US"/>
        </w:rPr>
        <w:t>°</w:t>
      </w:r>
    </w:p>
    <w:p w14:paraId="11A96D01" w14:textId="2BC76BA6" w:rsidR="003A4FE0" w:rsidRPr="00255FD2" w:rsidRDefault="003A4FE0" w:rsidP="003A4FE0">
      <w:pPr>
        <w:widowControl/>
        <w:spacing w:after="240"/>
        <w:jc w:val="center"/>
        <w:rPr>
          <w:szCs w:val="24"/>
          <w:lang w:eastAsia="en-US"/>
        </w:rPr>
      </w:pPr>
      <w:r w:rsidRPr="00255FD2">
        <w:rPr>
          <w:szCs w:val="24"/>
          <w:lang w:eastAsia="en-US"/>
        </w:rPr>
        <w:lastRenderedPageBreak/>
        <w:t>°     °</w:t>
      </w:r>
    </w:p>
    <w:p w14:paraId="1CFA34D6" w14:textId="77777777" w:rsidR="00187C50" w:rsidRPr="00255FD2" w:rsidRDefault="00187C50" w:rsidP="00187C50">
      <w:pPr>
        <w:widowControl/>
        <w:spacing w:after="240"/>
        <w:ind w:left="566" w:hanging="566"/>
        <w:rPr>
          <w:szCs w:val="24"/>
          <w:lang w:eastAsia="en-US"/>
        </w:rPr>
      </w:pPr>
      <w:r w:rsidRPr="00255FD2">
        <w:rPr>
          <w:szCs w:val="24"/>
          <w:lang w:eastAsia="en-US"/>
        </w:rPr>
        <w:t>46.</w:t>
      </w:r>
      <w:r w:rsidRPr="00255FD2">
        <w:rPr>
          <w:szCs w:val="24"/>
          <w:lang w:eastAsia="en-US"/>
        </w:rPr>
        <w:tab/>
        <w:t>poveruje svoju predsedníčku, aby postúpila toto uznesenie Rade a Komisii.</w:t>
      </w:r>
    </w:p>
    <w:p w14:paraId="7F433D6A" w14:textId="77777777" w:rsidR="00187C50" w:rsidRPr="00255FD2" w:rsidRDefault="00187C50" w:rsidP="00187C50">
      <w:pPr>
        <w:rPr>
          <w:lang w:eastAsia="fr-FR"/>
        </w:rPr>
      </w:pPr>
    </w:p>
    <w:p w14:paraId="273A9EF1" w14:textId="48B379F9" w:rsidR="00E365E1" w:rsidRPr="00255FD2" w:rsidRDefault="00E365E1" w:rsidP="008252C7">
      <w:pPr>
        <w:widowControl/>
      </w:pPr>
    </w:p>
    <w:sectPr w:rsidR="00E365E1" w:rsidRPr="00255FD2" w:rsidSect="007112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4F28F" w14:textId="77777777" w:rsidR="005D32A6" w:rsidRPr="00711204" w:rsidRDefault="005D32A6">
      <w:r w:rsidRPr="00711204">
        <w:separator/>
      </w:r>
    </w:p>
  </w:endnote>
  <w:endnote w:type="continuationSeparator" w:id="0">
    <w:p w14:paraId="5F503E2D" w14:textId="77777777" w:rsidR="005D32A6" w:rsidRPr="00711204" w:rsidRDefault="005D32A6">
      <w:r w:rsidRPr="007112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52683" w14:textId="77777777" w:rsidR="00064002" w:rsidRPr="0071120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73C46" w14:textId="77777777" w:rsidR="00064002" w:rsidRPr="0071120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78FF7" w14:textId="77777777" w:rsidR="00064002" w:rsidRPr="0071120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C41FE" w14:textId="77777777" w:rsidR="005D32A6" w:rsidRPr="00711204" w:rsidRDefault="005D32A6">
      <w:r w:rsidRPr="00711204">
        <w:separator/>
      </w:r>
    </w:p>
  </w:footnote>
  <w:footnote w:type="continuationSeparator" w:id="0">
    <w:p w14:paraId="26FC6B02" w14:textId="77777777" w:rsidR="005D32A6" w:rsidRPr="00711204" w:rsidRDefault="005D32A6">
      <w:r w:rsidRPr="00711204">
        <w:continuationSeparator/>
      </w:r>
    </w:p>
  </w:footnote>
  <w:footnote w:id="1">
    <w:p w14:paraId="357ED0F2" w14:textId="26D38EC7" w:rsidR="003A4FE0" w:rsidRPr="003A4FE0" w:rsidRDefault="003A4FE0" w:rsidP="003A4FE0">
      <w:pPr>
        <w:pStyle w:val="FootnoteText"/>
        <w:ind w:left="567" w:hanging="567"/>
        <w:rPr>
          <w:sz w:val="24"/>
          <w:szCs w:val="24"/>
          <w:lang w:val="fi-FI"/>
        </w:rPr>
      </w:pPr>
      <w:r w:rsidRPr="003A4FE0">
        <w:rPr>
          <w:rStyle w:val="FootnoteReference"/>
          <w:sz w:val="24"/>
          <w:szCs w:val="24"/>
        </w:rPr>
        <w:footnoteRef/>
      </w:r>
      <w:r w:rsidRPr="003A4FE0">
        <w:rPr>
          <w:sz w:val="24"/>
          <w:szCs w:val="24"/>
          <w:lang w:val="fi-FI"/>
        </w:rPr>
        <w:t xml:space="preserve"> </w:t>
      </w:r>
      <w:r w:rsidRPr="003A4FE0">
        <w:rPr>
          <w:sz w:val="24"/>
          <w:szCs w:val="24"/>
          <w:lang w:val="fi-FI"/>
        </w:rPr>
        <w:tab/>
        <w:t xml:space="preserve">Ú. v. EÚ L 303, 28.11.2018, s. 69, ELI: </w:t>
      </w:r>
      <w:hyperlink r:id="rId1" w:tgtFrame="http://data.europa.eu/eli/dir/2018/1808/oj" w:history="1">
        <w:r w:rsidRPr="003A4FE0">
          <w:rPr>
            <w:rStyle w:val="Hyperlink"/>
            <w:sz w:val="24"/>
            <w:szCs w:val="24"/>
            <w:lang w:val="fi-FI"/>
          </w:rPr>
          <w:t>http://data.europa.eu/eli/dir/2018/1808/oj</w:t>
        </w:r>
      </w:hyperlink>
      <w:r w:rsidRPr="003A4FE0">
        <w:rPr>
          <w:sz w:val="24"/>
          <w:szCs w:val="24"/>
          <w:lang w:val="fi-FI"/>
        </w:rPr>
        <w:t>.</w:t>
      </w:r>
    </w:p>
  </w:footnote>
  <w:footnote w:id="2">
    <w:p w14:paraId="64C6B701" w14:textId="1D1930D3" w:rsidR="00187C50" w:rsidRPr="003A4FE0" w:rsidRDefault="00187C50" w:rsidP="003A4FE0">
      <w:pPr>
        <w:pStyle w:val="FootnoteText"/>
        <w:ind w:left="567" w:hanging="567"/>
        <w:rPr>
          <w:sz w:val="24"/>
          <w:szCs w:val="24"/>
          <w:lang w:val="es-ES"/>
        </w:rPr>
      </w:pPr>
      <w:r w:rsidRPr="003A4FE0">
        <w:rPr>
          <w:rStyle w:val="FootnoteReference"/>
          <w:sz w:val="24"/>
          <w:szCs w:val="24"/>
        </w:rPr>
        <w:footnoteRef/>
      </w:r>
      <w:r w:rsidRPr="003A4FE0">
        <w:rPr>
          <w:sz w:val="24"/>
          <w:szCs w:val="24"/>
          <w:lang w:val="es-ES"/>
        </w:rPr>
        <w:t xml:space="preserve"> </w:t>
      </w:r>
      <w:r w:rsidR="003A4FE0" w:rsidRPr="003A4FE0">
        <w:rPr>
          <w:sz w:val="24"/>
          <w:szCs w:val="24"/>
          <w:lang w:val="es-ES"/>
        </w:rPr>
        <w:tab/>
      </w:r>
      <w:r w:rsidRPr="003A4FE0">
        <w:rPr>
          <w:sz w:val="24"/>
          <w:szCs w:val="24"/>
          <w:lang w:val="es-ES"/>
        </w:rPr>
        <w:t>Ú. v. EÚ L, 2024/1083, 17.4.2024, ELI: </w:t>
      </w:r>
      <w:hyperlink r:id="rId2" w:tgtFrame="_blank" w:tooltip="Umožňuje prístup k tomuto dokumentu prostredníctvom identifikátora URI používaného v rámci ELI." w:history="1">
        <w:r w:rsidRPr="003A4FE0">
          <w:rPr>
            <w:rStyle w:val="Hyperlink"/>
            <w:sz w:val="24"/>
            <w:szCs w:val="24"/>
            <w:lang w:val="es-ES"/>
          </w:rPr>
          <w:t>http://data.europa.eu/eli/reg/2024/1083/oj</w:t>
        </w:r>
      </w:hyperlink>
      <w:r w:rsidRPr="003A4FE0">
        <w:rPr>
          <w:sz w:val="24"/>
          <w:szCs w:val="24"/>
          <w:lang w:val="es-ES"/>
        </w:rPr>
        <w:t>.</w:t>
      </w:r>
    </w:p>
  </w:footnote>
  <w:footnote w:id="3">
    <w:p w14:paraId="36679474" w14:textId="6A72E1E5" w:rsidR="00187C50" w:rsidRPr="003A4FE0" w:rsidRDefault="00187C50" w:rsidP="003A4FE0">
      <w:pPr>
        <w:pStyle w:val="FootnoteText"/>
        <w:ind w:left="567" w:hanging="567"/>
        <w:rPr>
          <w:sz w:val="24"/>
          <w:szCs w:val="24"/>
          <w:lang w:val="es-ES"/>
        </w:rPr>
      </w:pPr>
      <w:r w:rsidRPr="003A4FE0">
        <w:rPr>
          <w:rStyle w:val="FootnoteReference"/>
          <w:sz w:val="24"/>
          <w:szCs w:val="24"/>
        </w:rPr>
        <w:footnoteRef/>
      </w:r>
      <w:r w:rsidRPr="003A4FE0">
        <w:rPr>
          <w:sz w:val="24"/>
          <w:szCs w:val="24"/>
          <w:lang w:val="es-ES"/>
        </w:rPr>
        <w:t xml:space="preserve"> </w:t>
      </w:r>
      <w:r w:rsidR="003A4FE0" w:rsidRPr="003A4FE0">
        <w:rPr>
          <w:sz w:val="24"/>
          <w:szCs w:val="24"/>
          <w:lang w:val="es-ES"/>
        </w:rPr>
        <w:tab/>
      </w:r>
      <w:proofErr w:type="spellStart"/>
      <w:r w:rsidRPr="003A4FE0">
        <w:rPr>
          <w:sz w:val="24"/>
          <w:szCs w:val="24"/>
          <w:lang w:val="es-ES"/>
        </w:rPr>
        <w:t>Ú</w:t>
      </w:r>
      <w:proofErr w:type="spellEnd"/>
      <w:r w:rsidRPr="003A4FE0">
        <w:rPr>
          <w:sz w:val="24"/>
          <w:szCs w:val="24"/>
          <w:lang w:val="es-ES"/>
        </w:rPr>
        <w:t>. v. EÚ L 277, 27.10.2022, s. 1, ELI: </w:t>
      </w:r>
      <w:hyperlink r:id="rId3" w:tooltip="Umožňuje prístup k tomuto dokumentu prostredníctvom identifikátora URI používaného v rámci ELI." w:history="1">
        <w:r w:rsidRPr="003A4FE0">
          <w:rPr>
            <w:rStyle w:val="Hyperlink"/>
            <w:sz w:val="24"/>
            <w:szCs w:val="24"/>
            <w:lang w:val="es-ES"/>
          </w:rPr>
          <w:t>http://data.europa.eu/eli/reg/2022/2065/oj</w:t>
        </w:r>
      </w:hyperlink>
      <w:r w:rsidRPr="003A4FE0">
        <w:rPr>
          <w:sz w:val="24"/>
          <w:szCs w:val="24"/>
          <w:lang w:val="es-ES"/>
        </w:rPr>
        <w:t>.</w:t>
      </w:r>
    </w:p>
  </w:footnote>
  <w:footnote w:id="4">
    <w:p w14:paraId="3EB6FFFB" w14:textId="545106D3" w:rsidR="00187C50" w:rsidRPr="003A4FE0" w:rsidRDefault="00187C50" w:rsidP="003A4FE0">
      <w:pPr>
        <w:pStyle w:val="FootnoteText"/>
        <w:ind w:left="567" w:hanging="567"/>
        <w:rPr>
          <w:sz w:val="24"/>
          <w:szCs w:val="24"/>
          <w:lang w:val="es-ES"/>
        </w:rPr>
      </w:pPr>
      <w:r w:rsidRPr="003A4FE0">
        <w:rPr>
          <w:rStyle w:val="FootnoteReference"/>
          <w:sz w:val="24"/>
          <w:szCs w:val="24"/>
        </w:rPr>
        <w:footnoteRef/>
      </w:r>
      <w:r w:rsidRPr="003A4FE0">
        <w:rPr>
          <w:sz w:val="24"/>
          <w:szCs w:val="24"/>
          <w:lang w:val="es-ES"/>
        </w:rPr>
        <w:t xml:space="preserve"> </w:t>
      </w:r>
      <w:r w:rsidR="003A4FE0" w:rsidRPr="003A4FE0">
        <w:rPr>
          <w:sz w:val="24"/>
          <w:szCs w:val="24"/>
          <w:lang w:val="es-ES"/>
        </w:rPr>
        <w:tab/>
      </w:r>
      <w:r w:rsidRPr="003A4FE0">
        <w:rPr>
          <w:sz w:val="24"/>
          <w:szCs w:val="24"/>
          <w:lang w:val="es-ES"/>
        </w:rPr>
        <w:t>Ú. v. EÚ L, 2024/1689, 12.7.2024, ELI: </w:t>
      </w:r>
      <w:hyperlink r:id="rId4" w:tgtFrame="_blank" w:tooltip="Umožňuje prístup k tomuto dokumentu prostredníctvom identifikátora URI používaného v rámci ELI." w:history="1">
        <w:r w:rsidRPr="003A4FE0">
          <w:rPr>
            <w:rStyle w:val="Hyperlink"/>
            <w:sz w:val="24"/>
            <w:szCs w:val="24"/>
            <w:lang w:val="es-ES"/>
          </w:rPr>
          <w:t>http://data.europa.eu/eli/reg/2024/1689/oj</w:t>
        </w:r>
      </w:hyperlink>
      <w:r w:rsidRPr="003A4FE0">
        <w:rPr>
          <w:sz w:val="24"/>
          <w:szCs w:val="24"/>
          <w:lang w:val="es-ES"/>
        </w:rPr>
        <w:t>.</w:t>
      </w:r>
    </w:p>
  </w:footnote>
  <w:footnote w:id="5">
    <w:p w14:paraId="0D8711DC" w14:textId="437FB76D" w:rsidR="00187C50" w:rsidRPr="003A4FE0" w:rsidRDefault="00187C50" w:rsidP="003A4FE0">
      <w:pPr>
        <w:pStyle w:val="FootnoteText"/>
        <w:ind w:left="567" w:hanging="567"/>
        <w:rPr>
          <w:sz w:val="24"/>
          <w:szCs w:val="24"/>
          <w:lang w:val="es-ES"/>
        </w:rPr>
      </w:pPr>
      <w:r w:rsidRPr="003A4FE0">
        <w:rPr>
          <w:rStyle w:val="FootnoteReference"/>
          <w:sz w:val="24"/>
          <w:szCs w:val="24"/>
        </w:rPr>
        <w:footnoteRef/>
      </w:r>
      <w:r w:rsidRPr="003A4FE0">
        <w:rPr>
          <w:sz w:val="24"/>
          <w:szCs w:val="24"/>
          <w:lang w:val="es-ES"/>
        </w:rPr>
        <w:t xml:space="preserve"> </w:t>
      </w:r>
      <w:r w:rsidR="003A4FE0" w:rsidRPr="003A4FE0">
        <w:rPr>
          <w:sz w:val="24"/>
          <w:szCs w:val="24"/>
          <w:lang w:val="es-ES"/>
        </w:rPr>
        <w:tab/>
      </w:r>
      <w:proofErr w:type="spellStart"/>
      <w:r w:rsidRPr="003A4FE0">
        <w:rPr>
          <w:sz w:val="24"/>
          <w:szCs w:val="24"/>
          <w:lang w:val="es-ES"/>
        </w:rPr>
        <w:t>Ú</w:t>
      </w:r>
      <w:proofErr w:type="spellEnd"/>
      <w:r w:rsidRPr="003A4FE0">
        <w:rPr>
          <w:sz w:val="24"/>
          <w:szCs w:val="24"/>
          <w:lang w:val="es-ES"/>
        </w:rPr>
        <w:t xml:space="preserve">. v. EÚ C 494, 8.12.2021, s. 2. </w:t>
      </w:r>
    </w:p>
  </w:footnote>
  <w:footnote w:id="6">
    <w:p w14:paraId="11C4D7F4" w14:textId="15ACA438" w:rsidR="00187C50" w:rsidRPr="003A4FE0" w:rsidRDefault="00187C50" w:rsidP="003A4FE0">
      <w:pPr>
        <w:pStyle w:val="FootnoteText"/>
        <w:ind w:left="567" w:hanging="567"/>
        <w:rPr>
          <w:sz w:val="24"/>
          <w:szCs w:val="24"/>
          <w:lang w:val="es-ES"/>
        </w:rPr>
      </w:pPr>
      <w:r w:rsidRPr="003A4FE0">
        <w:rPr>
          <w:rStyle w:val="FootnoteReference"/>
          <w:sz w:val="24"/>
          <w:szCs w:val="24"/>
        </w:rPr>
        <w:footnoteRef/>
      </w:r>
      <w:r w:rsidRPr="003A4FE0">
        <w:rPr>
          <w:sz w:val="24"/>
          <w:szCs w:val="24"/>
          <w:lang w:val="es-ES"/>
        </w:rPr>
        <w:t xml:space="preserve"> </w:t>
      </w:r>
      <w:r w:rsidR="003A4FE0" w:rsidRPr="003A4FE0">
        <w:rPr>
          <w:sz w:val="24"/>
          <w:szCs w:val="24"/>
          <w:lang w:val="es-ES"/>
        </w:rPr>
        <w:tab/>
      </w:r>
      <w:proofErr w:type="spellStart"/>
      <w:r w:rsidRPr="003A4FE0">
        <w:rPr>
          <w:sz w:val="24"/>
          <w:szCs w:val="24"/>
          <w:lang w:val="es-ES"/>
        </w:rPr>
        <w:t>Ú</w:t>
      </w:r>
      <w:proofErr w:type="spellEnd"/>
      <w:r w:rsidRPr="003A4FE0">
        <w:rPr>
          <w:sz w:val="24"/>
          <w:szCs w:val="24"/>
          <w:lang w:val="es-ES"/>
        </w:rPr>
        <w:t>. v. EÚ C, C/2026/1708, 24.4.2026, ELI: </w:t>
      </w:r>
      <w:hyperlink r:id="rId5" w:tgtFrame="_blank" w:tooltip="Umožňuje prístup k tomuto dokumentu prostredníctvom identifikátora URI používaného v rámci ELI." w:history="1">
        <w:r w:rsidRPr="003A4FE0">
          <w:rPr>
            <w:rStyle w:val="Hyperlink"/>
            <w:sz w:val="24"/>
            <w:szCs w:val="24"/>
            <w:lang w:val="es-ES"/>
          </w:rPr>
          <w:t>http://data.europa.eu/eli/C/2026/1708/oj</w:t>
        </w:r>
      </w:hyperlink>
      <w:r w:rsidRPr="003A4FE0">
        <w:rPr>
          <w:sz w:val="24"/>
          <w:szCs w:val="24"/>
          <w:lang w:val="es-ES"/>
        </w:rPr>
        <w:t>.</w:t>
      </w:r>
    </w:p>
  </w:footnote>
  <w:footnote w:id="7">
    <w:p w14:paraId="479D5381" w14:textId="1B24C719" w:rsidR="00187C50" w:rsidRPr="003A4FE0" w:rsidRDefault="00187C50" w:rsidP="003A4FE0">
      <w:pPr>
        <w:pStyle w:val="FootnoteText"/>
        <w:ind w:left="567" w:hanging="567"/>
        <w:rPr>
          <w:sz w:val="24"/>
          <w:szCs w:val="24"/>
          <w:lang w:val="es-ES"/>
        </w:rPr>
      </w:pPr>
      <w:r w:rsidRPr="003A4FE0">
        <w:rPr>
          <w:rStyle w:val="FootnoteReference"/>
          <w:sz w:val="24"/>
          <w:szCs w:val="24"/>
        </w:rPr>
        <w:footnoteRef/>
      </w:r>
      <w:r w:rsidRPr="003A4FE0">
        <w:rPr>
          <w:sz w:val="24"/>
          <w:szCs w:val="24"/>
          <w:lang w:val="es-ES"/>
        </w:rPr>
        <w:t xml:space="preserve"> </w:t>
      </w:r>
      <w:r w:rsidR="003A4FE0" w:rsidRPr="003A4FE0">
        <w:rPr>
          <w:sz w:val="24"/>
          <w:szCs w:val="24"/>
          <w:lang w:val="es-ES"/>
        </w:rPr>
        <w:tab/>
      </w:r>
      <w:r w:rsidRPr="003A4FE0">
        <w:rPr>
          <w:sz w:val="24"/>
          <w:szCs w:val="24"/>
          <w:lang w:val="es-ES"/>
        </w:rPr>
        <w:t>Ú. v. EÚ C 456, 18.12.2018, s. 1.</w:t>
      </w:r>
    </w:p>
  </w:footnote>
  <w:footnote w:id="8">
    <w:p w14:paraId="7999479D" w14:textId="6CF6B9E2" w:rsidR="00187C50" w:rsidRPr="003A4FE0" w:rsidRDefault="00187C50" w:rsidP="003A4FE0">
      <w:pPr>
        <w:pStyle w:val="FootnoteText"/>
        <w:ind w:left="567" w:hanging="567"/>
        <w:rPr>
          <w:sz w:val="24"/>
          <w:szCs w:val="24"/>
          <w:lang w:val="es-ES"/>
        </w:rPr>
      </w:pPr>
      <w:r w:rsidRPr="003A4FE0">
        <w:rPr>
          <w:rStyle w:val="FootnoteReference"/>
          <w:sz w:val="24"/>
          <w:szCs w:val="24"/>
        </w:rPr>
        <w:footnoteRef/>
      </w:r>
      <w:r w:rsidRPr="003A4FE0">
        <w:rPr>
          <w:sz w:val="24"/>
          <w:szCs w:val="24"/>
          <w:lang w:val="es-ES"/>
        </w:rPr>
        <w:t xml:space="preserve"> </w:t>
      </w:r>
      <w:r w:rsidR="003A4FE0" w:rsidRPr="003A4FE0">
        <w:rPr>
          <w:sz w:val="24"/>
          <w:szCs w:val="24"/>
          <w:lang w:val="es-ES"/>
        </w:rPr>
        <w:tab/>
      </w:r>
      <w:r w:rsidRPr="003A4FE0">
        <w:rPr>
          <w:sz w:val="24"/>
          <w:szCs w:val="24"/>
          <w:lang w:val="es-ES"/>
        </w:rPr>
        <w:t>Ú. v. EÚ C, C/2025/5519, 10.10.2025, ELI: </w:t>
      </w:r>
      <w:hyperlink r:id="rId6" w:tgtFrame="_blank" w:tooltip="Umožňuje prístup k tomuto dokumentu prostredníctvom identifikátora URI používaného v rámci ELI." w:history="1">
        <w:r w:rsidRPr="003A4FE0">
          <w:rPr>
            <w:rStyle w:val="Hyperlink"/>
            <w:sz w:val="24"/>
            <w:szCs w:val="24"/>
            <w:lang w:val="es-ES"/>
          </w:rPr>
          <w:t>http://data.europa.eu/eli/C/2025/5519/oj</w:t>
        </w:r>
      </w:hyperlink>
      <w:r w:rsidRPr="003A4FE0">
        <w:rPr>
          <w:sz w:val="24"/>
          <w:szCs w:val="24"/>
          <w:lang w:val="es-ES"/>
        </w:rPr>
        <w:t>.</w:t>
      </w:r>
    </w:p>
  </w:footnote>
  <w:footnote w:id="9">
    <w:p w14:paraId="085D4461" w14:textId="50460EF5" w:rsidR="00187C50" w:rsidRPr="003A4FE0" w:rsidRDefault="00187C50" w:rsidP="003A4FE0">
      <w:pPr>
        <w:pStyle w:val="FootnoteText"/>
        <w:ind w:left="567" w:hanging="567"/>
        <w:rPr>
          <w:sz w:val="24"/>
          <w:szCs w:val="24"/>
          <w:lang w:val="en-GB"/>
        </w:rPr>
      </w:pPr>
      <w:r w:rsidRPr="003A4FE0">
        <w:rPr>
          <w:rStyle w:val="FootnoteReference"/>
          <w:sz w:val="24"/>
          <w:szCs w:val="24"/>
        </w:rPr>
        <w:footnoteRef/>
      </w:r>
      <w:r w:rsidRPr="003A4FE0">
        <w:rPr>
          <w:sz w:val="24"/>
          <w:szCs w:val="24"/>
          <w:lang w:val="en-GB"/>
        </w:rPr>
        <w:t xml:space="preserve"> </w:t>
      </w:r>
      <w:r w:rsidR="003A4FE0" w:rsidRPr="003A4FE0">
        <w:rPr>
          <w:sz w:val="24"/>
          <w:szCs w:val="24"/>
          <w:lang w:val="en-GB"/>
        </w:rPr>
        <w:tab/>
      </w:r>
      <w:r w:rsidRPr="003A4FE0">
        <w:rPr>
          <w:sz w:val="24"/>
          <w:szCs w:val="24"/>
          <w:lang w:val="en-GB"/>
        </w:rPr>
        <w:t xml:space="preserve">Maza, M.T. et al., „Association of habitual checking </w:t>
      </w:r>
      <w:proofErr w:type="spellStart"/>
      <w:r w:rsidRPr="003A4FE0">
        <w:rPr>
          <w:sz w:val="24"/>
          <w:szCs w:val="24"/>
          <w:lang w:val="en-GB"/>
        </w:rPr>
        <w:t>behaviors</w:t>
      </w:r>
      <w:proofErr w:type="spellEnd"/>
      <w:r w:rsidRPr="003A4FE0">
        <w:rPr>
          <w:sz w:val="24"/>
          <w:szCs w:val="24"/>
          <w:lang w:val="en-GB"/>
        </w:rPr>
        <w:t xml:space="preserve"> on social media with longitudinal functional brain </w:t>
      </w:r>
      <w:proofErr w:type="gramStart"/>
      <w:r w:rsidRPr="003A4FE0">
        <w:rPr>
          <w:sz w:val="24"/>
          <w:szCs w:val="24"/>
          <w:lang w:val="en-GB"/>
        </w:rPr>
        <w:t>development“</w:t>
      </w:r>
      <w:proofErr w:type="gramEnd"/>
      <w:r w:rsidRPr="003A4FE0">
        <w:rPr>
          <w:sz w:val="24"/>
          <w:szCs w:val="24"/>
          <w:lang w:val="en-GB"/>
        </w:rPr>
        <w:t>,</w:t>
      </w:r>
      <w:r w:rsidRPr="003A4FE0">
        <w:rPr>
          <w:i/>
          <w:sz w:val="24"/>
          <w:szCs w:val="24"/>
          <w:lang w:val="en-GB"/>
        </w:rPr>
        <w:t xml:space="preserve"> JAMA </w:t>
      </w:r>
      <w:proofErr w:type="spellStart"/>
      <w:r w:rsidRPr="003A4FE0">
        <w:rPr>
          <w:i/>
          <w:sz w:val="24"/>
          <w:szCs w:val="24"/>
          <w:lang w:val="en-GB"/>
        </w:rPr>
        <w:t>Pediatrics</w:t>
      </w:r>
      <w:proofErr w:type="spellEnd"/>
      <w:r w:rsidRPr="003A4FE0">
        <w:rPr>
          <w:sz w:val="24"/>
          <w:szCs w:val="24"/>
          <w:lang w:val="en-GB"/>
        </w:rPr>
        <w:t xml:space="preserve">, </w:t>
      </w:r>
      <w:proofErr w:type="spellStart"/>
      <w:r w:rsidRPr="003A4FE0">
        <w:rPr>
          <w:sz w:val="24"/>
          <w:szCs w:val="24"/>
          <w:lang w:val="en-GB"/>
        </w:rPr>
        <w:t>roč</w:t>
      </w:r>
      <w:proofErr w:type="spellEnd"/>
      <w:r w:rsidRPr="003A4FE0">
        <w:rPr>
          <w:sz w:val="24"/>
          <w:szCs w:val="24"/>
          <w:lang w:val="en-GB"/>
        </w:rPr>
        <w:t xml:space="preserve">. 177, č. 2, 2023, s. 160 – 167.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CBB96" w14:textId="77777777" w:rsidR="00064002" w:rsidRPr="0071120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799E9" w14:textId="77777777" w:rsidR="00064002" w:rsidRPr="0071120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8B975" w14:textId="77777777" w:rsidR="00064002" w:rsidRPr="0071120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78707955">
    <w:abstractNumId w:val="9"/>
  </w:num>
  <w:num w:numId="2" w16cid:durableId="1672903976">
    <w:abstractNumId w:val="9"/>
  </w:num>
  <w:num w:numId="3" w16cid:durableId="920135774">
    <w:abstractNumId w:val="7"/>
  </w:num>
  <w:num w:numId="4" w16cid:durableId="397636303">
    <w:abstractNumId w:val="7"/>
  </w:num>
  <w:num w:numId="5" w16cid:durableId="405540096">
    <w:abstractNumId w:val="6"/>
  </w:num>
  <w:num w:numId="6" w16cid:durableId="1626689338">
    <w:abstractNumId w:val="6"/>
  </w:num>
  <w:num w:numId="7" w16cid:durableId="1589195422">
    <w:abstractNumId w:val="5"/>
  </w:num>
  <w:num w:numId="8" w16cid:durableId="1007561318">
    <w:abstractNumId w:val="5"/>
  </w:num>
  <w:num w:numId="9" w16cid:durableId="2092656520">
    <w:abstractNumId w:val="4"/>
  </w:num>
  <w:num w:numId="10" w16cid:durableId="1140610333">
    <w:abstractNumId w:val="4"/>
  </w:num>
  <w:num w:numId="11" w16cid:durableId="217010490">
    <w:abstractNumId w:val="8"/>
  </w:num>
  <w:num w:numId="12" w16cid:durableId="894203370">
    <w:abstractNumId w:val="8"/>
  </w:num>
  <w:num w:numId="13" w16cid:durableId="2055956747">
    <w:abstractNumId w:val="3"/>
  </w:num>
  <w:num w:numId="14" w16cid:durableId="1711568344">
    <w:abstractNumId w:val="3"/>
  </w:num>
  <w:num w:numId="15" w16cid:durableId="1556432193">
    <w:abstractNumId w:val="2"/>
  </w:num>
  <w:num w:numId="16" w16cid:durableId="334069242">
    <w:abstractNumId w:val="2"/>
  </w:num>
  <w:num w:numId="17" w16cid:durableId="1050155279">
    <w:abstractNumId w:val="1"/>
  </w:num>
  <w:num w:numId="18" w16cid:durableId="1409645734">
    <w:abstractNumId w:val="1"/>
  </w:num>
  <w:num w:numId="19" w16cid:durableId="534075140">
    <w:abstractNumId w:val="0"/>
  </w:num>
  <w:num w:numId="20" w16cid:durableId="463162941">
    <w:abstractNumId w:val="0"/>
  </w:num>
  <w:num w:numId="21" w16cid:durableId="837572767">
    <w:abstractNumId w:val="9"/>
  </w:num>
  <w:num w:numId="22" w16cid:durableId="1791164526">
    <w:abstractNumId w:val="7"/>
  </w:num>
  <w:num w:numId="23" w16cid:durableId="832574993">
    <w:abstractNumId w:val="6"/>
  </w:num>
  <w:num w:numId="24" w16cid:durableId="1816946287">
    <w:abstractNumId w:val="5"/>
  </w:num>
  <w:num w:numId="25" w16cid:durableId="1955595548">
    <w:abstractNumId w:val="4"/>
  </w:num>
  <w:num w:numId="26" w16cid:durableId="1731996047">
    <w:abstractNumId w:val="8"/>
  </w:num>
  <w:num w:numId="27" w16cid:durableId="2066372102">
    <w:abstractNumId w:val="3"/>
  </w:num>
  <w:num w:numId="28" w16cid:durableId="1565263903">
    <w:abstractNumId w:val="2"/>
  </w:num>
  <w:num w:numId="29" w16cid:durableId="2134205476">
    <w:abstractNumId w:val="1"/>
  </w:num>
  <w:num w:numId="30" w16cid:durableId="2143158895">
    <w:abstractNumId w:val="0"/>
  </w:num>
  <w:num w:numId="31" w16cid:durableId="467935643">
    <w:abstractNumId w:val="9"/>
  </w:num>
  <w:num w:numId="32" w16cid:durableId="1441489148">
    <w:abstractNumId w:val="7"/>
  </w:num>
  <w:num w:numId="33" w16cid:durableId="705180514">
    <w:abstractNumId w:val="6"/>
  </w:num>
  <w:num w:numId="34" w16cid:durableId="1100563666">
    <w:abstractNumId w:val="5"/>
  </w:num>
  <w:num w:numId="35" w16cid:durableId="249318274">
    <w:abstractNumId w:val="4"/>
  </w:num>
  <w:num w:numId="36" w16cid:durableId="1638804691">
    <w:abstractNumId w:val="8"/>
  </w:num>
  <w:num w:numId="37" w16cid:durableId="2029983212">
    <w:abstractNumId w:val="3"/>
  </w:num>
  <w:num w:numId="38" w16cid:durableId="1112555681">
    <w:abstractNumId w:val="2"/>
  </w:num>
  <w:num w:numId="39" w16cid:durableId="1797025913">
    <w:abstractNumId w:val="1"/>
  </w:num>
  <w:num w:numId="40" w16cid:durableId="74282658">
    <w:abstractNumId w:val="0"/>
  </w:num>
  <w:num w:numId="41" w16cid:durableId="1707214997">
    <w:abstractNumId w:val="10"/>
  </w:num>
  <w:num w:numId="42" w16cid:durableId="1450969676">
    <w:abstractNumId w:val="10"/>
  </w:num>
  <w:num w:numId="43" w16cid:durableId="1112016529">
    <w:abstractNumId w:val="10"/>
  </w:num>
  <w:num w:numId="44" w16cid:durableId="1046661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3/2026"/>
    <w:docVar w:name="dvlangue" w:val="SK"/>
    <w:docVar w:name="dvnumam" w:val="0"/>
    <w:docVar w:name="dvpe" w:val="784.483"/>
    <w:docVar w:name="dvrapporteur" w:val="Spravodajca: "/>
    <w:docVar w:name="dvtitre" w:val="Uznesenie Európskeho parlamentu z/zo xx. xxx 2026 o novej stratégii pre mediálnu gramotnosť a digitálne vzdelávanie(2025/2181(INI))"/>
  </w:docVars>
  <w:rsids>
    <w:rsidRoot w:val="005D32A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87C50"/>
    <w:rsid w:val="001F32AE"/>
    <w:rsid w:val="00255FD2"/>
    <w:rsid w:val="002767FF"/>
    <w:rsid w:val="002B18FE"/>
    <w:rsid w:val="002B5493"/>
    <w:rsid w:val="00343214"/>
    <w:rsid w:val="00361C00"/>
    <w:rsid w:val="00395FA1"/>
    <w:rsid w:val="003A4FE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32A6"/>
    <w:rsid w:val="005F1B17"/>
    <w:rsid w:val="006037C0"/>
    <w:rsid w:val="006631B6"/>
    <w:rsid w:val="00680577"/>
    <w:rsid w:val="006F74FA"/>
    <w:rsid w:val="0071120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52C7"/>
    <w:rsid w:val="00842779"/>
    <w:rsid w:val="00865F67"/>
    <w:rsid w:val="00881A7B"/>
    <w:rsid w:val="008840E5"/>
    <w:rsid w:val="00887B3E"/>
    <w:rsid w:val="008C2AC6"/>
    <w:rsid w:val="0090221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0A4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7CBED8"/>
  <w15:chartTrackingRefBased/>
  <w15:docId w15:val="{143DEC62-C7D7-46B6-9ED8-C317386D0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styleId="Hyperlink">
    <w:name w:val="Hyperlink"/>
    <w:basedOn w:val="DefaultParagraphFont"/>
    <w:rsid w:val="00187C50"/>
    <w:rPr>
      <w:color w:val="0000FF"/>
      <w:u w:val="single"/>
    </w:rPr>
  </w:style>
  <w:style w:type="paragraph" w:styleId="Revision">
    <w:name w:val="Revision"/>
    <w:hidden/>
    <w:uiPriority w:val="99"/>
    <w:semiHidden/>
    <w:rsid w:val="003A4FE0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2/2065/oj" TargetMode="External"/><Relationship Id="rId2" Type="http://schemas.openxmlformats.org/officeDocument/2006/relationships/hyperlink" Target="http://data.europa.eu/eli/reg/2024/1083/oj" TargetMode="External"/><Relationship Id="rId1" Type="http://schemas.openxmlformats.org/officeDocument/2006/relationships/hyperlink" Target="http://data.europa.eu/eli/dir/2018/1808/oj" TargetMode="External"/><Relationship Id="rId6" Type="http://schemas.openxmlformats.org/officeDocument/2006/relationships/hyperlink" Target="http://data.europa.eu/eli/C/2025/5519/oj" TargetMode="External"/><Relationship Id="rId5" Type="http://schemas.openxmlformats.org/officeDocument/2006/relationships/hyperlink" Target="http://data.europa.eu/eli/C/2026/1708/oj" TargetMode="External"/><Relationship Id="rId4" Type="http://schemas.openxmlformats.org/officeDocument/2006/relationships/hyperlink" Target="http://data.europa.eu/eli/reg/2024/168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4196</Words>
  <Characters>27300</Characters>
  <Application>Microsoft Office Word</Application>
  <DocSecurity>0</DocSecurity>
  <Lines>227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2026-07-07T09:42:00Z</dcterms:created>
  <dcterms:modified xsi:type="dcterms:W3CDTF">2026-07-07T09:42:00Z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A10-0173/2026</vt:lpwstr>
  </property>
  <property fmtid="{D5CDD505-2E9C-101B-9397-08002B2CF9AE}" pid="4" name="&lt;Type&gt;">
    <vt:lpwstr>RR</vt:lpwstr>
  </property>
</Properties>
</file>