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53317" w14:paraId="3088228F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1BF1E31" w14:textId="77777777" w:rsidR="00751A4A" w:rsidRPr="00353317" w:rsidRDefault="001D449F" w:rsidP="0010095E">
            <w:pPr>
              <w:pStyle w:val="EPName"/>
            </w:pPr>
            <w:r w:rsidRPr="00353317">
              <w:t>Parlament Europejski</w:t>
            </w:r>
          </w:p>
          <w:p w14:paraId="1BF5E9C9" w14:textId="77777777" w:rsidR="00751A4A" w:rsidRPr="00353317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53317">
              <w:t>2024</w:t>
            </w:r>
            <w:r w:rsidR="00817416" w:rsidRPr="00353317">
              <w:t>-202</w:t>
            </w:r>
            <w:r w:rsidRPr="00353317">
              <w:t>9</w:t>
            </w:r>
          </w:p>
        </w:tc>
        <w:tc>
          <w:tcPr>
            <w:tcW w:w="2268" w:type="dxa"/>
            <w:shd w:val="clear" w:color="auto" w:fill="auto"/>
          </w:tcPr>
          <w:p w14:paraId="44168F66" w14:textId="77777777" w:rsidR="00751A4A" w:rsidRPr="00353317" w:rsidRDefault="00187494" w:rsidP="0010095E">
            <w:pPr>
              <w:pStyle w:val="EPLogo"/>
            </w:pPr>
            <w:r w:rsidRPr="00353317">
              <w:rPr>
                <w:noProof/>
                <w:lang w:eastAsia="ja-JP"/>
              </w:rPr>
              <w:drawing>
                <wp:inline distT="0" distB="0" distL="0" distR="0" wp14:anchorId="3A4DFD66" wp14:editId="5CFF123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1A28E01" w14:textId="77777777" w:rsidR="00D058B8" w:rsidRPr="00353317" w:rsidRDefault="00D058B8" w:rsidP="004C5D52">
      <w:pPr>
        <w:pStyle w:val="LineTop"/>
      </w:pPr>
    </w:p>
    <w:p w14:paraId="042EB633" w14:textId="77777777" w:rsidR="00680577" w:rsidRPr="00353317" w:rsidRDefault="001D449F" w:rsidP="00680577">
      <w:pPr>
        <w:pStyle w:val="EPBodyTA1"/>
      </w:pPr>
      <w:r w:rsidRPr="00353317">
        <w:t>TEKSTY PRZYJĘTE</w:t>
      </w:r>
    </w:p>
    <w:p w14:paraId="0F10837E" w14:textId="77777777" w:rsidR="00D058B8" w:rsidRPr="00353317" w:rsidRDefault="00D058B8" w:rsidP="00D058B8">
      <w:pPr>
        <w:pStyle w:val="LineBottom"/>
      </w:pPr>
    </w:p>
    <w:p w14:paraId="07913EC3" w14:textId="2C0184C0" w:rsidR="001D449F" w:rsidRPr="00353317" w:rsidRDefault="001D449F" w:rsidP="001D449F">
      <w:pPr>
        <w:pStyle w:val="ATHeading1"/>
      </w:pPr>
      <w:bookmarkStart w:id="0" w:name="TANumber"/>
      <w:r w:rsidRPr="00353317">
        <w:t>P10_TA(2026)0</w:t>
      </w:r>
      <w:bookmarkEnd w:id="0"/>
      <w:r w:rsidR="00D13501">
        <w:t>250</w:t>
      </w:r>
    </w:p>
    <w:p w14:paraId="6A2164FA" w14:textId="77777777" w:rsidR="001D449F" w:rsidRPr="00353317" w:rsidRDefault="001D449F" w:rsidP="001D449F">
      <w:pPr>
        <w:pStyle w:val="ATHeading2"/>
      </w:pPr>
      <w:bookmarkStart w:id="1" w:name="title"/>
      <w:r w:rsidRPr="00353317">
        <w:t>Wdrażanie i realizacja celów zrównoważonego rozwoju z myślą o Forum Politycznym Wysokiego</w:t>
      </w:r>
    </w:p>
    <w:p w14:paraId="1E2BB61F" w14:textId="77777777" w:rsidR="001D449F" w:rsidRPr="00353317" w:rsidRDefault="001D449F" w:rsidP="001D449F">
      <w:pPr>
        <w:pStyle w:val="ATHeading2"/>
      </w:pPr>
      <w:r w:rsidRPr="00353317">
        <w:t>Szczebla w 2026 r.</w:t>
      </w:r>
      <w:bookmarkEnd w:id="1"/>
    </w:p>
    <w:p w14:paraId="0DF67AF0" w14:textId="77777777" w:rsidR="001D449F" w:rsidRPr="00353317" w:rsidRDefault="001D449F" w:rsidP="001D449F">
      <w:pPr>
        <w:rPr>
          <w:i/>
          <w:vanish/>
        </w:rPr>
      </w:pPr>
      <w:r w:rsidRPr="00353317">
        <w:rPr>
          <w:i/>
        </w:rPr>
        <w:fldChar w:fldCharType="begin"/>
      </w:r>
      <w:r w:rsidRPr="00353317">
        <w:rPr>
          <w:i/>
        </w:rPr>
        <w:instrText xml:space="preserve"> TC"(</w:instrText>
      </w:r>
      <w:bookmarkStart w:id="2" w:name="DocNumber"/>
      <w:r w:rsidRPr="00353317">
        <w:rPr>
          <w:i/>
        </w:rPr>
        <w:instrText>A10-0187/2026</w:instrText>
      </w:r>
      <w:bookmarkEnd w:id="2"/>
      <w:r w:rsidRPr="00353317">
        <w:rPr>
          <w:i/>
        </w:rPr>
        <w:instrText xml:space="preserve"> - Sprawozdawca: Lukas </w:instrText>
      </w:r>
      <w:proofErr w:type="spellStart"/>
      <w:r w:rsidRPr="00353317">
        <w:rPr>
          <w:i/>
        </w:rPr>
        <w:instrText>Mandl</w:instrText>
      </w:r>
      <w:proofErr w:type="spellEnd"/>
      <w:r w:rsidRPr="00353317">
        <w:rPr>
          <w:i/>
        </w:rPr>
        <w:instrText xml:space="preserve">, </w:instrText>
      </w:r>
      <w:proofErr w:type="spellStart"/>
      <w:r w:rsidRPr="00353317">
        <w:rPr>
          <w:i/>
        </w:rPr>
        <w:instrText>Pierfrancesco</w:instrText>
      </w:r>
      <w:proofErr w:type="spellEnd"/>
      <w:r w:rsidRPr="00353317">
        <w:rPr>
          <w:i/>
        </w:rPr>
        <w:instrText xml:space="preserve"> Maran)"\l3 \n&gt; \* MERGEFORMAT </w:instrText>
      </w:r>
      <w:r w:rsidRPr="00353317">
        <w:rPr>
          <w:i/>
        </w:rPr>
        <w:fldChar w:fldCharType="end"/>
      </w:r>
    </w:p>
    <w:p w14:paraId="43D6FB17" w14:textId="77777777" w:rsidR="001D449F" w:rsidRPr="00353317" w:rsidRDefault="001D449F" w:rsidP="001D449F">
      <w:pPr>
        <w:rPr>
          <w:vanish/>
        </w:rPr>
      </w:pPr>
      <w:bookmarkStart w:id="3" w:name="Commission"/>
      <w:r w:rsidRPr="00353317">
        <w:rPr>
          <w:vanish/>
        </w:rPr>
        <w:t>Komisja Rozwoju, Komisja Ochrony Środowiska Naturalnego, Klimatu i Bezpieczeństwa Żywności</w:t>
      </w:r>
      <w:bookmarkEnd w:id="3"/>
    </w:p>
    <w:p w14:paraId="296B7A26" w14:textId="77777777" w:rsidR="001D449F" w:rsidRPr="00353317" w:rsidRDefault="001D449F" w:rsidP="001D449F">
      <w:pPr>
        <w:rPr>
          <w:vanish/>
        </w:rPr>
      </w:pPr>
      <w:bookmarkStart w:id="4" w:name="PE"/>
      <w:r w:rsidRPr="00353317">
        <w:rPr>
          <w:vanish/>
        </w:rPr>
        <w:t>PE784.194</w:t>
      </w:r>
      <w:bookmarkEnd w:id="4"/>
    </w:p>
    <w:p w14:paraId="1B39C0A6" w14:textId="71734F0F" w:rsidR="001D449F" w:rsidRPr="00353317" w:rsidRDefault="001D449F" w:rsidP="001D449F">
      <w:pPr>
        <w:pStyle w:val="ATHeading3"/>
      </w:pPr>
      <w:bookmarkStart w:id="5" w:name="Sujet"/>
      <w:r w:rsidRPr="00353317">
        <w:t xml:space="preserve">Rezolucja Parlamentu Europejskiego z dnia </w:t>
      </w:r>
      <w:r w:rsidR="00D13501">
        <w:t>7 lipca</w:t>
      </w:r>
      <w:r w:rsidRPr="00353317">
        <w:t xml:space="preserve"> 2026 r. w sprawie wdrażania i realizacji celów zrównoważonego rozwoju z myślą o Forum Politycznym Wysokiego Szczebla w 2026 r.</w:t>
      </w:r>
      <w:bookmarkEnd w:id="5"/>
      <w:r w:rsidRPr="00353317">
        <w:t xml:space="preserve"> </w:t>
      </w:r>
      <w:bookmarkStart w:id="6" w:name="References"/>
      <w:r w:rsidRPr="00353317">
        <w:t>(2025/2248(INI))</w:t>
      </w:r>
      <w:bookmarkEnd w:id="6"/>
    </w:p>
    <w:p w14:paraId="36C8CE3D" w14:textId="77777777" w:rsidR="00FD7B23" w:rsidRPr="00353317" w:rsidRDefault="00FD7B23" w:rsidP="00FD7B23">
      <w:pPr>
        <w:pStyle w:val="Normal12"/>
      </w:pPr>
      <w:r w:rsidRPr="00353317">
        <w:rPr>
          <w:i/>
        </w:rPr>
        <w:t>Parlament Europejski</w:t>
      </w:r>
      <w:r w:rsidRPr="00353317">
        <w:t>,</w:t>
      </w:r>
    </w:p>
    <w:p w14:paraId="509CBCC5" w14:textId="77777777" w:rsidR="00FD7B23" w:rsidRPr="00353317" w:rsidRDefault="00FD7B23" w:rsidP="00FD7B23">
      <w:pPr>
        <w:pStyle w:val="NormalHanging"/>
      </w:pPr>
      <w:r w:rsidRPr="00353317">
        <w:t>–</w:t>
      </w:r>
      <w:r w:rsidRPr="00353317">
        <w:tab/>
        <w:t>uwzględniając art. 3 ust. 5 Traktatu o Unii Europejskiej i art. 208 ust. 1 Traktatu o funkcjonowaniu Unii Europejskiej (TFUE),</w:t>
      </w:r>
    </w:p>
    <w:p w14:paraId="2802BDC4" w14:textId="77777777" w:rsidR="00FD7B23" w:rsidRPr="00353317" w:rsidRDefault="00FD7B23" w:rsidP="00FD7B23">
      <w:pPr>
        <w:pStyle w:val="NormalHanging12a"/>
      </w:pPr>
      <w:r w:rsidRPr="00353317">
        <w:t>–</w:t>
      </w:r>
      <w:r w:rsidRPr="00353317">
        <w:tab/>
        <w:t>uwzględniając wspólne oświadczenie Rady i przedstawicieli rządów państw członkowskich zebranych w Radzie, Parlamentu Europejskiego i Komisji z dnia 7 czerwca 2017 r. pt. „Nowy europejski konsensus w sprawie rozwoju – nasz świat, nasza godność, nasza przyszłość”</w:t>
      </w:r>
      <w:r w:rsidRPr="00353317">
        <w:rPr>
          <w:vertAlign w:val="superscript"/>
        </w:rPr>
        <w:footnoteReference w:id="1"/>
      </w:r>
      <w:r w:rsidRPr="00353317">
        <w:t>,</w:t>
      </w:r>
    </w:p>
    <w:p w14:paraId="0C36C6C6" w14:textId="77777777" w:rsidR="00FD7B23" w:rsidRPr="00353317" w:rsidRDefault="00FD7B23" w:rsidP="00FD7B23">
      <w:pPr>
        <w:pStyle w:val="NormalHanging"/>
      </w:pPr>
      <w:r w:rsidRPr="00353317">
        <w:t>–</w:t>
      </w:r>
      <w:r w:rsidRPr="00353317">
        <w:tab/>
        <w:t>uwzględniając decyzję Parlamentu Europejskiego i Rady (UE) 2022/591 z dnia 6 kwietnia 2022 r. w sprawie ogólnego unijnego programu działań w zakresie środowiska do 2030 r.</w:t>
      </w:r>
      <w:r w:rsidRPr="00353317">
        <w:rPr>
          <w:rStyle w:val="FootnoteReference"/>
        </w:rPr>
        <w:footnoteReference w:id="2"/>
      </w:r>
      <w:r w:rsidRPr="00353317">
        <w:t>,</w:t>
      </w:r>
    </w:p>
    <w:p w14:paraId="2C7440BE" w14:textId="77777777" w:rsidR="00FD7B23" w:rsidRPr="00353317" w:rsidRDefault="00FD7B23" w:rsidP="00FD7B23">
      <w:pPr>
        <w:pStyle w:val="NormalHanging"/>
      </w:pPr>
      <w:r w:rsidRPr="00353317">
        <w:t>–</w:t>
      </w:r>
      <w:r w:rsidRPr="00353317">
        <w:tab/>
        <w:t>uwzględniając pierwszy dobrowolny przegląd realizacji celów zrównoważonego rozwoju przedstawiony ONZ 19 lipca 2023 r.,</w:t>
      </w:r>
    </w:p>
    <w:p w14:paraId="02E49650" w14:textId="77777777" w:rsidR="00FD7B23" w:rsidRPr="00353317" w:rsidRDefault="00FD7B23" w:rsidP="00FD7B23">
      <w:pPr>
        <w:pStyle w:val="NormalHanging"/>
      </w:pPr>
      <w:r w:rsidRPr="00353317">
        <w:t>–</w:t>
      </w:r>
      <w:r w:rsidRPr="00353317">
        <w:tab/>
        <w:t>uwzględniając sprawozdanie Eurostatu pt. „</w:t>
      </w:r>
      <w:proofErr w:type="spellStart"/>
      <w:r w:rsidRPr="00353317">
        <w:t>Sustainable</w:t>
      </w:r>
      <w:proofErr w:type="spellEnd"/>
      <w:r w:rsidRPr="00353317">
        <w:t xml:space="preserve"> development in the </w:t>
      </w:r>
      <w:proofErr w:type="spellStart"/>
      <w:r w:rsidRPr="00353317">
        <w:t>European</w:t>
      </w:r>
      <w:proofErr w:type="spellEnd"/>
      <w:r w:rsidRPr="00353317">
        <w:t xml:space="preserve"> Union – monitoring report on </w:t>
      </w:r>
      <w:proofErr w:type="spellStart"/>
      <w:r w:rsidRPr="00353317">
        <w:t>progress</w:t>
      </w:r>
      <w:proofErr w:type="spellEnd"/>
      <w:r w:rsidRPr="00353317">
        <w:t xml:space="preserve"> </w:t>
      </w:r>
      <w:proofErr w:type="spellStart"/>
      <w:r w:rsidRPr="00353317">
        <w:t>towards</w:t>
      </w:r>
      <w:proofErr w:type="spellEnd"/>
      <w:r w:rsidRPr="00353317">
        <w:t xml:space="preserve"> the </w:t>
      </w:r>
      <w:proofErr w:type="spellStart"/>
      <w:r w:rsidRPr="00353317">
        <w:t>SDGs</w:t>
      </w:r>
      <w:proofErr w:type="spellEnd"/>
      <w:r w:rsidRPr="00353317">
        <w:t xml:space="preserve"> in </w:t>
      </w:r>
      <w:proofErr w:type="spellStart"/>
      <w:r w:rsidRPr="00353317">
        <w:t>an</w:t>
      </w:r>
      <w:proofErr w:type="spellEnd"/>
      <w:r w:rsidRPr="00353317">
        <w:t xml:space="preserve"> EU </w:t>
      </w:r>
      <w:proofErr w:type="spellStart"/>
      <w:r w:rsidRPr="00353317">
        <w:t>context</w:t>
      </w:r>
      <w:proofErr w:type="spellEnd"/>
      <w:r w:rsidRPr="00353317">
        <w:t xml:space="preserve"> – 2025 </w:t>
      </w:r>
      <w:proofErr w:type="spellStart"/>
      <w:r w:rsidRPr="00353317">
        <w:t>edition</w:t>
      </w:r>
      <w:proofErr w:type="spellEnd"/>
      <w:r w:rsidRPr="00353317">
        <w:t>” [Zrównoważony rozwój w Unii Europejskiej – sprawozdanie monitorujące z postępów w realizacji celów zrównoważonego rozwoju w kontekście UE – wydanie 2025], opublikowane 4 czerwca 2025 r.,</w:t>
      </w:r>
    </w:p>
    <w:p w14:paraId="16673403" w14:textId="77777777" w:rsidR="00FD7B23" w:rsidRPr="00353317" w:rsidRDefault="00FD7B23" w:rsidP="00FD7B23">
      <w:pPr>
        <w:pStyle w:val="NormalHanging"/>
      </w:pPr>
      <w:r w:rsidRPr="00353317">
        <w:lastRenderedPageBreak/>
        <w:t>–</w:t>
      </w:r>
      <w:r w:rsidRPr="00353317">
        <w:tab/>
        <w:t>uwzględniając rezolucję ONZ nr 70/1 zatytułowaną „Przekształcamy nasz świat – agenda na rzecz zrównoważonego rozwoju 2030” (agenda 2030), przyjętą 25 września 2015 r. w Nowym Jorku podczas szczytu ONZ w sprawie zrównoważonego rozwoju, w której ustanowiono cele zrównoważonego rozwoju,</w:t>
      </w:r>
    </w:p>
    <w:p w14:paraId="10430C5F" w14:textId="77777777" w:rsidR="00FD7B23" w:rsidRPr="00353317" w:rsidRDefault="00FD7B23" w:rsidP="00FD7B23">
      <w:pPr>
        <w:pStyle w:val="NormalHanging"/>
      </w:pPr>
      <w:r w:rsidRPr="00353317">
        <w:t>–</w:t>
      </w:r>
      <w:r w:rsidRPr="00353317">
        <w:tab/>
        <w:t>uwzględniając Konwencję ONZ o różnorodności biologicznej oraz Globalne ramy różnorodności biologicznej z Kunmingu/Montrealu uzgodnione w grudniu 2022 r. na 15. posiedzeniu konferencji stron tej konwencji,</w:t>
      </w:r>
    </w:p>
    <w:p w14:paraId="773E423E" w14:textId="77777777" w:rsidR="00FD7B23" w:rsidRPr="00353317" w:rsidRDefault="00FD7B23" w:rsidP="00FD7B23">
      <w:pPr>
        <w:pStyle w:val="NormalHanging"/>
      </w:pPr>
      <w:r w:rsidRPr="00353317">
        <w:t>–</w:t>
      </w:r>
      <w:r w:rsidRPr="00353317">
        <w:tab/>
        <w:t>uwzględniając ramy z Sendai dotyczące ograniczania ryzyka klęsk żywiołowych w latach 2015–2030, przyjęte dnia 18 marca 2015 r. przez państwa członkowskie ONZ podczas trzeciej światowej konferencji ONZ w sprawie zmniejszania ryzyka związanego z klęskami żywiołowymi,</w:t>
      </w:r>
    </w:p>
    <w:p w14:paraId="2A804B65" w14:textId="77777777" w:rsidR="00FD7B23" w:rsidRPr="00353317" w:rsidRDefault="00FD7B23" w:rsidP="00FD7B23">
      <w:pPr>
        <w:pStyle w:val="NormalHanging"/>
      </w:pPr>
      <w:r w:rsidRPr="00353317">
        <w:t>–</w:t>
      </w:r>
      <w:r w:rsidRPr="00353317">
        <w:tab/>
        <w:t>uwzględniając komunikat Komisji z dnia 12 maja 2021 r. zatytułowany „Droga do zdrowej planety dla wszystkich – Plan działania UE na rzecz eliminacji zanieczyszczeń wody, powietrza i gleby” (COM(2021)0400) wraz z załącznikami,</w:t>
      </w:r>
    </w:p>
    <w:p w14:paraId="16D939BC" w14:textId="77777777" w:rsidR="00FD7B23" w:rsidRPr="00353317" w:rsidRDefault="00FD7B23" w:rsidP="00FD7B23">
      <w:pPr>
        <w:pStyle w:val="NormalHanging"/>
      </w:pPr>
      <w:r w:rsidRPr="00353317">
        <w:t>–</w:t>
      </w:r>
      <w:r w:rsidRPr="00353317">
        <w:tab/>
        <w:t>uwzględniając Ramową konwencję ONZ w sprawie zmian klimatu (UNFCCC) i porozumienie paryskie przyjęte podczas 21. Konferencji Stron UNFCCC (COP21) w Paryżu 12 grudnia 2015 r.,</w:t>
      </w:r>
    </w:p>
    <w:p w14:paraId="2688A52F" w14:textId="77777777" w:rsidR="00FD7B23" w:rsidRPr="00353317" w:rsidRDefault="00FD7B23" w:rsidP="00FD7B23">
      <w:pPr>
        <w:pStyle w:val="NormalHanging"/>
      </w:pPr>
      <w:r w:rsidRPr="00353317">
        <w:t>–</w:t>
      </w:r>
      <w:r w:rsidRPr="00353317">
        <w:tab/>
        <w:t>uwzględniając sprawozdanie ONZ w sprawie celów zrównoważonego rozwoju z 2025 r.,</w:t>
      </w:r>
    </w:p>
    <w:p w14:paraId="6335C547" w14:textId="77777777" w:rsidR="00FD7B23" w:rsidRPr="00353317" w:rsidRDefault="00FD7B23" w:rsidP="00FD7B23">
      <w:pPr>
        <w:pStyle w:val="NormalHanging"/>
      </w:pPr>
      <w:r w:rsidRPr="00353317">
        <w:t>–</w:t>
      </w:r>
      <w:r w:rsidRPr="00353317">
        <w:tab/>
        <w:t>uwzględniając szczyt w sprawie celów zrównoważonego rozwoju, który odbył się we wrześniu 2023 r. podczas tygodnia wysokiego szczebla Zgromadzenia Ogólnego ONZ,</w:t>
      </w:r>
    </w:p>
    <w:p w14:paraId="20DE2064" w14:textId="77777777" w:rsidR="00FD7B23" w:rsidRPr="00353317" w:rsidRDefault="00FD7B23" w:rsidP="00FD7B23">
      <w:pPr>
        <w:pStyle w:val="NormalHanging"/>
      </w:pPr>
      <w:r w:rsidRPr="00353317">
        <w:t>–</w:t>
      </w:r>
      <w:r w:rsidRPr="00353317">
        <w:tab/>
        <w:t>uwzględniając Szczyt Przyszłości, który odbył się w dniach 22 i 23 września 2024 r. w Nowym Jorku, jego wyniki, pakt na rzecz przyszłości, w którym zobowiązano się do 56 działań na rzecz przyspieszenia i finansowania zrównoważonego rozwoju, a także dwa załączniki do paktu na rzecz przyszłości, mianowicie Globalne porozumienie cyfrowe i Deklarację w sprawie przyszłych pokoleń,</w:t>
      </w:r>
    </w:p>
    <w:p w14:paraId="048D6FE1" w14:textId="77777777" w:rsidR="00FD7B23" w:rsidRPr="00353317" w:rsidRDefault="00FD7B23" w:rsidP="00FD7B23">
      <w:pPr>
        <w:pStyle w:val="NormalHanging"/>
      </w:pPr>
      <w:r w:rsidRPr="00353317">
        <w:t>–</w:t>
      </w:r>
      <w:r w:rsidRPr="00353317">
        <w:tab/>
        <w:t>uwzględniając czwartą międzynarodową konferencję w sprawie finansowania rozwoju, która odbyła się w Sewilli (Hiszpania) w dniach 30 czerwca – 3 lipca 2025 r.,</w:t>
      </w:r>
    </w:p>
    <w:p w14:paraId="4109AC28" w14:textId="77777777" w:rsidR="00FD7B23" w:rsidRPr="00353317" w:rsidRDefault="00FD7B23" w:rsidP="00FD7B23">
      <w:pPr>
        <w:pStyle w:val="NormalHanging"/>
      </w:pPr>
      <w:r w:rsidRPr="00353317">
        <w:t>–</w:t>
      </w:r>
      <w:r w:rsidRPr="00353317">
        <w:tab/>
        <w:t>uwzględniając deklarację COP29 w sprawie wody na rzecz działań klimatycznych, przyjętą na 29. Konferencji Stron UNFCCC w Baku (Azerbejdżan) 20 listopada 2024 r., zatwierdzoną przez UE,</w:t>
      </w:r>
    </w:p>
    <w:p w14:paraId="2B1E54D2" w14:textId="77777777" w:rsidR="00FD7B23" w:rsidRPr="00353317" w:rsidRDefault="00FD7B23" w:rsidP="00FD7B23">
      <w:pPr>
        <w:pStyle w:val="NormalHanging"/>
      </w:pPr>
      <w:r w:rsidRPr="00353317">
        <w:t>–</w:t>
      </w:r>
      <w:r w:rsidRPr="00353317">
        <w:tab/>
        <w:t>uwzględniając inicjatywę „Jedno zdrowie” Światowej Organizacji Zdrowia,</w:t>
      </w:r>
    </w:p>
    <w:p w14:paraId="45A8D168" w14:textId="77777777" w:rsidR="00FD7B23" w:rsidRPr="00353317" w:rsidRDefault="00FD7B23" w:rsidP="00FD7B23">
      <w:pPr>
        <w:pStyle w:val="NormalHanging"/>
      </w:pPr>
      <w:r w:rsidRPr="00353317">
        <w:t>–</w:t>
      </w:r>
      <w:r w:rsidRPr="00353317">
        <w:tab/>
        <w:t xml:space="preserve">uwzględniając sprawozdanie Instytutu ONZ ds. Wody, Środowiska i Zdrowia ze stycznia 2026 r. pt. „Global </w:t>
      </w:r>
      <w:proofErr w:type="spellStart"/>
      <w:r w:rsidRPr="00353317">
        <w:t>Water</w:t>
      </w:r>
      <w:proofErr w:type="spellEnd"/>
      <w:r w:rsidRPr="00353317">
        <w:t xml:space="preserve"> </w:t>
      </w:r>
      <w:proofErr w:type="spellStart"/>
      <w:r w:rsidRPr="00353317">
        <w:t>Bankruptcy</w:t>
      </w:r>
      <w:proofErr w:type="spellEnd"/>
      <w:r w:rsidRPr="00353317">
        <w:t xml:space="preserve">: </w:t>
      </w:r>
      <w:proofErr w:type="spellStart"/>
      <w:r w:rsidRPr="00353317">
        <w:t>Living</w:t>
      </w:r>
      <w:proofErr w:type="spellEnd"/>
      <w:r w:rsidRPr="00353317">
        <w:t xml:space="preserve"> Beyond </w:t>
      </w:r>
      <w:proofErr w:type="spellStart"/>
      <w:r w:rsidRPr="00353317">
        <w:t>our</w:t>
      </w:r>
      <w:proofErr w:type="spellEnd"/>
      <w:r w:rsidRPr="00353317">
        <w:t xml:space="preserve"> </w:t>
      </w:r>
      <w:proofErr w:type="spellStart"/>
      <w:r w:rsidRPr="00353317">
        <w:t>Hydrological</w:t>
      </w:r>
      <w:proofErr w:type="spellEnd"/>
      <w:r w:rsidRPr="00353317">
        <w:t xml:space="preserve"> </w:t>
      </w:r>
      <w:proofErr w:type="spellStart"/>
      <w:r w:rsidRPr="00353317">
        <w:t>Means</w:t>
      </w:r>
      <w:proofErr w:type="spellEnd"/>
      <w:r w:rsidRPr="00353317">
        <w:t xml:space="preserve"> in the Post-</w:t>
      </w:r>
      <w:proofErr w:type="spellStart"/>
      <w:r w:rsidRPr="00353317">
        <w:t>Crisis</w:t>
      </w:r>
      <w:proofErr w:type="spellEnd"/>
      <w:r w:rsidRPr="00353317">
        <w:t xml:space="preserve"> Era” [Upadek globalnej gospodarki wodnej – życie ponad stan zasobów hydrologicznych w erze pokryzysowej],</w:t>
      </w:r>
    </w:p>
    <w:p w14:paraId="787669CE" w14:textId="77777777" w:rsidR="00FD7B23" w:rsidRPr="00353317" w:rsidRDefault="00FD7B23" w:rsidP="00FD7B23">
      <w:pPr>
        <w:pStyle w:val="NormalHanging"/>
      </w:pPr>
      <w:r w:rsidRPr="00353317">
        <w:t>–</w:t>
      </w:r>
      <w:r w:rsidRPr="00353317">
        <w:tab/>
        <w:t>uwzględniając komunikat Komisji z 4 czerwca 2025 r. pt. „Europejska strategia odporności gospodarki wodnej” (COM(2025)0280),</w:t>
      </w:r>
    </w:p>
    <w:p w14:paraId="71C5FAAB" w14:textId="77777777" w:rsidR="00FD7B23" w:rsidRPr="00353317" w:rsidRDefault="00FD7B23" w:rsidP="00FD7B23">
      <w:pPr>
        <w:pStyle w:val="NormalHanging"/>
      </w:pPr>
      <w:r w:rsidRPr="00353317">
        <w:lastRenderedPageBreak/>
        <w:t>–</w:t>
      </w:r>
      <w:r w:rsidRPr="00353317">
        <w:tab/>
        <w:t>uwzględniając swoje rezolucje: z 5 października 2022 r. w sprawie dostępu do wody jako prawa człowieka – wymiar zewnętrzny</w:t>
      </w:r>
      <w:r w:rsidRPr="00353317">
        <w:rPr>
          <w:rStyle w:val="FootnoteReference"/>
        </w:rPr>
        <w:footnoteReference w:customMarkFollows="1" w:id="3"/>
        <w:t>3</w:t>
      </w:r>
      <w:r w:rsidRPr="00353317">
        <w:t xml:space="preserve"> oraz z 7 maja 2025 r. w sprawie europejskiej strategii odporności gospodarki wodnej</w:t>
      </w:r>
      <w:r w:rsidRPr="00353317">
        <w:rPr>
          <w:rStyle w:val="FootnoteReference"/>
        </w:rPr>
        <w:footnoteReference w:customMarkFollows="1" w:id="4"/>
        <w:t>4</w:t>
      </w:r>
      <w:r w:rsidRPr="00353317">
        <w:t>,</w:t>
      </w:r>
    </w:p>
    <w:p w14:paraId="532E759F" w14:textId="77777777" w:rsidR="00FD7B23" w:rsidRPr="00353317" w:rsidRDefault="00FD7B23" w:rsidP="00FD7B23">
      <w:pPr>
        <w:pStyle w:val="NormalHanging"/>
      </w:pPr>
      <w:r w:rsidRPr="00353317">
        <w:t>–</w:t>
      </w:r>
      <w:r w:rsidRPr="00353317">
        <w:tab/>
        <w:t>uwzględniając swoje rezolucje: z 15 czerwca 2023 r. w sprawie wdrażania i realizacji celów zrównoważonego rozwoju</w:t>
      </w:r>
      <w:r w:rsidRPr="00353317">
        <w:rPr>
          <w:rStyle w:val="FootnoteReference"/>
        </w:rPr>
        <w:footnoteReference w:customMarkFollows="1" w:id="5"/>
        <w:t>5</w:t>
      </w:r>
      <w:r w:rsidRPr="00353317">
        <w:t xml:space="preserve"> oraz z 9 lipca 2025 r. w sprawie wdrażania i realizacji celów zrównoważonego rozwoju w perspektywie Forum Politycznego Wysokiego Szczebla w 2025 r.</w:t>
      </w:r>
      <w:r w:rsidRPr="00353317">
        <w:rPr>
          <w:rStyle w:val="FootnoteReference"/>
        </w:rPr>
        <w:footnoteReference w:customMarkFollows="1" w:id="6"/>
        <w:t>6</w:t>
      </w:r>
      <w:r w:rsidRPr="00353317">
        <w:t>,</w:t>
      </w:r>
    </w:p>
    <w:p w14:paraId="38632636" w14:textId="77777777" w:rsidR="00FD7B23" w:rsidRPr="00353317" w:rsidRDefault="00FD7B23" w:rsidP="00FD7B23">
      <w:pPr>
        <w:pStyle w:val="NormalHanging"/>
      </w:pPr>
      <w:r w:rsidRPr="00353317">
        <w:t>–</w:t>
      </w:r>
      <w:r w:rsidRPr="00353317">
        <w:tab/>
        <w:t>uwzględniając rezolucje Zgromadzenia Ogólnego ONZ nr 64/292 z dnia 28 lipca 2010 r. w sprawie prawa człowieka do wody i urządzeń sanitarnych oraz nr 68/157 z dnia 18 grudnia 2013 r. w sprawie prawa człowieka do bezpiecznej wody pitnej i urządzeń sanitarnych, a także rezolucję Rady Praw Człowieka ONZ nr 45/8 z dnia 6 października 2020 r. pt. „Prawa człowieka do bezpiecznej wody pitnej i urządzeń sanitarnych”,</w:t>
      </w:r>
    </w:p>
    <w:p w14:paraId="4EBDAA1A" w14:textId="77777777" w:rsidR="00FD7B23" w:rsidRPr="00353317" w:rsidRDefault="00FD7B23" w:rsidP="00FD7B23">
      <w:pPr>
        <w:pStyle w:val="NormalHanging"/>
      </w:pPr>
      <w:r w:rsidRPr="00353317">
        <w:t>–</w:t>
      </w:r>
      <w:r w:rsidRPr="00353317">
        <w:tab/>
        <w:t>uwzględniając art. 55 Regulaminu,</w:t>
      </w:r>
    </w:p>
    <w:p w14:paraId="5D338208" w14:textId="77777777" w:rsidR="00FD7B23" w:rsidRPr="00353317" w:rsidRDefault="00FD7B23" w:rsidP="00FD7B23">
      <w:pPr>
        <w:pStyle w:val="NormalHanging"/>
      </w:pPr>
      <w:r w:rsidRPr="00353317">
        <w:t>–</w:t>
      </w:r>
      <w:r w:rsidRPr="00353317">
        <w:tab/>
        <w:t>uwzględniając wspólne posiedzenia Komisji Rozwoju oraz Komisji Ochrony Środowiska Naturalnego, Klimatu i Bezpieczeństwa Żywności zgodnie z art. 59 Regulaminu,</w:t>
      </w:r>
    </w:p>
    <w:p w14:paraId="1C105DE7" w14:textId="77777777" w:rsidR="00FD7B23" w:rsidRPr="00353317" w:rsidRDefault="00FD7B23" w:rsidP="00FD7B23">
      <w:pPr>
        <w:pStyle w:val="NormalHanging"/>
      </w:pPr>
      <w:r w:rsidRPr="00353317">
        <w:t>–</w:t>
      </w:r>
      <w:r w:rsidRPr="00353317">
        <w:tab/>
        <w:t>uwzględniając sprawozdanie Komisji Rozwoju oraz Komisji Ochrony Środowiska Naturalnego, Klimatu i Bezpieczeństwa Żywności (A10-0187/2026),</w:t>
      </w:r>
    </w:p>
    <w:p w14:paraId="3AEF1719" w14:textId="77777777" w:rsidR="00FD7B23" w:rsidRPr="00353317" w:rsidRDefault="00FD7B23" w:rsidP="00FD7B23">
      <w:pPr>
        <w:pStyle w:val="NormalHanging"/>
      </w:pPr>
      <w:r w:rsidRPr="00353317">
        <w:t>A.</w:t>
      </w:r>
      <w:r w:rsidRPr="00353317">
        <w:tab/>
        <w:t xml:space="preserve">mając na uwadze, że Agenda 2030 i zawartych w niej 17 celów zrównoważonego rozwoju stanowią jedyne globalnie wspólne i politycznie uzgodnione ramy dla polityki opartej na dowodach, służące sprostaniu wspólnym wyzwaniom, ukierunkowaniu globalnych działań </w:t>
      </w:r>
      <w:proofErr w:type="spellStart"/>
      <w:r w:rsidRPr="00353317">
        <w:t>an</w:t>
      </w:r>
      <w:proofErr w:type="spellEnd"/>
      <w:r w:rsidRPr="00353317">
        <w:t xml:space="preserve"> zrównoważony rozwój społeczny, gospodarczy i środowiskowy oraz zapewnieniu pokoju i dobrobytu wszystkim ludziom;</w:t>
      </w:r>
    </w:p>
    <w:p w14:paraId="0155EC0F" w14:textId="77777777" w:rsidR="00FD7B23" w:rsidRPr="00353317" w:rsidRDefault="00FD7B23" w:rsidP="00FD7B23">
      <w:pPr>
        <w:pStyle w:val="NormalHanging"/>
      </w:pPr>
      <w:r w:rsidRPr="00353317">
        <w:t>B.</w:t>
      </w:r>
      <w:r w:rsidRPr="00353317">
        <w:tab/>
        <w:t>mając na uwadze, że cele zrównoważonego rozwoju poprawiły życie milionów ludzi w ostatnim dziesięcioleciu, przy czym ponad 100 mln dzieci i młodych osób uzyskało dostęp do edukacji, setki milionów ludzi uzyskało dostęp do bezpiecznej wody pitnej, urządzeń sanitarnych i energii elektrycznej, przy czym dostęp do energii elektrycznej ma 92 % ludności świata;</w:t>
      </w:r>
    </w:p>
    <w:p w14:paraId="584DA3FC" w14:textId="77777777" w:rsidR="00FD7B23" w:rsidRPr="00353317" w:rsidRDefault="00FD7B23" w:rsidP="00FD7B23">
      <w:pPr>
        <w:pStyle w:val="NormalHanging"/>
      </w:pPr>
      <w:r w:rsidRPr="00353317">
        <w:t>C.</w:t>
      </w:r>
      <w:r w:rsidRPr="00353317">
        <w:tab/>
        <w:t>mając na uwadze, że chociaż w niektórych obszarach poczyniono znaczne postępy, tylko 35% celów zrównoważonego rozwoju jest w fazie realizacji lub wykazuje umiarkowane postępy, w przypadku prawie połowy z nich postępy są zbyt wolne lub zaledwie marginalne, a w przypadku 18 % doszło do regresu;</w:t>
      </w:r>
    </w:p>
    <w:p w14:paraId="3598DEA7" w14:textId="77777777" w:rsidR="00FD7B23" w:rsidRPr="00353317" w:rsidRDefault="00FD7B23" w:rsidP="00FD7B23">
      <w:pPr>
        <w:pStyle w:val="NormalHanging"/>
      </w:pPr>
      <w:r w:rsidRPr="00353317">
        <w:t>D.</w:t>
      </w:r>
      <w:r w:rsidRPr="00353317">
        <w:tab/>
        <w:t xml:space="preserve">mając na uwadze, że obecny klimat geopolityczny i liczne kryzysy, w tym konflikty zbrojne, presja gospodarcza i niestabilność międzynarodowa, kryzys energetyczny, rosnący niedobór wody i częstsze występowanie susz, potrójny kryzys planetarny związany ze zmianą klimatu, utratą różnorodności biologicznej i zanieczyszczeniem, rosnące nierówności, regres demokracji, rozwój ruchów </w:t>
      </w:r>
      <w:proofErr w:type="spellStart"/>
      <w:r w:rsidRPr="00353317">
        <w:t>antygenderowych</w:t>
      </w:r>
      <w:proofErr w:type="spellEnd"/>
      <w:r w:rsidRPr="00353317">
        <w:t xml:space="preserve"> i ruchów </w:t>
      </w:r>
      <w:r w:rsidRPr="00353317">
        <w:lastRenderedPageBreak/>
        <w:t>kwestionujących prawa oraz kurcząca się przestrzeń dla społeczeństwa obywatelskiego, poważnie wpływają na postępy w realizacji celów zrównoważonego rozwoju;</w:t>
      </w:r>
    </w:p>
    <w:p w14:paraId="44A28562" w14:textId="77777777" w:rsidR="00FD7B23" w:rsidRPr="00353317" w:rsidRDefault="00FD7B23" w:rsidP="00FD7B23">
      <w:pPr>
        <w:pStyle w:val="NormalHanging"/>
      </w:pPr>
      <w:r w:rsidRPr="00353317">
        <w:t>E.</w:t>
      </w:r>
      <w:r w:rsidRPr="00353317">
        <w:tab/>
        <w:t>mając na uwadze, że niezależnie od niewystarczającego finansowania celów zrównoważonego rozwoju, główną strukturalną przeszkodę w osiągnięciu tych celów stanowią rosnące nierówności w obrębie państw i między nimi; mając na uwadze, że obecne światowe poziomy konsumpcji odpowiadają 1,8 zasobów planetarnych w ujęciu rocznym, a obecne poziomy konsumpcji w UE – 3 zasobom planetarnym w ujęciu rocznym;</w:t>
      </w:r>
    </w:p>
    <w:p w14:paraId="29E3DCD7" w14:textId="77777777" w:rsidR="00FD7B23" w:rsidRPr="00353317" w:rsidRDefault="00FD7B23" w:rsidP="00FD7B23">
      <w:pPr>
        <w:pStyle w:val="NormalHanging"/>
      </w:pPr>
      <w:r w:rsidRPr="00353317">
        <w:t>F.</w:t>
      </w:r>
      <w:r w:rsidRPr="00353317">
        <w:tab/>
        <w:t>mając na uwadze, że UE i jej państwa członkowskie powinny nadal odgrywać kluczową rolę w promowaniu zrównoważonego rozwoju i multilateralizmu opartego na ONZ;</w:t>
      </w:r>
    </w:p>
    <w:p w14:paraId="259BEE96" w14:textId="77777777" w:rsidR="00FD7B23" w:rsidRPr="00353317" w:rsidRDefault="00FD7B23" w:rsidP="00FD7B23">
      <w:pPr>
        <w:pStyle w:val="NormalHanging"/>
      </w:pPr>
      <w:r w:rsidRPr="00353317">
        <w:t>G.</w:t>
      </w:r>
      <w:r w:rsidRPr="00353317">
        <w:tab/>
        <w:t>mając na uwadze, że Forum Polityczne Wysokiego Szczebla w 2026 r. przeprowadzi szczegółowe przeglądy celów zrównoważonego rozwoju nr 6, 7, 9, 11 i 17;</w:t>
      </w:r>
    </w:p>
    <w:p w14:paraId="6A1CB918" w14:textId="77777777" w:rsidR="00FD7B23" w:rsidRPr="00353317" w:rsidRDefault="00FD7B23" w:rsidP="00FD7B23">
      <w:pPr>
        <w:pStyle w:val="NormalHanging12a"/>
      </w:pPr>
      <w:bookmarkStart w:id="7" w:name="_Hlk233109819"/>
      <w:r w:rsidRPr="00353317">
        <w:t>H.</w:t>
      </w:r>
      <w:r w:rsidRPr="00353317">
        <w:tab/>
        <w:t>mając na uwadze, że dostęp do bezpiecznej i czystej wody pitnej oraz urządzeń sanitarnych jest prawem człowieka uznanym w rezolucji 64/292 Zgromadzenia Ogólnego ONZ; mając na uwadze, że około 2,2 mld osób, w tym 600 mln dzieci, nadal nie ma dostępu do bezpiecznie zarządzanej wody pitnej, 3,5 mld osób, w tym 1,1 mld dzieci, nie ma dostępu do bezpiecznie zarządzanej infrastruktury sanitarnej, a około 4 mld osób doświadcza poważnego niedoboru wody przez co najmniej miesiąc każdego roku; mając na uwadze, że prawie trzy czwarte ludności świata żyje w krajach sklasyfikowanych jako kraje, w których dostęp do wody jest niepewny lub krytycznie niepewny; mając na uwadze, że w UE straty gospodarcze spowodowane niedoborem wody sięgają do 9 mld EUR rocznie i dotykają 30 % Europejczyków i 20 % gruntów rocznie</w:t>
      </w:r>
      <w:r w:rsidRPr="00353317">
        <w:rPr>
          <w:vertAlign w:val="superscript"/>
        </w:rPr>
        <w:footnoteReference w:id="7"/>
      </w:r>
      <w:r w:rsidRPr="00353317">
        <w:t>;</w:t>
      </w:r>
      <w:bookmarkEnd w:id="7"/>
    </w:p>
    <w:p w14:paraId="6AF5CE4B" w14:textId="77777777" w:rsidR="00FD7B23" w:rsidRPr="00353317" w:rsidRDefault="00FD7B23" w:rsidP="00FD7B23">
      <w:pPr>
        <w:pStyle w:val="NormalHanging12a"/>
      </w:pPr>
      <w:r w:rsidRPr="00353317">
        <w:t>I.</w:t>
      </w:r>
      <w:r w:rsidRPr="00353317">
        <w:tab/>
        <w:t>mając na uwadze, że zmiana klimatu stanowi poważne zagrożenie dla zasobów i ekosystemów wodnych; mając na uwadze, że do 2030 r. światowe zapotrzebowanie na wodę przekroczy dostępne zasoby o 40 %, a przy obecnym zapotrzebowaniu zgodnie z najnowszymi szacunkami świat nie osiągnie zrównoważonej gospodarki wodnej co najmniej do 2049 r.;</w:t>
      </w:r>
    </w:p>
    <w:p w14:paraId="72F807C2" w14:textId="77777777" w:rsidR="00FD7B23" w:rsidRPr="00353317" w:rsidRDefault="00FD7B23" w:rsidP="00FD7B23">
      <w:pPr>
        <w:pStyle w:val="NormalHanging12a"/>
      </w:pPr>
      <w:r w:rsidRPr="00353317">
        <w:t>J.</w:t>
      </w:r>
      <w:r w:rsidRPr="00353317">
        <w:tab/>
        <w:t>mając na uwadze, że główną odpowiedzialność za usługi związane z wodą, urządzeniami sanitarnymi i higieną (WASH) oraz za zarządzanie energią na poziomie gospodarstwa domowego ponoszą kobiety i dziewczęta; mając na uwadze, że niedobór wody w nieproporcjonalnym stopniu dotyczy kobiet i dziewcząt ze względu na potrzeby zdrowotne związane z płcią, czynniki społeczne oraz fakt, że ponoszą one główną odpowiedzialność za gromadzenie wody i zarządzanie jej zasobami; mając na uwadze, że kobiety i dziewczęta są w większym stopniu narażone na zagrożenia dla zdrowia, utratę możliwości edukacyjnych i zwiększone ryzyko przemocy ze względu na płeć, zwłaszcza na obszarach dotkniętych konfliktami i podczas kryzysów humanitarnych;</w:t>
      </w:r>
    </w:p>
    <w:p w14:paraId="304E88B3" w14:textId="77777777" w:rsidR="00FD7B23" w:rsidRPr="00353317" w:rsidRDefault="00FD7B23" w:rsidP="00FD7B23">
      <w:pPr>
        <w:pStyle w:val="NormalHanging12a"/>
      </w:pPr>
      <w:r w:rsidRPr="00353317">
        <w:t>K.</w:t>
      </w:r>
      <w:r w:rsidRPr="00353317">
        <w:tab/>
        <w:t xml:space="preserve">mając na uwadze, że inwestycja w WASH uwzględniająca aspekt płci i politykę energetyczną obniża ryzyko przemocy ze względu na płeć, zmniejsza śmiertelność dzieci i matek, zwiększa dostęp dziewcząt do edukacji i poprawiają jakość odbieranej </w:t>
      </w:r>
      <w:r w:rsidRPr="00353317">
        <w:lastRenderedPageBreak/>
        <w:t>przez nie edukacji, zwiększa udział kobiet w życiu gospodarczym i rozwija źródła ich utrzymania, przyspiesza przejście na zrównoważoną energię i pomaga tworzyć odporne społeczności;</w:t>
      </w:r>
    </w:p>
    <w:p w14:paraId="4FDF122B" w14:textId="77777777" w:rsidR="00FD7B23" w:rsidRPr="00353317" w:rsidRDefault="00FD7B23" w:rsidP="00FD7B23">
      <w:pPr>
        <w:pStyle w:val="NormalHanging12a"/>
      </w:pPr>
      <w:r w:rsidRPr="00353317">
        <w:t>L.</w:t>
      </w:r>
      <w:r w:rsidRPr="00353317">
        <w:tab/>
        <w:t>mając na uwadze, że ponad 1000 dzieci poniżej piątego roku życia umiera każdego dnia z powodu chorób, takich jak biegunka, związanych z brakiem bezpiecznych usług WASH; mając na uwadze, że dla milionów osób z niepełnosprawnościami brak odpowiednich usług WASH stanowi istotną barierę z powodu niedostępnej infrastruktury, a stygmatyzacja szkodzi ich zdrowiu, bezpieczeństwu i godności; mając na uwadze, że obecne tempo postępu będzie musiało wzrosnąć dwukrotnie, jeżeli cele dotyczące powszechnego dostępu do wody, urządzeń sanitarnych i higieny (WASH) w szkołach mają zostać osiągnięte do 2030 r.;</w:t>
      </w:r>
    </w:p>
    <w:p w14:paraId="3BC8DEFA" w14:textId="77777777" w:rsidR="00FD7B23" w:rsidRPr="00353317" w:rsidRDefault="00FD7B23" w:rsidP="00FD7B23">
      <w:pPr>
        <w:pStyle w:val="NormalHanging12a"/>
      </w:pPr>
      <w:r w:rsidRPr="00353317">
        <w:t>M.</w:t>
      </w:r>
      <w:r w:rsidRPr="00353317">
        <w:tab/>
        <w:t>mając na uwadze, że infrastruktura wodna i energetyczna jest chroniona na mocy międzynarodowego prawa humanitarnego; mając na uwadze, że dostęp do wody ma zasadnicze znaczenie dla celów takich jak zarządzanie ekosystemami, rolnictwo i energia; mając na uwadze rosnącą tendencję do wykorzystywania wody jako środka wojennego, kiedy to strony konfliktu w sposób niezamierzony lub celowy niszczą systemy wodne, zanieczyszczają zasoby wodne i odcinają energię, co poważnie dotyka ludność cywilną; mając na uwadze, że przywrócenie usług WASH w warunkach konfliktu pozostaje niezbędne i może działać jako pomost dla pokoju; mając na uwadze, że przemysł wydobywczy i rolnictwo przemysłowe wymagają starannego zarządzania pod kątem ochrony zarówno dostępności, jak i jakości zasobów wodnych;</w:t>
      </w:r>
    </w:p>
    <w:p w14:paraId="241EF11E" w14:textId="77777777" w:rsidR="00FD7B23" w:rsidRPr="00353317" w:rsidRDefault="00FD7B23" w:rsidP="00FD7B23">
      <w:pPr>
        <w:pStyle w:val="NormalHanging12a"/>
      </w:pPr>
      <w:r w:rsidRPr="00353317">
        <w:t>N.</w:t>
      </w:r>
      <w:r w:rsidRPr="00353317">
        <w:tab/>
        <w:t>mając na uwadze, że Europa jest światowym liderem w dziedzinie technologii wodnych, a państwa członkowskie UE tworzą 40 % wszystkich patentów międzynarodowych w dziedzinie technologii związanych z wodą; mając na uwadze, że zdrowe ekosystemy umożliwiają poprawę jakości wody, a jednocześnie zwiększają odporność na zmianę klimatu;</w:t>
      </w:r>
    </w:p>
    <w:p w14:paraId="5214CCA3" w14:textId="77777777" w:rsidR="00FD7B23" w:rsidRPr="00353317" w:rsidRDefault="00FD7B23" w:rsidP="00FD7B23">
      <w:pPr>
        <w:pStyle w:val="NormalHanging12a"/>
      </w:pPr>
      <w:r w:rsidRPr="00353317">
        <w:t>O.</w:t>
      </w:r>
      <w:r w:rsidRPr="00353317">
        <w:tab/>
        <w:t xml:space="preserve">mając na uwadze, że art. 208 TFUE stanowi, iż głównym celem współpracy UE na rzecz rozwoju jest zmniejszenie, </w:t>
      </w:r>
      <w:proofErr w:type="gramStart"/>
      <w:r w:rsidRPr="00353317">
        <w:t>oraz,</w:t>
      </w:r>
      <w:proofErr w:type="gramEnd"/>
      <w:r w:rsidRPr="00353317">
        <w:t xml:space="preserve"> w dłuższej perspektywie, pozbycie się ubóstwa.</w:t>
      </w:r>
    </w:p>
    <w:p w14:paraId="02FB60A9" w14:textId="77777777" w:rsidR="00FD7B23" w:rsidRPr="00353317" w:rsidRDefault="00FD7B23" w:rsidP="00FD7B23">
      <w:pPr>
        <w:pStyle w:val="NormalHanging12a"/>
      </w:pPr>
      <w:r w:rsidRPr="00353317">
        <w:t>P.</w:t>
      </w:r>
      <w:r w:rsidRPr="00353317">
        <w:tab/>
        <w:t>mając na uwadze, że osoby z niepełnosprawnościami są bardziej zagrożone ubóstwem ze względu na ograniczone możliwości zatrudnienia i edukacji, niższe wynagrodzenia i wyższe koszty życia; mając na uwadze, że Konwencja o prawach osób niepełnosprawnych podkreśla znaczenie międzynarodowej współpracy rozwojowej w usuwaniu barier architektonicznych i komunikacyjnych, w tym w miastach, jako kluczowego elementu sprzyjającego ich aktywizacji zawodowej i społecznej;</w:t>
      </w:r>
    </w:p>
    <w:p w14:paraId="00B7E5E7" w14:textId="77777777" w:rsidR="00FD7B23" w:rsidRPr="00353317" w:rsidRDefault="00FD7B23" w:rsidP="00FD7B23">
      <w:pPr>
        <w:pStyle w:val="NormalHanging12a"/>
      </w:pPr>
      <w:r w:rsidRPr="00353317">
        <w:t>Q.</w:t>
      </w:r>
      <w:r w:rsidRPr="00353317">
        <w:tab/>
        <w:t>mając na uwadze, że inwestowanie w dzieci i młodzież ma kluczowe znaczenie dla długoterminowego rozwoju społeczno-gospodarczego, stabilności oraz ograniczania ubóstwa; mając na uwadze, że dzieci stanowią znaczną część populacji krajów rozwijających się i są szczególnie narażone na skutki ubóstwa, konfliktów oraz ograniczonego dostępu do podstawowej infrastruktury i usług; mając na uwadze, że działania w ramach celów zrównoważonego rozwoju, w tym w obszarach takich jak dostęp do wody, energii i infrastruktury, powinny w większym stopniu uwzględniać rzeczywiste potrzeby dzieci;</w:t>
      </w:r>
    </w:p>
    <w:p w14:paraId="29FB6C5E" w14:textId="77777777" w:rsidR="00FD7B23" w:rsidRPr="00353317" w:rsidRDefault="00FD7B23" w:rsidP="00FD7B23">
      <w:pPr>
        <w:pStyle w:val="NormalHanging12a"/>
      </w:pPr>
      <w:r w:rsidRPr="00353317">
        <w:t>R.</w:t>
      </w:r>
      <w:r w:rsidRPr="00353317">
        <w:tab/>
        <w:t xml:space="preserve">mając na uwadze, że około 1,18 mld ludzi na świecie uznaje się za dotkniętych ubóstwem energetycznym, w tym 685 mln osób, które nie mają dostępu do energii </w:t>
      </w:r>
      <w:r w:rsidRPr="00353317">
        <w:lastRenderedPageBreak/>
        <w:t>elektrycznej; mając na uwadze, że ubóstwo energetyczne utrudnia świadczenie usług, odbudowę gospodarczą i budowanie pokoju; mając na uwadze, że zrównoważona energia jest szansą na transformację w celu zwiększenia odporności, ograniczenia konfliktów i wsparcia przesiedlonej ludności i zmniejszenia zależności od niestabilnych dostaw;</w:t>
      </w:r>
    </w:p>
    <w:p w14:paraId="2D792B62" w14:textId="77777777" w:rsidR="00FD7B23" w:rsidRPr="00353317" w:rsidRDefault="00FD7B23" w:rsidP="00FD7B23">
      <w:pPr>
        <w:pStyle w:val="NormalHanging12a"/>
      </w:pPr>
      <w:r w:rsidRPr="00353317">
        <w:t>S.</w:t>
      </w:r>
      <w:r w:rsidRPr="00353317">
        <w:tab/>
        <w:t>mając na uwadze, że około 55 % ludności świata mieszka na obszarach miejskich; mając na uwadze, że dobrze zarządzane tereny zalesione i drzewa w miastach mogą obniżyć temperaturę powietrza nawet o 8 °C, zmniejszyć koszty klimatyzacji nawet o 40 %, ograniczyć przepływy wód opadowych i poprawić jakość powietrza dzięki filtrowaniu pyłów i zanieczyszczeń; mając na uwadze, że miasta mogą wytwarzać aż około 70 % odpadów na świecie; mając na uwadze, że niewłaściwe zbieranie odpadów i gospodarowanie nimi powoduje zanieczyszczenie powietrza i wody, powoduje powstawanie odpadów morskich i przyczynia się do zmiany klimatu;</w:t>
      </w:r>
    </w:p>
    <w:p w14:paraId="1C82221D" w14:textId="77777777" w:rsidR="00FD7B23" w:rsidRPr="00353317" w:rsidRDefault="00FD7B23" w:rsidP="00FD7B23">
      <w:pPr>
        <w:pStyle w:val="NormalHanging12a"/>
      </w:pPr>
      <w:r w:rsidRPr="00353317">
        <w:t>T.</w:t>
      </w:r>
      <w:r w:rsidRPr="00353317">
        <w:tab/>
        <w:t>mając na uwadze, że główną przeszkodą w osiągnięciu celów zrównoważonego rozwoju jest nieodpowiednie finansowanie; mając na uwadze, że rocznie na realizację celów zrównoważonego rozwoju nadal brakuje 4 bln USD; mając na uwadze, że wysoki poziom zadłużenia krajów o niskim i średnim dochodzie stanowi przeszkodę dla inwestycji niezbędnych do realizacji celów zrównoważonego rozwoju; mając na uwadze, że ponad 50 % krajów o niskich dochodach ma obecnie trudności związane z zadłużeniem lub jest narażonych na wysokie ryzyko zadłużenia, co zagraża osiągnięciu celów zrównoważonego rozwoju; mając na uwadze, że strategia Global Gateway jako strategia na rzecz zrównoważonych inwestycji, potencjalnie odgrywa kluczową rolę w przyczynianiu się do postępów w realizacji celów zrównoważonego rozwoju; mając na uwadze, że należy również położyć nacisk na efektywność wydatków i odpowiedzialność budżetową;</w:t>
      </w:r>
    </w:p>
    <w:p w14:paraId="476363A7" w14:textId="77777777" w:rsidR="00FD7B23" w:rsidRPr="00353317" w:rsidRDefault="00FD7B23" w:rsidP="00FD7B23">
      <w:pPr>
        <w:pStyle w:val="NormalHanging12a"/>
      </w:pPr>
      <w:r w:rsidRPr="00353317">
        <w:t>U.</w:t>
      </w:r>
      <w:r w:rsidRPr="00353317">
        <w:tab/>
        <w:t>mając na uwadze, że UE podkreśliła swoje jednoznaczne zaangażowanie w Agendę 2030 i zapisane w niej cele zrównoważonego rozwoju; mając na uwadze, że UE przyznaje, iż musi poczynić dalsze postępy w realizacji wielu celów zrównoważonego rozwoju; mając na uwadze, że współpraca między UE a ONZ, w tym na szczeblu krajowym, ma kluczowe znaczenie dla postępów we wdrażaniu celów zrównoważonego rozwoju, zwłaszcza w przypadku niestabilnych i złożonych sytuacji; mając na uwadze, że według szacunków osiągnięcie około 65 % celów zależy od wkładu władz lokalnych i regionalnych;</w:t>
      </w:r>
    </w:p>
    <w:p w14:paraId="4AF2C6D6" w14:textId="77777777" w:rsidR="00FD7B23" w:rsidRPr="00353317" w:rsidRDefault="00FD7B23" w:rsidP="00FD7B23">
      <w:pPr>
        <w:pStyle w:val="NormalHanging12a"/>
      </w:pPr>
      <w:r w:rsidRPr="00353317">
        <w:t>V.</w:t>
      </w:r>
      <w:r w:rsidRPr="00353317">
        <w:tab/>
        <w:t>mając na uwadze, że UE oraz jej państwa członkowskie są największymi światowymi darczyńcami zapewniającymi oficjalną pomoc rozwojową; mając na uwadze, że chociaż UE i jej państwa członkowskie wspólnie zobowiązały się do przeznaczania 0,7 % dochodu narodowego brutto (DNB) na oficjalną pomoc rozwojową, zmniejszyły swoje zobowiązania w tym zakresie z 0,53 % w 2023 r. do 0,47 % w 2024 r.; mając na uwadze, że UE wyznaczyła wspólny cel polegający na przeznaczaniu na oficjalną pomoc rozwojową dla krajów najsłabiej rozwiniętych 0,2 % DNB, ale od 2023 r. odsetek ten wyniósł 0,12 % DNB; mając na uwadze, że ten historyczny spadek finansowania w nieproporcjonalnym stopniu dotyka kraje najsłabiej rozwinięte;</w:t>
      </w:r>
    </w:p>
    <w:p w14:paraId="5EC2D4B6" w14:textId="77777777" w:rsidR="00FD7B23" w:rsidRPr="00353317" w:rsidRDefault="00FD7B23" w:rsidP="00FD7B23">
      <w:pPr>
        <w:pStyle w:val="NormalHanging12a"/>
      </w:pPr>
      <w:r w:rsidRPr="00353317">
        <w:t>W.</w:t>
      </w:r>
      <w:r w:rsidRPr="00353317">
        <w:tab/>
        <w:t xml:space="preserve">mając na uwadze, że administracja USA podjęła szereg głęboko niepokojących i szkodliwych decyzji w dziedzinie rozwoju międzynarodowego i pomocy humanitarnej, w szczególności zawiesiła większość finansowania programów w ramach USAID; mając na uwadze, że cięcia te już teraz zakłócają dostęp do podstawowych usług </w:t>
      </w:r>
      <w:r w:rsidRPr="00353317">
        <w:lastRenderedPageBreak/>
        <w:t>zdrowotnych, żywnościowych i w dziedzinie ochrony oraz oczekuje się, że doprowadzą miliony ludzi do skrajnego ubóstwa i zaostrzą kryzysy humanitarne; mając na uwadze, że według najnowszych analiz cięcia w finansowaniu mogą przyczynić się do milionów możliwych do uniknięcia przypadków śmierci, w tym nawet 14 mln do 2030 r., co będzie miało szczególnie poważne konsekwencje dla kobiet, dzieci i innych słabszych grup;</w:t>
      </w:r>
    </w:p>
    <w:p w14:paraId="73672334" w14:textId="77777777" w:rsidR="00FD7B23" w:rsidRPr="00353317" w:rsidRDefault="00FD7B23" w:rsidP="00FD7B23">
      <w:pPr>
        <w:pStyle w:val="Normal12a"/>
        <w:rPr>
          <w:b/>
          <w:bCs/>
          <w:i/>
          <w:iCs/>
        </w:rPr>
      </w:pPr>
      <w:r w:rsidRPr="00353317">
        <w:rPr>
          <w:b/>
          <w:i/>
        </w:rPr>
        <w:t>Stan prac</w:t>
      </w:r>
    </w:p>
    <w:p w14:paraId="56BE80F8" w14:textId="77777777" w:rsidR="00FD7B23" w:rsidRPr="00353317" w:rsidRDefault="00FD7B23" w:rsidP="00FD7B23">
      <w:pPr>
        <w:pStyle w:val="NormalHanging12a"/>
      </w:pPr>
      <w:r w:rsidRPr="00353317">
        <w:t>1.</w:t>
      </w:r>
      <w:r w:rsidRPr="00353317">
        <w:tab/>
        <w:t>potwierdza swoje zdecydowane i niezachwiane zaangażowanie na rzecz zapewnienia pełnego i szybkiego wdrożenia i realizacji wszystkich celów zrównoważonego rozwoju; uważa, że UE powinna nadal z pełnym zaangażowaniem uwzględniać cele zrównoważonego rozwoju we wszystkich strategiach politycznych i inicjatywach ustawodawczych UE oraz zapewniać spójność polityki na rzecz zrównoważonego rozwoju, pamiętając jednocześnie, że państwa członkowskie odgrywają kluczową rolę w stymulowaniu zrównoważonego rozwoju na szczeblu krajowym, regionalnym i lokalnym; wzywa UE do dalszego odgrywania wiodącej roli w dążeniu do realizacji celów zrównoważonego rozwoju w UE i na całym świecie poprzez zapewnianie wsparcia politycznego i finansowego; potwierdza swoje zdecydowane zaangażowanie w Pakt na rzecz przyszłości; wzywa do wzmocnienia roli i zdolności instytucji wielostronnych do poprawy realizacji celów zrównoważonego rozwoju;</w:t>
      </w:r>
    </w:p>
    <w:p w14:paraId="65668654" w14:textId="77777777" w:rsidR="00FD7B23" w:rsidRPr="00353317" w:rsidRDefault="00FD7B23" w:rsidP="00FD7B23">
      <w:pPr>
        <w:pStyle w:val="NormalHanging12a"/>
      </w:pPr>
      <w:r w:rsidRPr="00353317">
        <w:t>2.</w:t>
      </w:r>
      <w:r w:rsidRPr="00353317">
        <w:tab/>
        <w:t>uznaje kroki poczynione od 2015 r. na szczeblu UE i na całym świecie ku realizacji celów zrównoważonego rozwoju; Ubolewa nad faktem, że pomimo znacznych osiągnięć w ostatnim dziesięcioleciu społeczność światowa z wielkim opóźnieniem wdraża program działań do roku 2030; Dostrzega, że 17 celów zrównoważonego rozwoju jest wzajemnie powiązanych, oraz fakt, że realizacja Agendy 2030 będzie wymagała przyspieszonych działań w związku ze wszystkimi celami zrównoważonego rozwoju; podkreśla, że długoterminowe skutki eskalacji konfliktów, napięć geopolitycznych, nadzwyczajnych sytuacji zdrowotnych i humanitarnych oraz potrójnego kryzysu planetarnego związanego ze zmianą klimatu, utratą różnorodności biologicznej i zanieczyszczeniem stanowią poważne przeszkody w osiągnięciu celów zrównoważonego rozwoju; podkreśla w związku z tym pilną potrzebę współpracy międzynarodowej i systemowej transformacji mechanizmów wdrażania, aby osiągnąć cele zrównoważonego rozwoju, z uwzględnieniem ograniczeń gospodarczych i różnic w rozwoju między krajami; ubolewa, że większość państw członkowskich nie będzie miała możliwości przedstawienia dobrowolnych krajowych przeglądów realizacji celów zrównoważonego rozwoju na Forum Politycznym Wysokiego Szczebla w 2026 r.; zachęca jednak wszystkie państwa członkowskie do przeprowadzania dobrowolnych przeglądów krajowych w celu zapewnienia informacji na potrzeby realizacji celów zrównoważonego rozwoju;</w:t>
      </w:r>
    </w:p>
    <w:p w14:paraId="293C355C" w14:textId="77777777" w:rsidR="00FD7B23" w:rsidRPr="00353317" w:rsidRDefault="00FD7B23" w:rsidP="00FD7B23">
      <w:pPr>
        <w:pStyle w:val="NormalHanging12a"/>
      </w:pPr>
      <w:r w:rsidRPr="00353317">
        <w:t>3.</w:t>
      </w:r>
      <w:r w:rsidRPr="00353317">
        <w:tab/>
        <w:t xml:space="preserve">wyraża zaniepokojenie, że obecna sytuacja geopolityczna i sytuacja w zakresie bezpieczeństwa, w połączeniu z pilnym wyzwaniem, jakim jest osiągnięcie neutralności klimatycznej, stwarza dalsze trudności dla społeczeństwa i osiągnięcia celów zrównoważonego rozwoju; uważa, że do osiągnięcia celów zrównoważonego rozwoju, w tym w odniesieniu do rozwoju społecznego i równości, niezbędne będą stabilność, bezpieczeństwo, zapobieganie konfliktom oraz odporność gospodarcza i klimatyczna, zwłaszcza w sytuacjach niestabilności, i nie można ich osiągnąć w oderwaniu od geopolityki, bezpieczeństwa energetycznego oraz bezpieczeństwa żywnościowego i wodnego; podkreśla pilną potrzebę zwiększenia wysiłków wszystkich podmiotów i </w:t>
      </w:r>
      <w:r w:rsidRPr="00353317">
        <w:lastRenderedPageBreak/>
        <w:t>zwraca uwagę na nieodzowną rolę multilateralizmu, obrony i wzmocnienia demokratycznego i opartego na zasadach systemu wielostronnego pod auspicjami ONZ oraz trwałych inwestycji w rozwiązanie problemów leżących u podstaw celów zrównoważonego rozwoju;</w:t>
      </w:r>
    </w:p>
    <w:p w14:paraId="05D7D308" w14:textId="77777777" w:rsidR="00FD7B23" w:rsidRPr="00353317" w:rsidRDefault="00FD7B23" w:rsidP="00FD7B23">
      <w:pPr>
        <w:pStyle w:val="NormalHanging12a"/>
      </w:pPr>
      <w:r w:rsidRPr="00353317">
        <w:t>4.</w:t>
      </w:r>
      <w:r w:rsidRPr="00353317">
        <w:tab/>
        <w:t>podkreśla, że zaangażowanie UE na rzecz realizacji w skali globalnej i europejskiej celów zrównoważonego rozwoju i Agendy 2030 pozostaje kluczowe i powinno stanowić wyraźny sygnał dla partnerów na całym świecie; przypomina o zobowiązaniu UE do poszanowania ograniczeń planety i osiągnięcia neutralności klimatycznej do 2050 r. i w związku z tym apeluje o bardziej efektywne gospodarowanie zasobami; wzywa UE i jej państwa członkowskie do wzmocnienia ich wiodącej roli poprzez budowanie globalnych sojuszy oraz do konstruktywnego wzmocnienia ich współpracy z krajami partnerskimi w celu realizacji celów zrównoważonego rozwoju oraz zapewnienia odpowiedniego i trwałego finansowania realizacji celów zrównoważonego rozwoju poprzez wypełnienie ogromnej luki w finansowaniu, w tym luki powstałej w wyniku zawieszenia większości finansowania USAID;</w:t>
      </w:r>
    </w:p>
    <w:p w14:paraId="43C78DC2" w14:textId="77777777" w:rsidR="00FD7B23" w:rsidRPr="00353317" w:rsidRDefault="00FD7B23" w:rsidP="00FD7B23">
      <w:pPr>
        <w:pStyle w:val="NormalHanging12a"/>
      </w:pPr>
      <w:r w:rsidRPr="00353317">
        <w:t>5.</w:t>
      </w:r>
      <w:r w:rsidRPr="00353317">
        <w:tab/>
        <w:t xml:space="preserve">podkreśla fakt, że obecna tendencja do regresu demokracji na całym świecie, charakteryzująca się erozją praworządności, osłabieniem instytucji, kurczeniem się przestrzeni społeczeństwa obywatelskiego i rozwojem ruchów </w:t>
      </w:r>
      <w:proofErr w:type="spellStart"/>
      <w:r w:rsidRPr="00353317">
        <w:t>antygenderowych</w:t>
      </w:r>
      <w:proofErr w:type="spellEnd"/>
      <w:r w:rsidRPr="00353317">
        <w:t xml:space="preserve"> i ruchów kwestionujących prawa, w szczególności prawa kobiet i osób LGBTQI+, grozi spowolnieniem i odwróceniem postępów w realizacji celów zrównoważonego rozwoju oraz utrudnia realizację Agendy 2030;</w:t>
      </w:r>
    </w:p>
    <w:p w14:paraId="599619A0" w14:textId="77777777" w:rsidR="00FD7B23" w:rsidRPr="00353317" w:rsidRDefault="00FD7B23" w:rsidP="00FD7B23">
      <w:pPr>
        <w:pStyle w:val="NormalHanging12a"/>
      </w:pPr>
      <w:r w:rsidRPr="00353317">
        <w:t>6.</w:t>
      </w:r>
      <w:r w:rsidRPr="00353317">
        <w:tab/>
        <w:t>podkreśla, że przyspieszenie realizacji celów zrównoważonego rozwoju wymaga podejścia pragmatycznego i zorientowanego na wyniki, które priorytetowo traktuje rozwiązania oparte na nauce i dowodach, transformacyjne, innowacyjne i skoordynowane, które przynoszą wymierne rezultaty, oraz wymaga większej spójności w obrębie powiązania między aspektami humanitarnymi a rozwojowymi i pokojowymi; podkreśla, że skuteczna realizacja celów zrównoważonego rozwoju zależy od dobrych rządów, praworządności, środków antykorupcyjnych i należytego zarządzania finansami publicznymi; potwierdza znaczenie podejścia opartego na prawach człowieka; apeluje o skuteczniejsze monitorowanie, rozliczalność i opartą na wynikach sprawozdawczość w realizacji celów zrównoważonego rozwoju na szczeblu unijnym i globalnym;</w:t>
      </w:r>
    </w:p>
    <w:p w14:paraId="6E61FA45" w14:textId="77777777" w:rsidR="00FD7B23" w:rsidRPr="00353317" w:rsidRDefault="00FD7B23" w:rsidP="00FD7B23">
      <w:pPr>
        <w:pStyle w:val="NormalHanging12a"/>
      </w:pPr>
      <w:r w:rsidRPr="00353317">
        <w:t>7.</w:t>
      </w:r>
      <w:r w:rsidRPr="00353317">
        <w:tab/>
        <w:t>podkreśla ważną rolę odgrywaną przez sektor prywatny oraz innowację i zrównoważone finansowanie w niwelowaniu luki w finansowaniu celów zrównoważonego rozwoju oraz wzywa do wzmocnienia partnerstw publiczno-prywatnych i zarządzania publicznego oraz do poprawy otoczenia biznesowego w krajach partnerskich; podkreśla znaczenie wspierania lokalnej przedsiębiorczości, małych i średnich przedsiębiorstw, rozwoju umiejętności i odpowiednich ram regulacyjnych przy jednoczesnym przestrzeganiu norm środowiskowych i społecznych;</w:t>
      </w:r>
    </w:p>
    <w:p w14:paraId="3FCB1F87" w14:textId="77777777" w:rsidR="00FD7B23" w:rsidRPr="00353317" w:rsidRDefault="00FD7B23" w:rsidP="00FD7B23">
      <w:pPr>
        <w:pStyle w:val="NormalHanging12a"/>
      </w:pPr>
      <w:r w:rsidRPr="00353317">
        <w:t>8.</w:t>
      </w:r>
      <w:r w:rsidRPr="00353317">
        <w:tab/>
        <w:t>podkreśla potrzebę priorytetowego traktowania słabszych grup społecznych, zwłaszcza dzieci, szczególnie w sytuacjach niestabilności i konfliktu, oraz wzywa do wzmocnionych, skoordynowanych i długoterminowych inwestycji w wysokiej jakości systemy edukacji, opieki zdrowotnej i ochrony dzieci, zgodnie z Agendą 2030 i zasadą niepozostawiania nikogo w tyle, uznając takie inwestycje za niezbędne do rozwoju społecznego, odporności i trwałej długoterminowej stabilności;</w:t>
      </w:r>
    </w:p>
    <w:p w14:paraId="6E855E9F" w14:textId="77777777" w:rsidR="00FD7B23" w:rsidRPr="00353317" w:rsidRDefault="00FD7B23" w:rsidP="00FD7B23">
      <w:pPr>
        <w:pStyle w:val="Normal12a"/>
        <w:rPr>
          <w:b/>
          <w:bCs/>
          <w:i/>
          <w:iCs/>
        </w:rPr>
      </w:pPr>
      <w:r w:rsidRPr="00353317">
        <w:rPr>
          <w:b/>
          <w:i/>
        </w:rPr>
        <w:lastRenderedPageBreak/>
        <w:t>Cel zrównoważonego rozwoju nr 6: zapewnienie wszystkim dostępności wody i systemów sanitarnych oraz zrównoważonej gospodarki wodno-sanitarnej</w:t>
      </w:r>
    </w:p>
    <w:p w14:paraId="0D8BFF23" w14:textId="77777777" w:rsidR="00FD7B23" w:rsidRPr="00353317" w:rsidRDefault="00FD7B23" w:rsidP="00FD7B23">
      <w:pPr>
        <w:pStyle w:val="NormalHanging12a"/>
      </w:pPr>
      <w:r w:rsidRPr="00353317">
        <w:t>9.</w:t>
      </w:r>
      <w:r w:rsidRPr="00353317">
        <w:tab/>
        <w:t>zauważa, że w cel zrównoważonego rozwoju nr 6 jest jednym z celów odnotowujących najgorsze wyniki, przy czym żadnego ze związanych z nim zadań nie zrealizowano ani nie zanosi się na ich realizację, a w przypadku połowy zadań związanych z tym celem ma miejsce stagnacja lub regres; przypomina, że dostęp do bezpiecznej i czystej wody pitnej i urządzeń sanitarnych to prawa podstawowe związane z interesem publicznym oraz dobrami publicznymi i globalnymi, które mają zasadnicze znaczenie dla poprawy globalnego systemu ochrony zdrowia i dostępu do edukacji, ograniczenia ubóstwa i bezpieczeństwa żywnościowego oraz ochrony ekosystemów; podkreśla ponadto, że kluczowe znaczenie ma wzmocnienie odporności gospodarki wodnej w obliczu rosnącej presji związanej ze zmianą klimatu, suszami, powodziami i zanieczyszczeniem w kontekście zwiększonego zapotrzebowania na wodę i konkurujących ze sobą sposobów jej wykorzystania; podkreśla, że dostęp do wody i odporność gospodarki wodnej mają kluczowe znaczenie dla osiągnięcia szeregu innych celów zrównoważonego rozwoju; przypomina europejską inicjatywę obywatelską „Right2Water” oraz rezolucję Parlamentu w tej sprawie</w:t>
      </w:r>
      <w:r w:rsidRPr="00353317">
        <w:rPr>
          <w:rStyle w:val="FootnoteReference"/>
        </w:rPr>
        <w:footnoteReference w:id="8"/>
      </w:r>
      <w:r w:rsidRPr="00353317">
        <w:t xml:space="preserve"> i w związku z tym apeluje o przyjęcie zaproponowanych w niej środków w celu osiągnięcia celu zrównoważonego rozwoju nr 6;</w:t>
      </w:r>
    </w:p>
    <w:p w14:paraId="4EC7A17A" w14:textId="77777777" w:rsidR="00FD7B23" w:rsidRPr="00353317" w:rsidRDefault="00FD7B23" w:rsidP="00FD7B23">
      <w:pPr>
        <w:pStyle w:val="NormalHanging12a"/>
      </w:pPr>
      <w:r w:rsidRPr="00353317">
        <w:t>10.</w:t>
      </w:r>
      <w:r w:rsidRPr="00353317">
        <w:tab/>
        <w:t>podkreśla, że Międzyrządowy Zespół ds. Zmian Klimatu uznał usługi WASH za jeden z najskuteczniejszych środków przystosowawczych na wypadek krótkoterminowych wstrząsów klimatycznych i za opłacalny środek przystosowawczy, a także podkreśla, że postępy w realizacji celu zrównoważonego rozwoju nr 6 są ściśle powiązane ze wzmocnieniem wydajnych i odpornych systemów i sektorów WASH; uznaje, że usługi WASH mają zasadnicze znaczenie dla godności, zdrowia – w tym zdrowia seksualnego i reprodukcyjnego oraz praw w tym zakresie – i równości kobiet i dziewcząt, oraz wzywa Komisję i państwa członkowskie do wspierania interwencji WASH uwzględniających aspekt płci, nadając priorytet interwencjom mającym na celu zapewnienie kobietom dostępu do usług w zakresie zdrowia seksualnego i reprodukcyjnego oraz wspieranie pełnego, równego i znaczącego udziału kobiet w podejmowaniu decyzji związanych z WASH; podkreśla potrzebę zapewnienia w programowaniu WASH podejścia uwzględniającego niepełnosprawność;</w:t>
      </w:r>
    </w:p>
    <w:p w14:paraId="5B8AB543" w14:textId="77777777" w:rsidR="00FD7B23" w:rsidRPr="00353317" w:rsidRDefault="00FD7B23" w:rsidP="00FD7B23">
      <w:pPr>
        <w:pStyle w:val="NormalHanging12a"/>
      </w:pPr>
      <w:r w:rsidRPr="00353317">
        <w:t>11.</w:t>
      </w:r>
      <w:r w:rsidRPr="00353317">
        <w:tab/>
        <w:t>uznaje zasadniczą rolę zdrowych ekosystemów w osiąganiu bezpieczeństwa wodnego; podkreśla, że przywrócenie i ochrona obiegu wody ma kluczowe znaczenie dla budowania odporności na powodzie, susze i niedobór wody; podkreśla znaczenie ochrony i odbudowy ekosystemów słodkowodnych, które mają zasadnicze znaczenie dla bezpieczeństwa wodnego, różnorodności biologicznej, odporności na zmianę klimatu, zdrowia oceanów i świadczenia usług ekosystemowych; w związku z tym wzywa państwa członkowskie do pełnego wdrożenia wszystkich przepisów UE dotyczących wody;</w:t>
      </w:r>
    </w:p>
    <w:p w14:paraId="7358B36A" w14:textId="77777777" w:rsidR="00FD7B23" w:rsidRPr="00353317" w:rsidRDefault="00FD7B23" w:rsidP="00FD7B23">
      <w:pPr>
        <w:pStyle w:val="NormalHanging12a"/>
      </w:pPr>
      <w:r w:rsidRPr="00353317">
        <w:t>12.</w:t>
      </w:r>
      <w:r w:rsidRPr="00353317">
        <w:tab/>
        <w:t xml:space="preserve">jest zaniepokojony nieodwracalną utratą naturalnych zasobów wody, przy czym wiele krytycznych systemów wodnych już nie funkcjonuje, ze szkodą dla niezawodności usług wodnych; przypomina, że dostęp do wody leży u podstaw stabilności na świecie, i wzywa społeczność międzynarodową do wykorzystania zbliżającej się konferencji ONZ </w:t>
      </w:r>
      <w:r w:rsidRPr="00353317">
        <w:lastRenderedPageBreak/>
        <w:t>w sprawie wody do nadania kwestiom związanym z wodą większej wagi w międzynarodowym programie działań; podkreśla, że polityka wodna musi wspierać zrównoważone zarządzanie jednolitymi częściami wód i uwzględniać praktyki w zakresie oszczędnego gospodarowania wodą, w tym rozwiązania inteligentnie wykorzystujące wodę i innowacyjne rozwiązania cyfrowe, we wszystkich sektorach; wzywa do podjęcia bardziej zdecydowanych działań międzynarodowych w celu zapobiegania deficytowi wody i ograniczania go, nadmiernej eksploatacji zasobów wodnych, odbudowy ekosystemów zdegradowanych i poprawy zarządzania zasobami wodnymi;</w:t>
      </w:r>
    </w:p>
    <w:p w14:paraId="2CE7CED0" w14:textId="77777777" w:rsidR="00FD7B23" w:rsidRPr="00353317" w:rsidRDefault="00FD7B23" w:rsidP="00FD7B23">
      <w:pPr>
        <w:pStyle w:val="NormalHanging12a"/>
      </w:pPr>
      <w:r w:rsidRPr="00353317">
        <w:t>13.</w:t>
      </w:r>
      <w:r w:rsidRPr="00353317">
        <w:tab/>
        <w:t xml:space="preserve">wyraża głębokie zaniepokojenie faktem, że według ONZ około 3,5 mld osób nadal nie ma dostępu do bezpiecznie zarządzanych urządzeń sanitarnych, a 1,7 mld osób nie ma nawet dostępu do podstawowych usług; podkreśla, że bezpieczeństwo wodne, a w szczególności dostęp do czystej wody i urządzeń sanitarnych, ma znaczący wpływ na stabilność gospodarczą, odporność na zmianę klimatu i pokój; zwraca w związku z tym uwagę, że bezpieczeństwo wodne stanowi integralną część procesów budowania pokoju; wzywa UE do zwiększenia inwestycji zewnętrznych w dostęp do wody i urządzeń sanitarnych oraz do wzmocnienia wiodącej roli we wspólnym zarządzaniu gospodarką wodną w sytuacjach niestabilności i konfliktu jako środka wspierania stabilności, budowania pokoju, odporności i przystosowania się do zmiany klimatu; ponadto wzywa strony konfliktu, by ich celem działań nie były infrastruktura wodna i energetyczna, zgodnie z ich zobowiązaniami wynikającymi z prawa międzynarodowego; </w:t>
      </w:r>
    </w:p>
    <w:p w14:paraId="53F5CB37" w14:textId="77777777" w:rsidR="00FD7B23" w:rsidRPr="00353317" w:rsidRDefault="00FD7B23" w:rsidP="00FD7B23">
      <w:pPr>
        <w:pStyle w:val="NormalHanging12a"/>
      </w:pPr>
      <w:r w:rsidRPr="00353317">
        <w:t>14.</w:t>
      </w:r>
      <w:r w:rsidRPr="00353317">
        <w:tab/>
        <w:t>apeluje o lepszą jakość danych i monitorowania, zwłaszcza na nieformalnych osiedlach i w regionach dotkniętych niedoborem wody, oraz o ukierunkowane inwestycje odporne na zmianę klimatu, aby zapewnić długoterminową równowagę i odporność;</w:t>
      </w:r>
    </w:p>
    <w:p w14:paraId="1781EC07" w14:textId="77777777" w:rsidR="00FD7B23" w:rsidRPr="00353317" w:rsidRDefault="00FD7B23" w:rsidP="00FD7B23">
      <w:pPr>
        <w:pStyle w:val="NormalHanging12a"/>
      </w:pPr>
      <w:r w:rsidRPr="00353317">
        <w:t>15.</w:t>
      </w:r>
      <w:r w:rsidRPr="00353317">
        <w:tab/>
        <w:t>podkreśla, że należy zająć się problemem zanieczyszczenia wody zarówno u źródła, jak i poprzez zapewnienie dostępu do skutecznego oczyszczania ścieków; podkreśla potrzebę usprawnienia gromadzenia danych na temat jakości i ilości wody słodkiej oraz poprawy ich monitorowania; zachęca partnerstwa publiczno-prywatne do zwiększenia skali infrastruktury wodno-kanalizacyjnej, w tym projektów dotyczących wody i infrastruktury sanitarnej; zachęca do wprowadzenia systemów wczesnego ostrzegania i planowania ryzyka związanego z wodą, aby zapobiec nieodwracalnym stratom; podkreśla znaczenie oczyszczania ścieków dla zdrowia ludności i społeczności; podkreśla ponadto, że ścieki służą jako istotne źródło danych, gdyż dostarczają kluczowych wskaźników umożliwiających śledzenie rozprzestrzeniania się pandemii; podkreśla kluczową rolę monitorowania i gromadzenia danych, które to procesy należy zaprojektować w wykonalny i realistyczny sposób;</w:t>
      </w:r>
    </w:p>
    <w:p w14:paraId="6E48835C" w14:textId="77777777" w:rsidR="00FD7B23" w:rsidRPr="00353317" w:rsidRDefault="00FD7B23" w:rsidP="00FD7B23">
      <w:pPr>
        <w:pStyle w:val="NormalHanging12a"/>
      </w:pPr>
      <w:r w:rsidRPr="00353317">
        <w:t>16.</w:t>
      </w:r>
      <w:r w:rsidRPr="00353317">
        <w:tab/>
        <w:t>przypomina, że rozwiązania opracowywane przy uczestnictwie i wiedzy lokalnych społeczności najskuteczniej przyczynią się do osiągnięcia odporności społecznej i odporności tych społeczności na kryzysy związane z wodą; podkreśla znaczenie wspierania budowy zdolności lokalnych społeczności, władz i służb użyteczności publicznej, zwłaszcza w sytuacjach niestabilnych i rozwijających się, w tym przez promowanie rozwiązań dostosowanych do sytuacji lokalnych i trwałych w tych sytuacjach oraz niepozostawiających nikogo w tyle; apeluje o ukierunkowane wsparcie dla kobiet, dzieci i społeczności znajdujących się w najtrudniejszej sytuacji, jeśli chodzi o dostęp do wody i urządzeń sanitarnych;</w:t>
      </w:r>
    </w:p>
    <w:p w14:paraId="6EE450D0" w14:textId="77777777" w:rsidR="00FD7B23" w:rsidRPr="00353317" w:rsidRDefault="00FD7B23" w:rsidP="00FD7B23">
      <w:pPr>
        <w:pStyle w:val="NormalHanging12a"/>
      </w:pPr>
      <w:r w:rsidRPr="00353317">
        <w:lastRenderedPageBreak/>
        <w:t>17.</w:t>
      </w:r>
      <w:r w:rsidRPr="00353317">
        <w:tab/>
        <w:t>apeluje o stopniową rezygnację z PFAS – począwszy od towarów konsumpcyjnych – związanych ze szkodliwym wpływem na zdrowie ludzkie i środowisko, w oparciu o dowody naukowe, zezwalając na ich stosowanie, gdy nie ma bezpiecznych alternatyw; podkreśla potrzebę zwiększenia inwestycji oraz przyspieszenia badań i rozwoju równoważnych i bezpiecznych alternatyw;</w:t>
      </w:r>
    </w:p>
    <w:p w14:paraId="47FD2716" w14:textId="77777777" w:rsidR="00FD7B23" w:rsidRPr="00353317" w:rsidRDefault="00FD7B23" w:rsidP="00FD7B23">
      <w:pPr>
        <w:pStyle w:val="NormalHanging12a"/>
      </w:pPr>
      <w:r w:rsidRPr="00353317">
        <w:t>18.</w:t>
      </w:r>
      <w:r w:rsidRPr="00353317">
        <w:tab/>
        <w:t xml:space="preserve">wzywa UE do objęcia przewodnictwa w dyplomacji wodnej i we wspieraniu transgranicznej współpracy w dziedzinie wody, w szczególności poprzez zintegrowane zarządzanie zasobami wodnymi, aby wykorzystać ich globalny potencjał dla zrównoważonego rozwoju, praw człowieka, odporności na zmianę klimatu, bezpieczeństwa żywnościowego, ochrony różnorodności biologicznej, zapobiegania konfliktom, budowania trwałego pokoju i równości płci, w tym poprzez pełne włączenie instrumentów i infrastruktury wodnej i sanitarnej odpornych na zmianę klimatu do unijnego programu działań w dziedzinie klimatu; wzywa UE do włączenia transgranicznej gospodarki wodnej i bezpieczeństwa wodnego do unijnej współpracy na rzecz rozwoju i działań humanitarnych; wzywa ponadto UE do dopilnowania, aby wspierane przez UE transgraniczne inicjatywy dotyczące wody, w tym projekty infrastrukturalne finansowane w ramach strategii Global Gateway, uwzględniały potrzeby ludzi, w tym osób żyjących w ubóstwie, oraz grup społecznych słabszych i zmarginalizowanych; apeluje o włączenie do zarządzania wodą kobiet, młodzieży i społeczności rdzennych; zaleca zacieśnienie wielostronnej współpracy w dziedzinie wody, w tym poprzez ratyfikację Konwencji ONZ o ochronie i użytkowaniu cieków transgranicznych i jezior międzynarodowych oraz Konwencji ONZ o prawie </w:t>
      </w:r>
      <w:proofErr w:type="spellStart"/>
      <w:r w:rsidRPr="00353317">
        <w:t>pozażeglownego</w:t>
      </w:r>
      <w:proofErr w:type="spellEnd"/>
      <w:r w:rsidRPr="00353317">
        <w:t xml:space="preserve"> użytkowania międzynarodowych cieków wodnych;</w:t>
      </w:r>
    </w:p>
    <w:p w14:paraId="55D143A5" w14:textId="77777777" w:rsidR="00FD7B23" w:rsidRPr="00353317" w:rsidRDefault="00FD7B23" w:rsidP="00FD7B23">
      <w:pPr>
        <w:pStyle w:val="NormalHanging12a"/>
      </w:pPr>
      <w:r w:rsidRPr="00353317">
        <w:t>19.</w:t>
      </w:r>
      <w:r w:rsidRPr="00353317">
        <w:tab/>
        <w:t>wzywa UE i jej państwa członkowskie do włączenia realizacji celów polityki wodnej do innych odpowiednich obszarów polityki, aby zapewnić spójność polityki w różnych obszarach, w tym w polityce rolnej, handlowej i środowiskowej, a także w polityce zewnętrznej, zgodnie z zasadą spójności polityki w dziedzinie rozwoju międzynarodowego;</w:t>
      </w:r>
    </w:p>
    <w:p w14:paraId="581CE3D0" w14:textId="77777777" w:rsidR="00FD7B23" w:rsidRPr="00353317" w:rsidRDefault="00FD7B23" w:rsidP="00FD7B23">
      <w:pPr>
        <w:pStyle w:val="NormalHanging12a"/>
      </w:pPr>
      <w:r w:rsidRPr="00353317">
        <w:t>20.</w:t>
      </w:r>
      <w:r w:rsidRPr="00353317">
        <w:tab/>
        <w:t>z zadowoleniem przyjmuje pierwszą w historii strategię Komisji na rzecz odporności gospodarki wodnej, w której zobowiązano się do wspierania dostępu do czystej wody pitnej i urządzeń sanitarnych dla co najmniej 70 mln osób; wzywa UE i jej państwa członkowskie do wzmożenia wysiłków w tym zakresie i zlikwidowania luki w realizacji celów zrównoważonego rozwoju nr 6 poprzez skuteczne i pełne wdrożenie tej strategii;</w:t>
      </w:r>
    </w:p>
    <w:p w14:paraId="675C785A" w14:textId="77777777" w:rsidR="00FD7B23" w:rsidRPr="00353317" w:rsidRDefault="00FD7B23" w:rsidP="00FD7B23">
      <w:pPr>
        <w:pStyle w:val="NormalHanging12a"/>
      </w:pPr>
      <w:r w:rsidRPr="00353317">
        <w:t>21.</w:t>
      </w:r>
      <w:r w:rsidRPr="00353317">
        <w:tab/>
        <w:t>wzywa państwa członkowskie do zapewnienia lepszej koordynacji ich programów odporności gospodarki wodnej, ze szczególnym uwzględnieniem odpornych na zmianę klimatu usług i infrastruktury wodno-kanalizacyjnej; apeluje do UE, aby za pośrednictwem inicjatyw Drużyny Europy wspierała budowanie zdolności i wzmocnienie instytucji i zintegrowanego podejścia do zarządzania zasobami wodnymi w krajach partnerskich, celem usprawnienia planowania usług wodno-kanalizacyjnych, zarządzania nimi i ich utrzymania, w tym poprzez partnerstwa z władzami lokalnymi, służbami publicznymi i społeczeństwem obywatelskim; apeluje o bardzo ambitne podejście do wzmocnienia globalnego zarządzania zasobami wodnymi i zaangażowania w tym zakresie na forach wielostronnych, takich jak szczyty G-7, szczyty G-20, dialog z Baku na temat wody na rzecz działań klimatycznych oraz konferencja ONZ w sprawie wody;</w:t>
      </w:r>
    </w:p>
    <w:p w14:paraId="61821412" w14:textId="77777777" w:rsidR="00FD7B23" w:rsidRPr="00353317" w:rsidRDefault="00FD7B23" w:rsidP="00FD7B23">
      <w:pPr>
        <w:pStyle w:val="NormalHanging12a"/>
      </w:pPr>
      <w:r w:rsidRPr="00353317">
        <w:lastRenderedPageBreak/>
        <w:t>22.</w:t>
      </w:r>
      <w:r w:rsidRPr="00353317">
        <w:tab/>
        <w:t>wyraża zaniepokojenie brakiem postępów w zakresie zrównoważonego wykorzystania oceanów, mórz i zasobów morskich; wzywa UE i państwa członkowskie do wykorzystania zobowiązań podjętych na Konferencji Oceanicznej ONZ w 2025 r. do pilnych działań w obszarze ochrony oceanów oraz do zwiększenia swojego wkładu finansowego w ochronę i odbudowę ekosystemów morskich; wyraża głębokie zaniepokojenie rosnącym poziomem zanieczyszczenia morza; apeluje o opracowanie bardziej zdecydowanych środków i przyspieszenie ich wdrażania w trybie pilnym, aby położyć kres zanieczyszczeniu mórz zarówno na poziomie UE, jak i międzynarodowym; ubolewa, że globalne negocjacje w sprawie pierwszego w historii międzyrządowego traktatu o tworzywach sztucznych zakończyły się niepowodzeniem; apeluje o przyjęcie ambitnego i wiążącego globalnego traktatu w sprawie zanieczyszczenia tworzywami sztucznymi podczas wznowienia negocjacji międzyrządowych w 2026 r.;</w:t>
      </w:r>
    </w:p>
    <w:p w14:paraId="5648EEA6" w14:textId="77777777" w:rsidR="00FD7B23" w:rsidRPr="00353317" w:rsidRDefault="00FD7B23" w:rsidP="00FD7B23">
      <w:pPr>
        <w:pStyle w:val="Normal12a"/>
        <w:rPr>
          <w:b/>
          <w:bCs/>
          <w:i/>
          <w:iCs/>
        </w:rPr>
      </w:pPr>
      <w:r w:rsidRPr="00353317">
        <w:rPr>
          <w:b/>
          <w:i/>
        </w:rPr>
        <w:t>Cel zrównoważonego rozwoju nr 7: zapewnienie wszystkim przystępnych cenowo, niezawodnych, zrównoważonych i nowoczesnych dostaw energii</w:t>
      </w:r>
    </w:p>
    <w:p w14:paraId="46F836AA" w14:textId="77777777" w:rsidR="00FD7B23" w:rsidRPr="00353317" w:rsidRDefault="00FD7B23" w:rsidP="00FD7B23">
      <w:pPr>
        <w:pStyle w:val="NormalHanging12a"/>
      </w:pPr>
      <w:r w:rsidRPr="00353317">
        <w:t>23.</w:t>
      </w:r>
      <w:r w:rsidRPr="00353317">
        <w:tab/>
        <w:t>podkreśla, że powszechny dostęp do czystej i przystępnej cenowo energii to kluczowy horyzontalny czynnik umożliwiający realizację całej Agendy 2030; podkreśla, że osiągnięcie celu zrównoważonego rozwoju nr 7 przyczyni się do realizacji wielu innych celów zrównoważonego rozwoju, w tym związanych z eliminacją ubóstwa, poziomem życia i rozwojem społeczno-gospodarczym, zrównoważonym wzrostem gospodarczym sprzyjającym włączeniu społecznemu, równouprawnieniem płci, zmianą klimatu, bezpieczeństwem żywnościowym, zdrowiem publicznym, zrównoważonymi miastami i społecznościami, czystą wodą i warunkami sanitarnymi;</w:t>
      </w:r>
    </w:p>
    <w:p w14:paraId="3B55E1DD" w14:textId="77777777" w:rsidR="00FD7B23" w:rsidRPr="00353317" w:rsidRDefault="00FD7B23" w:rsidP="00FD7B23">
      <w:pPr>
        <w:pStyle w:val="NormalHanging12a"/>
      </w:pPr>
      <w:r w:rsidRPr="00353317">
        <w:t>24.</w:t>
      </w:r>
      <w:r w:rsidRPr="00353317">
        <w:tab/>
        <w:t>wzywa UE do dalszego wspierania globalnego przejścia na energetykę opartą na odnawialnych źródłach energii, która stanowi kluczową siłę napędową rozwoju gospodarczego, odporności i długoterminowego bezpieczeństwa energetycznego; przypomina o kluczowej roli energii ze źródeł odnawialnych w realizacji celu zrównoważonego rozwoju nr 7;</w:t>
      </w:r>
    </w:p>
    <w:p w14:paraId="68C6A769" w14:textId="77777777" w:rsidR="00FD7B23" w:rsidRPr="00353317" w:rsidRDefault="00FD7B23" w:rsidP="00FD7B23">
      <w:pPr>
        <w:pStyle w:val="NormalHanging12a"/>
      </w:pPr>
      <w:r w:rsidRPr="00353317">
        <w:t>25.</w:t>
      </w:r>
      <w:r w:rsidRPr="00353317">
        <w:tab/>
        <w:t>podkreśla, że osiągnięcie celu zrównoważonego rozwoju nr 7 wymaga nowoczesnej i dobrze połączonej europejskiej sieci transportu; uznaje potencjał pakietu dotyczącego europejskich sieci energetycznych w zakresie umożliwienia transgranicznego przepływu przystępnej cenowo energii;</w:t>
      </w:r>
    </w:p>
    <w:p w14:paraId="281155F7" w14:textId="77777777" w:rsidR="00FD7B23" w:rsidRPr="00353317" w:rsidRDefault="00FD7B23" w:rsidP="00FD7B23">
      <w:pPr>
        <w:pStyle w:val="NormalHanging12a"/>
      </w:pPr>
      <w:r w:rsidRPr="00353317">
        <w:t>26.</w:t>
      </w:r>
      <w:r w:rsidRPr="00353317">
        <w:tab/>
        <w:t>podkreśla kluczową rolę przystępnej, zrównoważonej i bezpiecznej energii we wspieraniu zrównoważonego wzrostu gospodarczego, wzmacnianiu bazy przemysłowej UE i ochronie wysokiej jakości zatrudnienia; podkreśla znaczenie wzmocnienia długoterminowej odporności europejskiego systemu energetycznego dzięki zrównoważonym łańcuchom dostaw, wspieraniu innowacji i utrzymaniu konkurencyjnych, dostępnych cenowo i sprawiedliwych kosztów energii, co zapewni obywatelom i przemysłowi niezawodny i dostosowany do przyszłych wyzwań system energetyczny;</w:t>
      </w:r>
    </w:p>
    <w:p w14:paraId="3C1BB102" w14:textId="77777777" w:rsidR="00FD7B23" w:rsidRPr="00353317" w:rsidRDefault="00FD7B23" w:rsidP="00FD7B23">
      <w:pPr>
        <w:pStyle w:val="NormalHanging12a"/>
      </w:pPr>
      <w:r w:rsidRPr="00353317">
        <w:t>27.</w:t>
      </w:r>
      <w:r w:rsidRPr="00353317">
        <w:tab/>
        <w:t xml:space="preserve">podkreśla potrzebę dywersyfikacji źródeł energii, w szczególności poprzez zwiększenie produkcji energii ze źródeł odnawialnych, a także potrzebę promowania efektywności energetycznej, ograniczenia emisji gazów cieplarnianych oraz przyspieszenia zrównoważonych i odpowiedzialnych inwestycji w czyste technologie jako kluczowe elementy służące osiągnięciu celu zrównoważonego rozwoju nr 7; apeluje ponadto do </w:t>
      </w:r>
      <w:r w:rsidRPr="00353317">
        <w:lastRenderedPageBreak/>
        <w:t>Komisji i państw członkowskich, aby wyprzedzały trendy we wdrażaniu odnawialnych źródeł energii i zmniejszały zależność od krajów nienależących do UE;</w:t>
      </w:r>
    </w:p>
    <w:p w14:paraId="0D62701F" w14:textId="77777777" w:rsidR="00FD7B23" w:rsidRPr="00353317" w:rsidRDefault="00FD7B23" w:rsidP="00FD7B23">
      <w:pPr>
        <w:pStyle w:val="NormalHanging12a"/>
      </w:pPr>
      <w:r w:rsidRPr="00353317">
        <w:t>28.</w:t>
      </w:r>
      <w:r w:rsidRPr="00353317">
        <w:tab/>
        <w:t>z zadowoleniem przyjmuje fakt, że cel zrównoważonego rozwoju nr 7 jest jednym z celów, w przypadku których odnotowano jak dotąd największe postępy, głównie ze względu na szybki rozwój wytwarzania energii ze źródeł odnawialnych; zachęca Komisję do priorytetowego traktowania kwestii wdrażania efektywnych kosztowo i gospodarnych energetycznie rozwiązań w zakresie energii ze źródeł odnawialnych na potrzeby gospodarstw domowych i przemysłu wraz z krajami partnerskimi poprzez zapewnienie niezbędnego finansowania w tym względzie, a w szczególności poprzez pomoc w uzyskaniu dostępu do finansowania prywatnego; wzywa w szczególności do zwiększenia skali odnawialnych i niezależnych systemów energetycznych w sytuacjach niestabilności i konfliktu, z zastosowaniem podejścia uwzględniającego konflikty, z korzyścią zarówno dla ludności przesiedlonej, jak i społeczności przyjmujących, oraz do wzmocnienia odporności i lokalnego rozwoju gospodarczego i społecznego;</w:t>
      </w:r>
    </w:p>
    <w:p w14:paraId="1474194D" w14:textId="77777777" w:rsidR="00FD7B23" w:rsidRPr="00353317" w:rsidRDefault="00FD7B23" w:rsidP="00FD7B23">
      <w:pPr>
        <w:pStyle w:val="NormalHanging12a"/>
      </w:pPr>
      <w:r w:rsidRPr="00353317">
        <w:t>29.</w:t>
      </w:r>
      <w:r w:rsidRPr="00353317">
        <w:tab/>
        <w:t>podkreśla znaczenie jak najszybszego wycofania paliw kopalnych, zgodnie z celami porozumienia paryskiego i konsensusu z ZEA, oraz wycofania wszystkich dotacji do paliw kopalnych i dotacji szkodliwych dla środowiska zgodnie z 8. unijnym programem działań w zakresie środowiska; w związku z tym z zadowoleniem przyjmuje pierwszą konferencję w sprawie odchodzenia od paliw kopalnych, która odbyła się w Santa Marta (Kolumbia) w dniach 24–29 kwietnia 2026 r.;</w:t>
      </w:r>
    </w:p>
    <w:p w14:paraId="44FB4FC0" w14:textId="77777777" w:rsidR="00FD7B23" w:rsidRPr="00353317" w:rsidRDefault="00FD7B23" w:rsidP="00FD7B23">
      <w:pPr>
        <w:pStyle w:val="NormalHanging12a"/>
      </w:pPr>
      <w:r w:rsidRPr="00353317">
        <w:t>30.</w:t>
      </w:r>
      <w:r w:rsidRPr="00353317">
        <w:tab/>
        <w:t xml:space="preserve">podkreśla znaczenie promowania inwestycji UE w zdecentralizowane, zrównoważone i odnawialne systemy energetyczne, w tym systemy fotowoltaiczne, </w:t>
      </w:r>
      <w:proofErr w:type="spellStart"/>
      <w:r w:rsidRPr="00353317">
        <w:t>minisieci</w:t>
      </w:r>
      <w:proofErr w:type="spellEnd"/>
      <w:r w:rsidRPr="00353317">
        <w:t xml:space="preserve">, systemy </w:t>
      </w:r>
      <w:proofErr w:type="spellStart"/>
      <w:r w:rsidRPr="00353317">
        <w:t>pozasieciowe</w:t>
      </w:r>
      <w:proofErr w:type="spellEnd"/>
      <w:r w:rsidRPr="00353317">
        <w:t xml:space="preserve"> i inicjatywy należące do społeczności, w celu zwiększenia wysiłków na rzecz zlikwidowania luki w dostępie do energii, zwłaszcza w krajach partnerskich i w miejscach niestabilnych, uznając jej kluczowy wpływ na edukację, opiekę zdrowotną i ochronę, zwłaszcza w przypadku kobiet i dzieci;</w:t>
      </w:r>
    </w:p>
    <w:p w14:paraId="782F5C1A" w14:textId="77777777" w:rsidR="00FD7B23" w:rsidRPr="00353317" w:rsidRDefault="00FD7B23" w:rsidP="00FD7B23">
      <w:pPr>
        <w:pStyle w:val="NormalHanging12a"/>
      </w:pPr>
      <w:r w:rsidRPr="00353317">
        <w:t>31.</w:t>
      </w:r>
      <w:r w:rsidRPr="00353317">
        <w:tab/>
        <w:t>podkreśla, że wzrost dostępu do energii można przyspieszyć dzięki partnerstwom między instytucjami publicznymi i sektorem prywatnym; podkreśla, że interwencje i projekty energetyczne powinny opierać się na analizie konfliktogenności i reagować na lokalne realia i potrzeby, aby zmaksymalizować ich transformacyjny wpływ, zwłaszcza tam, gdzie dostęp do energii jest niedostateczny i niestabilny; podkreśla kluczową rolę organizacji społeczeństwa obywatelskiego w tym względzie oraz konieczność konstruktywnego zaangażowania lokalnych interesariuszy;</w:t>
      </w:r>
    </w:p>
    <w:p w14:paraId="4BED4C1A" w14:textId="77777777" w:rsidR="00FD7B23" w:rsidRPr="00353317" w:rsidRDefault="00FD7B23" w:rsidP="00FD7B23">
      <w:pPr>
        <w:pStyle w:val="NormalHanging12a"/>
      </w:pPr>
      <w:r w:rsidRPr="00353317">
        <w:t>32.</w:t>
      </w:r>
      <w:r w:rsidRPr="00353317">
        <w:tab/>
        <w:t>wzywa Komisję do zwiększenia inwestycji UE, zarówno w ramach inicjatywy Global Gateway, jak i proponowanego instrumentu „Globalny wymiar Europy”, zapewniających równe korzyści krajom partnerskim, zwłaszcza pod względem wymiany wiedzy i transferu technologii, szkolenia i zmiany kwalifikacji lokalnej ludności, tworzenia miejsc pracy, dekarbonizacji działalności przemysłowej o emisjach trudno redukowalnych, oraz dostępu do czystszej mobilności i energii;</w:t>
      </w:r>
    </w:p>
    <w:p w14:paraId="698D689F" w14:textId="77777777" w:rsidR="00FD7B23" w:rsidRPr="00353317" w:rsidRDefault="00FD7B23" w:rsidP="00FD7B23">
      <w:pPr>
        <w:pStyle w:val="NormalHanging12a"/>
      </w:pPr>
      <w:r w:rsidRPr="00353317">
        <w:t>33.</w:t>
      </w:r>
      <w:r w:rsidRPr="00353317">
        <w:tab/>
        <w:t xml:space="preserve">podkreśla potrzebę dalszego rozwoju globalnej współpracy i zrównoważonych łańcuchów wartości w celu zapewnienia, aby surowce krytyczne, które są niezbędne do globalnego bezpieczeństwa energetycznego, a także do transformacji cyfrowej i ekologicznej, były pozyskiwane zgodnie z podejściem opartym na prawach; podkreśla, że podejście to musi uwzględniać potrzeby zarówno po stronie popytu, jak i podaży, w sposób łagodzący negatywne skutki społeczne, środowiskowe i gospodarcze, skutki dla </w:t>
      </w:r>
      <w:r w:rsidRPr="00353317">
        <w:lastRenderedPageBreak/>
        <w:t>praw człowieka, takie jak praca dzieci, a także skutki dla społeczności lokalnych, oraz przyczyniać się do rozwoju przemysłowego i społeczno-gospodarczego krajów pochodzenia, w tym ich roli w całym łańcuchu wartości surowców krytycznych, a także zapewniać znaczące zaangażowanie w ten proces społeczności lokalnych i społeczeństwa obywatelskiego; podkreśla w związku z tym potrzebę oparcia się na celach i zasadach panelu ONZ ds. minerałów o krytycznym znaczeniu dla przejścia na czystą energię, któremu współprzewodniczy UE, w celu promowania zrównoważonej produkcji minerałów i rozwoju lokalnych łańcuchów wartości;</w:t>
      </w:r>
    </w:p>
    <w:p w14:paraId="70F37A2B" w14:textId="77777777" w:rsidR="00FD7B23" w:rsidRPr="00353317" w:rsidRDefault="00FD7B23" w:rsidP="00FD7B23">
      <w:pPr>
        <w:pStyle w:val="NormalHanging12a"/>
      </w:pPr>
      <w:r w:rsidRPr="00353317">
        <w:t>34.</w:t>
      </w:r>
      <w:r w:rsidRPr="00353317">
        <w:tab/>
        <w:t>podkreśla znaczenie pełnego i skutecznego udziału ludności rdzennej i społeczności lokalnych w całym łańcuchu wartości surowców krytycznych, zgodnie z Deklaracją praw ludów tubylczych ONZ;</w:t>
      </w:r>
    </w:p>
    <w:p w14:paraId="47A2BEBA" w14:textId="77777777" w:rsidR="00FD7B23" w:rsidRPr="00353317" w:rsidRDefault="00FD7B23" w:rsidP="00FD7B23">
      <w:pPr>
        <w:pStyle w:val="NormalHanging12a"/>
      </w:pPr>
      <w:r w:rsidRPr="00353317">
        <w:t>35.</w:t>
      </w:r>
      <w:r w:rsidRPr="00353317">
        <w:tab/>
        <w:t xml:space="preserve">przyznaje, że bez właściwego zarządzania rosnące zapotrzebowanie na surowce krytyczne może wzmocnić zależności strategiczne, zwiększyć podatność na zagrożenia geopolityczne i napięcia oraz naruszenia praw człowieka, a także przyczyniać się do wyzwań środowiskowych i społecznych; podkreśla w związku z tym znaczenie wzmocnienia konkurencyjnej i odpornej gospodarki o obiegu zamkniętym, w szczególności poprzez zwiększenie </w:t>
      </w:r>
      <w:proofErr w:type="spellStart"/>
      <w:r w:rsidRPr="00353317">
        <w:t>zasobooszczędności</w:t>
      </w:r>
      <w:proofErr w:type="spellEnd"/>
      <w:r w:rsidRPr="00353317">
        <w:t>, rozwój zdolności do recyklingu i wspieranie innowacji w sektorze surowców wtórnych, z myślą o zmniejszeniu wykorzystania zasobów naturalnych i zależności od surowców krytycznych; w związku z tym apeluje o podjęcie kroków ku zacieśnieniu globalnej współpracy na rzecz zrównoważonego zarządzania zasobami;</w:t>
      </w:r>
    </w:p>
    <w:p w14:paraId="497BD031" w14:textId="77777777" w:rsidR="00FD7B23" w:rsidRPr="00353317" w:rsidRDefault="00FD7B23" w:rsidP="00FD7B23">
      <w:pPr>
        <w:pStyle w:val="NormalHanging12a"/>
      </w:pPr>
      <w:r w:rsidRPr="00353317">
        <w:t>36.</w:t>
      </w:r>
      <w:r w:rsidRPr="00353317">
        <w:tab/>
        <w:t>podkreśla potrzebę zwiększenia skali działań mających na celu zwalczanie ubóstwa energetycznego, zwłaszcza w sytuacji niestabilności i w związku z przesiedleniami; podkreśla, że ubóstwo energetyczne wpływa na poziom życia i zagraża źródłom utrzymania i zdrowiu ludzi, wpływa na świadczenie podstawowych usług i wymaga specjalnych środków dla słabszych grup społecznych, w szczególności kobiet i dzieci, w tym taryf społecznych i dotacji energetycznych;</w:t>
      </w:r>
    </w:p>
    <w:p w14:paraId="2DEED3D9" w14:textId="77777777" w:rsidR="00FD7B23" w:rsidRPr="00353317" w:rsidRDefault="00FD7B23" w:rsidP="00FD7B23">
      <w:pPr>
        <w:pStyle w:val="NormalHanging12a"/>
      </w:pPr>
      <w:r w:rsidRPr="00353317">
        <w:t>37.</w:t>
      </w:r>
      <w:r w:rsidRPr="00353317">
        <w:tab/>
        <w:t>podkreśla, że ubóstwo energetyczne w kontekstach niestabilnych i gdzie dochodzi do przesiedleń osłabia źródła utrzymania, świadczenie podstawowych usług, rozwój ludzki i stabilność społeczną, dotykając w szczególności słabsze grupy społeczne;</w:t>
      </w:r>
    </w:p>
    <w:p w14:paraId="3E4202D3" w14:textId="77777777" w:rsidR="00FD7B23" w:rsidRPr="00353317" w:rsidRDefault="00FD7B23" w:rsidP="00FD7B23">
      <w:pPr>
        <w:pStyle w:val="Normal12a"/>
        <w:rPr>
          <w:b/>
          <w:bCs/>
          <w:i/>
          <w:iCs/>
        </w:rPr>
      </w:pPr>
      <w:r w:rsidRPr="00353317">
        <w:rPr>
          <w:b/>
          <w:i/>
        </w:rPr>
        <w:t>Cel zrównoważonego rozwoju nr 9: budowanie odpornej infrastruktury, promowanie zrównoważonego procesu uprzemysłowienia, który sprzyja włączeniu społecznemu, oraz wspieranie innowacji</w:t>
      </w:r>
    </w:p>
    <w:p w14:paraId="05732E13" w14:textId="77777777" w:rsidR="00FD7B23" w:rsidRPr="00353317" w:rsidRDefault="00FD7B23" w:rsidP="00FD7B23">
      <w:pPr>
        <w:pStyle w:val="NormalHanging12a"/>
      </w:pPr>
      <w:r w:rsidRPr="00353317">
        <w:t>38.</w:t>
      </w:r>
      <w:r w:rsidRPr="00353317">
        <w:tab/>
        <w:t>pochwala ogólne postępy poczynione w realizacji celu zrównoważonego rozwoju nr 9, zwłaszcza duży postęp w rozwoju infrastruktury, włączającym i zrównoważonym wzroście gospodarczym i innowacjach; zauważa jednak, że w poszczególnych krajach i regionach postępy są nierównomierne; uważa, że potrzebne są ukierunkowane działania, aby zniwelować ten podział i zadbać o równe postępy w realizacji celu zrównoważonego rozwoju nr 9;</w:t>
      </w:r>
    </w:p>
    <w:p w14:paraId="2EBB4514" w14:textId="77777777" w:rsidR="00FD7B23" w:rsidRPr="00353317" w:rsidRDefault="00FD7B23" w:rsidP="00FD7B23">
      <w:pPr>
        <w:pStyle w:val="NormalHanging12a"/>
      </w:pPr>
      <w:r w:rsidRPr="00353317">
        <w:t>39.</w:t>
      </w:r>
      <w:r w:rsidRPr="00353317">
        <w:tab/>
        <w:t xml:space="preserve">podkreśla strategiczne znaczenie bezpiecznej, zrównoważonej i odpornej infrastruktury, w tym infrastruktury cyfrowej, transportowej, energetycznej i wodnej, dla wspierania rozwoju gospodarczego, poprawy łączności, łagodzenia zmiany klimatu i przystosowania się do niej, a także poprawy rozwoju społecznego, zwłaszcza na </w:t>
      </w:r>
      <w:r w:rsidRPr="00353317">
        <w:lastRenderedPageBreak/>
        <w:t>obszarach wiejskich i peryferyjnych; apeluje o całościowe podejście do uwzględniania odporności na zmianę klimatu na każdym etapie cyklu życia infrastruktury;</w:t>
      </w:r>
    </w:p>
    <w:p w14:paraId="6155D041" w14:textId="77777777" w:rsidR="00FD7B23" w:rsidRPr="00353317" w:rsidRDefault="00FD7B23" w:rsidP="00FD7B23">
      <w:pPr>
        <w:pStyle w:val="NormalHanging12a"/>
      </w:pPr>
      <w:r w:rsidRPr="00353317">
        <w:t>40.</w:t>
      </w:r>
      <w:r w:rsidRPr="00353317">
        <w:tab/>
        <w:t>podkreśla potrzebę zlikwidowania luk infrastrukturalnych i nierówności społeczno-gospodarczych, w tym związanych z dostępnością cyfrową i ubóstwem energetycznym; podkreśla, że projekty w zakresie infrastruktury i łączności muszą przyczyniać się do tworzenia lokalnej wartości i być zgodne z zasadami powszechnej dostępności, aby przedsięwzięcia infrastrukturalne nie stwarzały nowych barier i zachęcały do pełnego włączenia grup znajdujących się w najtrudniejszej sytuacji; podkreśla potrzebę zapewnienia podejścia uwzględniającego aspekt płci w inwestycjach cyfrowych w celu zlikwidowania przepaści cyfrowej między kobietami a mężczyznami, ponieważ utrzymujące się bariery ograniczają szanse kobiet i dziewcząt na czerpanie korzyści z powstających technologii;</w:t>
      </w:r>
    </w:p>
    <w:p w14:paraId="34232C19" w14:textId="77777777" w:rsidR="00FD7B23" w:rsidRPr="00353317" w:rsidRDefault="00FD7B23" w:rsidP="00FD7B23">
      <w:pPr>
        <w:pStyle w:val="NormalHanging12a"/>
      </w:pPr>
      <w:r w:rsidRPr="00353317">
        <w:t>41.</w:t>
      </w:r>
      <w:r w:rsidRPr="00353317">
        <w:tab/>
        <w:t>podkreśla potrzebę promowania zrównoważonych rozwiązań w celu zmniejszenia śladu środowiskowego przedsiębiorstw we wszystkich sektorach, takich jak odpowiedzialna konsumpcja zasobów, gospodarne podejście do nich i wzmożone działania na rzecz zbudowania gospodarki o obiegu zamkniętym; przypomina znaczenie zasady „zanieczyszczający płaci”;</w:t>
      </w:r>
    </w:p>
    <w:p w14:paraId="445F96CB" w14:textId="77777777" w:rsidR="00FD7B23" w:rsidRPr="00353317" w:rsidRDefault="00FD7B23" w:rsidP="00FD7B23">
      <w:pPr>
        <w:pStyle w:val="NormalHanging12a"/>
      </w:pPr>
      <w:r w:rsidRPr="00353317">
        <w:t>42.</w:t>
      </w:r>
      <w:r w:rsidRPr="00353317">
        <w:tab/>
        <w:t>Podkreśla fakt, że chociaż sprzyja konkurencyjności, innowacji i inwestycjom, to włączające i zrównoważone uprzemysłowienie do celów Agendy 2030 i w dalszej perspektywie musi być dostosowane do celów neutralności klimatycznej oraz ochrony środowiska i różnorodności biologicznej, także do celów sprawiedliwej transformacji, która nikogo nie pozostawia samemu sobie; podkreśla w związku z tym potrzebę dalszych inwestycji, aby osiągnąć cel zrównoważonego rozwoju nr 9, w szczególności za pośrednictwem partnerstw publiczno-prywatnych i innych instrumentów zmniejszających ryzyko, w tym za pośrednictwem strategii Global Gateway, oraz innych europejskich instytucji finansowania rozwoju; apeluje o zwiększenie inwestycji publicznych w zieloną, cyfrową i społeczną infrastrukturę, w tym transport publiczny, sieci energetyczne i łączność cyfrową, z wykorzystaniem postępów we wszystkich regionach, zwłaszcza w krajach najsłabiej rozwiniętych; wzywa ponadto UE do dalszego mobilizowania kapitału prywatnego, aby inwestycje stały się atrakcyjne dla inwestorów prywatnych; podkreśla, że aby takie inwestycje były korzystne dla obu stron, powinny wspierać lokalną wartość dodaną, dobre rządy, korzyści podatkowe i wysokie standardy środowiskowe;</w:t>
      </w:r>
    </w:p>
    <w:p w14:paraId="2228D02D" w14:textId="77777777" w:rsidR="00FD7B23" w:rsidRPr="00353317" w:rsidRDefault="00FD7B23" w:rsidP="00FD7B23">
      <w:pPr>
        <w:pStyle w:val="NormalHanging12a"/>
      </w:pPr>
      <w:r w:rsidRPr="00353317">
        <w:t>43.</w:t>
      </w:r>
      <w:r w:rsidRPr="00353317">
        <w:tab/>
        <w:t>podkreśla rolę innowacji, badań i rozwoju technologicznego w zwiększaniu wydajności, konkurencyjności i zrównoważonego rozwoju, w tym na rzecz badań, rozwoju i wdrażania technologii zrównoważonych; apeluje o większe wsparcie przedsiębiorczości, kształcenia i szkolenia zawodowego oraz rozwoju umiejętności jako kluczowych czynników sprzyjających innowacjom, wydajności i wzrostowi przemysłowemu sprzyjającemu włączeniu społecznemu, zwłaszcza w krajach o niskich dochodach;</w:t>
      </w:r>
    </w:p>
    <w:p w14:paraId="12C70D71" w14:textId="77777777" w:rsidR="00FD7B23" w:rsidRPr="00353317" w:rsidRDefault="00FD7B23" w:rsidP="00FD7B23">
      <w:pPr>
        <w:pStyle w:val="NormalHanging12a"/>
      </w:pPr>
      <w:r w:rsidRPr="00353317">
        <w:t>44.</w:t>
      </w:r>
      <w:r w:rsidRPr="00353317">
        <w:tab/>
        <w:t>apeluje o zacieśnienie współpracy w zakresie transferu technologii, partnerstw badawczych i ekosystemów innowacji między UE a krajami partnerskimi, wspieranie współpracy badawczej i umożliwienie krajom najsłabiej rozwiniętym i krajom o niskim dochodzie przejścia na wyższy poziom globalnych łańcuchów wartości;</w:t>
      </w:r>
    </w:p>
    <w:p w14:paraId="795B5947" w14:textId="77777777" w:rsidR="00FD7B23" w:rsidRPr="00353317" w:rsidRDefault="00FD7B23" w:rsidP="00FD7B23">
      <w:pPr>
        <w:pStyle w:val="Normal12a"/>
        <w:rPr>
          <w:b/>
          <w:bCs/>
          <w:i/>
          <w:iCs/>
        </w:rPr>
      </w:pPr>
      <w:r w:rsidRPr="00353317">
        <w:rPr>
          <w:b/>
          <w:i/>
        </w:rPr>
        <w:lastRenderedPageBreak/>
        <w:t>Cel zrównoważonego rozwoju nr 11: przekształcenie miast i osiedli w miejsca sprzyjające włączeniu społecznemu, bezpieczne, odporne i zrównoważone</w:t>
      </w:r>
    </w:p>
    <w:p w14:paraId="407CDF98" w14:textId="77777777" w:rsidR="00FD7B23" w:rsidRPr="00353317" w:rsidRDefault="00FD7B23" w:rsidP="00FD7B23">
      <w:pPr>
        <w:pStyle w:val="NormalHanging12a"/>
      </w:pPr>
      <w:r w:rsidRPr="00353317">
        <w:t>45.</w:t>
      </w:r>
      <w:r w:rsidRPr="00353317">
        <w:tab/>
        <w:t>zwraca uwagę na zagrożenia związane z szybką urbanizacją w połączeniu ze zmianą klimatu, zanieczyszczeniem i utratą różnorodności biologicznej; podkreśla w związku z tym potrzebę uwzględnienia przystosowania się do zmiany klimatu i różnorodności biologicznej w planowaniu urbanistycznym oraz wzmocnienia środków na rzecz odporności obszarów miejskich, w tym przez wspieranie mieszkalnictwa energooszczędnego i odpornego na zmianę klimatu, rozbudowę terenów zielonych na potrzeby odbudowy ekosystemów, zwiększenie gotowości na wypadek klęsk żywiołowych, zapobiegania im i reagowania na nie oraz poprawę gospodarki wodnej i ochrony przeciwpowodziowej; podkreśla ponadto znaczenie zapewnienia gospodarnego użytkowania gruntów i ograniczenia negatywnych skutków niekontrolowanego rozrastania się miast w celu ochrony ekosystemów i osiągnięcia zrównoważonego rozwoju obszarów miejskich;</w:t>
      </w:r>
    </w:p>
    <w:p w14:paraId="119AAC27" w14:textId="77777777" w:rsidR="00FD7B23" w:rsidRPr="00353317" w:rsidRDefault="00FD7B23" w:rsidP="00FD7B23">
      <w:pPr>
        <w:pStyle w:val="NormalHanging12a"/>
      </w:pPr>
      <w:r w:rsidRPr="00353317">
        <w:t>46.</w:t>
      </w:r>
      <w:r w:rsidRPr="00353317">
        <w:tab/>
        <w:t>podkreśla, że osiągnięcie celu zrównoważonego rozwoju nr 11 wymaga skoncentrowania się na problemie nierówności w miastach; podkreśla ponadto, że zmiana klimatu, w tym w środowisku miejskim, w nieproporcjonalny sposób dotyka kobiety i dziewczęta, zwłaszcza te znajdujące się w sytuacji niestabilnej lub podatnej na zagrożenia; wzywa rządy i władze lokalne do zapewnienia sprawiedliwego podziału inwestycji, przeciwdziałania marginalizacji, zwłaszcza na obszarach, które obecnie cierpią na systemowy brak dostępnego i przystępnego cenowo transportu, usług publicznych, lokalnych i zrównoważonych łańcuchów żywnościowych i mieszkań, a jednocześnie do zwrócenia szczególnej uwagi na grupy znajdujące się w trudnej sytuacji i w niekorzystnej sytuacji społeczno-gospodarczej;</w:t>
      </w:r>
    </w:p>
    <w:p w14:paraId="75CB1727" w14:textId="77777777" w:rsidR="00FD7B23" w:rsidRPr="00353317" w:rsidRDefault="00FD7B23" w:rsidP="00FD7B23">
      <w:pPr>
        <w:pStyle w:val="NormalHanging12a"/>
      </w:pPr>
      <w:r w:rsidRPr="00353317">
        <w:t>47.</w:t>
      </w:r>
      <w:r w:rsidRPr="00353317">
        <w:tab/>
        <w:t xml:space="preserve">ubolewa, że dużej części ludności miejskiej nadal brakuje dostępu do przystępnych cenowo, wydajnych i zrównoważonych systemów transportu; zauważa, że poprawa dostępności, przystępności i wykorzystania transportu publicznego, wraz z infrastrukturą transportu niezmotoryzowanego, oraz innych nowatorskich i czystych rozwiązań </w:t>
      </w:r>
      <w:proofErr w:type="spellStart"/>
      <w:r w:rsidRPr="00353317">
        <w:t>mobilnościowych</w:t>
      </w:r>
      <w:proofErr w:type="spellEnd"/>
      <w:r w:rsidRPr="00353317">
        <w:t>, jest kluczowym narzędziem ograniczania zanieczyszczenia powietrza; podkreśla znaczenie zapewnienia odpowiedniej infrastruktury i usług dla osób o ograniczonej możliwości poruszania się, w tym osób niepełnosprawnych;</w:t>
      </w:r>
    </w:p>
    <w:p w14:paraId="0B441BD9" w14:textId="77777777" w:rsidR="00FD7B23" w:rsidRPr="00353317" w:rsidRDefault="00FD7B23" w:rsidP="00FD7B23">
      <w:pPr>
        <w:pStyle w:val="NormalHanging12a"/>
      </w:pPr>
      <w:r w:rsidRPr="00353317">
        <w:t>48.</w:t>
      </w:r>
      <w:r w:rsidRPr="00353317">
        <w:tab/>
        <w:t>Podkreśla pilną potrzebę dalszego usprawniania i wdrażania systemów zbierania odpadów i gospodarowania nimi, zgodnie z zasadami hierarchii postępowania z odpadami, w tym, w odpowiednich przypadkach, poprzez wykorzystanie technologii cyfrowej i sztucznej inteligencji oraz inwestowanie w systemy ponownego użycia i recyklingu oraz redukcję odpadów; podkreśla rolę przyszłego aktu w sprawie gospodarki o obiegu zamkniętym w realizacji wartości gospodarki o obiegu zamkniętym; apeluje o środki ułatwiające stworzenie prawdziwego unijnego rynku surowców wtórnych;</w:t>
      </w:r>
    </w:p>
    <w:p w14:paraId="4EECFDDE" w14:textId="77777777" w:rsidR="00FD7B23" w:rsidRPr="00353317" w:rsidRDefault="00FD7B23" w:rsidP="00FD7B23">
      <w:pPr>
        <w:pStyle w:val="NormalHanging12a"/>
      </w:pPr>
      <w:r w:rsidRPr="00353317">
        <w:t>49.</w:t>
      </w:r>
      <w:r w:rsidRPr="00353317">
        <w:tab/>
        <w:t>przypomina o pilnej potrzebie wdrożenia rozwiązań w dziedzinie energii i klimatu na szczeblu lokalnym i gminnym, w tym rozwiązań opartych na zasobach przyrody, w celu przeciwdziałania skutkom zmiany klimatu, w tym narażeniu na ekstremalne upały;</w:t>
      </w:r>
    </w:p>
    <w:p w14:paraId="74D403AA" w14:textId="77777777" w:rsidR="00FD7B23" w:rsidRPr="00353317" w:rsidRDefault="00FD7B23" w:rsidP="00FD7B23">
      <w:pPr>
        <w:pStyle w:val="NormalHanging12a"/>
      </w:pPr>
      <w:r w:rsidRPr="00353317">
        <w:t>50.</w:t>
      </w:r>
      <w:r w:rsidRPr="00353317">
        <w:tab/>
        <w:t xml:space="preserve">przypomina o potrzebie działania na rzecz modernizacji, przystępności cenowej i zrównoważonego charakteru mieszkań poprzez zwiększenie skali energooszczędnych i </w:t>
      </w:r>
      <w:r w:rsidRPr="00353317">
        <w:lastRenderedPageBreak/>
        <w:t>odpornych na zmianę klimatu modeli mieszkaniowych i strategii budowlanych; podkreśla znaczenie zwiększenia inwestycji w tym obszarze, które mogą obejmować inwestycje prywatne i partnerstwa publiczno-prywatne, oraz wzywa UE do wspierania miast w pozyskiwaniu kapitału za pomocą innowacyjnych instrumentów finansowych;</w:t>
      </w:r>
    </w:p>
    <w:p w14:paraId="049D7EAE" w14:textId="514E8FC4" w:rsidR="00FD7B23" w:rsidRPr="00353317" w:rsidRDefault="00FD7B23" w:rsidP="00FD7B23">
      <w:pPr>
        <w:pStyle w:val="NormalHanging12a"/>
      </w:pPr>
      <w:r w:rsidRPr="00353317">
        <w:t>51.</w:t>
      </w:r>
      <w:r w:rsidRPr="00353317">
        <w:tab/>
        <w:t>uznaje prawo do miejsca do życia w pokoju, bezpieczeństwie i godności za podstawowe prawo człowieka i zauważa, że kryzys przystępności cenowej mieszkań dotyczy nawet trzech miliardów ludzi na całym świecie; podkreśla potrzebę zapewnienia do 2030 r. powszechnego dostępu do godnych, odpowiednich, bezpiecznych, dostępnych, zrównoważonych, energooszczędnych i przystępnych cenowo mieszkań i podstawowych usług, w tym poprzez promowanie polityki mieszkalnictwa publicznego ; wzywa UE do wspierania krajów partnerskich w opracowywaniu polityki w zakresie mieszkalnictwa socjalnego;</w:t>
      </w:r>
    </w:p>
    <w:p w14:paraId="29119EAC" w14:textId="77777777" w:rsidR="00FD7B23" w:rsidRPr="00353317" w:rsidRDefault="00FD7B23" w:rsidP="00FD7B23">
      <w:pPr>
        <w:pStyle w:val="NormalHanging12a"/>
      </w:pPr>
      <w:r w:rsidRPr="00353317">
        <w:t>52.</w:t>
      </w:r>
      <w:r w:rsidRPr="00353317">
        <w:tab/>
        <w:t>zachęca do ściślejszej współpracy między miastami, przedsiębiorstwami, instytucjami badawczymi i społeczeństwem obywatelskim nad wspieraniem innowacji, wymianą najlepszych praktyk i zwiększaniem skali udanych rozwiązań miejskich, w tym poprzez partnerstwa między miastami europejskimi i miastami krajów partnerskich, platformy UE i inicjatywy na rzecz wymiany wiedzy;</w:t>
      </w:r>
    </w:p>
    <w:p w14:paraId="2400EE93" w14:textId="77777777" w:rsidR="00FD7B23" w:rsidRPr="00353317" w:rsidRDefault="00FD7B23" w:rsidP="00FD7B23">
      <w:pPr>
        <w:pStyle w:val="Normal12a"/>
        <w:rPr>
          <w:b/>
          <w:bCs/>
          <w:i/>
          <w:iCs/>
        </w:rPr>
      </w:pPr>
      <w:r w:rsidRPr="00353317">
        <w:rPr>
          <w:b/>
          <w:i/>
        </w:rPr>
        <w:t>Cel zrównoważonego rozwoju nr 17: wzmocnienie środków wdrażania i ożywienie globalnego partnerstwa na rzecz zrównoważonego rozwoju</w:t>
      </w:r>
    </w:p>
    <w:p w14:paraId="52CD38D2" w14:textId="77777777" w:rsidR="00FD7B23" w:rsidRPr="00353317" w:rsidRDefault="00FD7B23" w:rsidP="00FD7B23">
      <w:pPr>
        <w:pStyle w:val="NormalHanging12a"/>
        <w:ind w:left="567" w:hanging="567"/>
      </w:pPr>
      <w:r w:rsidRPr="00353317">
        <w:t>53.</w:t>
      </w:r>
      <w:r w:rsidRPr="00353317">
        <w:tab/>
        <w:t>wzywa UE do dalszego opowiadania się za multilateralizmem, międzynarodowym ładem opartym na zasadach oraz systemem ONZ w celu zapewnienia globalnego przywództwa we wdrażaniu Agendy 2030 i wypełnienia luk pozostawionych przez innych poprzez budowanie sojuszy nowych i wzmacnianie istniejących oraz współpracę z globalnymi partnerami nad uruchomieniem finansowania; podkreśla potrzebę wzmocnienia międzynarodowych traktatów i umów, takich jak porozumienie paryskie, Konwencja o różnorodności biologicznej i regionalne inicjatywy na rzecz ochrony przyrody;</w:t>
      </w:r>
    </w:p>
    <w:p w14:paraId="2609ABB4" w14:textId="77777777" w:rsidR="00FD7B23" w:rsidRPr="00353317" w:rsidRDefault="00FD7B23" w:rsidP="00FD7B23">
      <w:pPr>
        <w:spacing w:after="240"/>
        <w:ind w:left="567" w:hanging="567"/>
      </w:pPr>
      <w:r w:rsidRPr="00353317">
        <w:t>54.</w:t>
      </w:r>
      <w:r w:rsidRPr="00353317">
        <w:tab/>
        <w:t>potwierdza swoje pełne zaangażowanie na rzecz trwałej wartości multilateralizmu oraz podkreśla, że niezbędny jest unowocześniony, wielostronny system zarządzania handlem; przypomina o poparciu UE dla mandatu WTO i trwających negocjacji dotyczących traktatu ONZ w sprawie biznesu i praw człowieka;</w:t>
      </w:r>
    </w:p>
    <w:p w14:paraId="5C0CE2F1" w14:textId="77777777" w:rsidR="00FD7B23" w:rsidRPr="00353317" w:rsidRDefault="00FD7B23" w:rsidP="00FD7B23">
      <w:pPr>
        <w:pStyle w:val="NormalHanging12a"/>
      </w:pPr>
      <w:r w:rsidRPr="00353317">
        <w:t>55.</w:t>
      </w:r>
      <w:r w:rsidRPr="00353317">
        <w:tab/>
        <w:t>wyraża zaniepokojenie faktem, że rocznie brakuje około 4 bln USD środków na inwestycje, aby sfinansować osiągnięcie celów zrównoważonego rozwoju, przy czym sytuację tę dodatkowo pogarsza obniżający się poziom oficjalnej pomocy rozwojowej; wzywa UE i państwa członkowskie, by dążyły do zapewnienia wystarczających środków finansowych na realizację zobowiązania do przeznaczania 0,7 % DNB na oficjalną pomoc rozwojową oraz do przeznaczania 0,2 % DNB na oficjalną pomoc rozwojową dla krajów najsłabiej rozwiniętych;</w:t>
      </w:r>
    </w:p>
    <w:p w14:paraId="756B2D7C" w14:textId="77777777" w:rsidR="00FD7B23" w:rsidRPr="00353317" w:rsidRDefault="00FD7B23" w:rsidP="00FD7B23">
      <w:pPr>
        <w:pStyle w:val="NormalHanging12a"/>
      </w:pPr>
      <w:r w:rsidRPr="00353317">
        <w:t>56.</w:t>
      </w:r>
      <w:r w:rsidRPr="00353317">
        <w:tab/>
        <w:t xml:space="preserve">zdecydowanie zachęca do zbadania możliwości wykorzystania finansowania prywatnego, w tym za pośrednictwem unii rynków kapitałowych; w związku z tym z zadowoleniem przyjmuje platformę inwestorów w zakresie celów zrównoważonego rozwoju w ramach Programu Narodów Zjednoczonych ds. Rozwoju, która umożliwia przedsiębiorstwom prywatnym określenie „obszarów możliwości inwestycyjnych” przyczyniających się do zrównoważonego rozwoju, oraz zachęca do dalszych </w:t>
      </w:r>
      <w:r w:rsidRPr="00353317">
        <w:lastRenderedPageBreak/>
        <w:t>inwestycji, w tym za pośrednictwem partnerstw publiczno-prywatnych, służących wypełnieniu luki w finansowaniu celów zrównoważonego rozwoju, z poszanowaniem kryteriów Komitetu Pomocy Rozwojowej Organizacji Współpracy Gospodarczej i Rozwoju; ponadto zachęca do zwalczania nielegalnych przepływów finansowych, unikania opodatkowania i uchylania się od opodatkowania;</w:t>
      </w:r>
    </w:p>
    <w:p w14:paraId="2BBCEA81" w14:textId="77777777" w:rsidR="00FD7B23" w:rsidRPr="00353317" w:rsidRDefault="00FD7B23" w:rsidP="00FD7B23">
      <w:pPr>
        <w:pStyle w:val="NormalHanging12a"/>
      </w:pPr>
      <w:r w:rsidRPr="00353317">
        <w:t>57.</w:t>
      </w:r>
      <w:r w:rsidRPr="00353317">
        <w:tab/>
        <w:t>wyraża głębokie zaniepokojenie perspektywą kryzysu zadłużeniowego w krajach rozwijających się, w szczególności w krajach o niskich dochodach i krajach najsłabiej rozwiniętych, oraz apeluje o redukcję i restrukturyzację zadłużenia krajów dotkniętych kryzysem, jako pierwszy krok, z uwzględnieniem zasad Konferencji Narodów Zjednoczonych do spraw Handlu i Rozwoju dotyczących promowania odpowiedzialnego udzielania i zaciągania pożyczek państwowych oraz zasad OECD dotyczących zdolności obsługi zadłużenia, a także suwerenności zasobów; podkreśla potrzebę wykorzystania dostępnych zasobów w sposób gospodarny i efektywny; dostrzega rolę finansowania w formie dotacji i na warunkach wysoce preferencyjnych oraz instrumentów niegenerujących zadłużenia w zainteresowanych krajach; podkreśla ograniczenia globalnej architektury finansowej i niewystarczające wsparcie międzynarodowe w tym zakresie; podkreśla, że kraje te pilnie potrzebują większych zasobów finansowych i przestrzeni fiskalnej, aby ułatwić znacznie większe inwestycje w cele zrównoważonego rozwoju; odnotowuje w związku z tym trwające negocjacje w sprawie utworzenia i wdrożenia ramowej konwencji ONZ o międzynarodowej współpracy podatkowej;</w:t>
      </w:r>
    </w:p>
    <w:p w14:paraId="097D2577" w14:textId="77777777" w:rsidR="00FD7B23" w:rsidRPr="00353317" w:rsidRDefault="00FD7B23" w:rsidP="00FD7B23">
      <w:pPr>
        <w:pStyle w:val="NormalHanging12a"/>
      </w:pPr>
      <w:r w:rsidRPr="00353317">
        <w:t>58.</w:t>
      </w:r>
      <w:r w:rsidRPr="00353317">
        <w:tab/>
        <w:t xml:space="preserve">podkreśla, że skuteczne globalne partnerstwa powinny opierać się na </w:t>
      </w:r>
      <w:proofErr w:type="gramStart"/>
      <w:r w:rsidRPr="00353317">
        <w:t>wzajemnej współpracy</w:t>
      </w:r>
      <w:proofErr w:type="gramEnd"/>
      <w:r w:rsidRPr="00353317">
        <w:t xml:space="preserve"> i realizować wspólne cele partnerów; podkreśla znaczenie przejrzystości, dobrych rządów i wymiernego wpływu we wszystkich działaniach w zakresie współpracy na rzecz rozwoju;</w:t>
      </w:r>
    </w:p>
    <w:p w14:paraId="21130E77" w14:textId="77777777" w:rsidR="00FD7B23" w:rsidRPr="00353317" w:rsidRDefault="00FD7B23" w:rsidP="00FD7B23">
      <w:pPr>
        <w:pStyle w:val="NormalHanging12a"/>
      </w:pPr>
      <w:r w:rsidRPr="00353317">
        <w:t>59.</w:t>
      </w:r>
      <w:r w:rsidRPr="00353317">
        <w:tab/>
        <w:t>podkreśla strategiczne znaczenie i potencjał unijnej strategii Global Gateway jako sztandarowego instrumentu służącego wzmocnieniu zrównoważonych partnerstw i zapewnieniu wysokiej jakości infrastruktury, przy jednoczesnym promowaniu norm międzynarodowych i długoterminowego rozwoju gospodarczego i społecznego w krajach partnerskich;</w:t>
      </w:r>
    </w:p>
    <w:p w14:paraId="731EA29A" w14:textId="77777777" w:rsidR="00FD7B23" w:rsidRPr="00353317" w:rsidRDefault="00FD7B23" w:rsidP="00FD7B23">
      <w:pPr>
        <w:pStyle w:val="NormalHanging12a"/>
      </w:pPr>
      <w:r w:rsidRPr="00353317">
        <w:t>60.</w:t>
      </w:r>
      <w:r w:rsidRPr="00353317">
        <w:tab/>
        <w:t xml:space="preserve">zachęca do ściślejszej współpracy z krajami partnerskimi, międzynarodowymi instytucjami finansowymi, regionalnymi bankami rozwoju i lokalnymi zainteresowanymi stronami w celu koordynowania wysiłków na rzecz rozwoju, unikania powielania działań i maksymalizacji wpływu na wspieranie Agendy 2030, zwłaszcza w sytuacjach niestabilności, konfliktu i </w:t>
      </w:r>
      <w:proofErr w:type="spellStart"/>
      <w:r w:rsidRPr="00353317">
        <w:t>wysiedleń</w:t>
      </w:r>
      <w:proofErr w:type="spellEnd"/>
      <w:r w:rsidRPr="00353317">
        <w:t>; podkreśla, że programy współpracy na rzecz rozwoju powinny obejmować jasne mechanizmy oceny skutków i partycypacyjne monitorowanie z udziałem lokalnych zainteresowanych stron;</w:t>
      </w:r>
    </w:p>
    <w:p w14:paraId="7950D0B3" w14:textId="77777777" w:rsidR="00FD7B23" w:rsidRPr="00353317" w:rsidRDefault="00FD7B23" w:rsidP="00FD7B23">
      <w:pPr>
        <w:pStyle w:val="Normal12a"/>
        <w:rPr>
          <w:b/>
          <w:bCs/>
          <w:i/>
          <w:iCs/>
        </w:rPr>
      </w:pPr>
      <w:r w:rsidRPr="00353317">
        <w:rPr>
          <w:b/>
          <w:i/>
        </w:rPr>
        <w:t>Perspektywy</w:t>
      </w:r>
    </w:p>
    <w:p w14:paraId="2C634C74" w14:textId="77777777" w:rsidR="00FD7B23" w:rsidRPr="00353317" w:rsidRDefault="00FD7B23" w:rsidP="00FD7B23">
      <w:pPr>
        <w:pStyle w:val="NormalHanging12a"/>
      </w:pPr>
      <w:r w:rsidRPr="00353317">
        <w:t>61.</w:t>
      </w:r>
      <w:r w:rsidRPr="00353317">
        <w:tab/>
        <w:t xml:space="preserve">przypomina, że cele zrównoważonego rozwoju są jedynym kompleksowym i uzgodnionym na szczeblu globalnym zestawem celów dotyczących głównych wyzwań, przed jakimi stoją kraje zarówno rozwinięte, jak i rozwijające się, oraz obecnie najlepszym dostępnym narzędziem pozwalającym wyeliminować ich główne przyczyny; potwierdza, że kraje najsłabiej rozwinięte i kraje o niskim dochodzie, jako najsłabsze grupy krajów, potrzebują zwiększenia globalnego wsparcia, aby osiągnąć cele zrównoważonego rozwoju; wzywa UE do kontynuacji i wzmocnienia jej roli w </w:t>
      </w:r>
      <w:r w:rsidRPr="00353317">
        <w:lastRenderedPageBreak/>
        <w:t>dyskusjach na Forum Politycznym Wysokiego Szczebla 2026, aby utorować drogę do przyspieszonych działań w związku z terminem realizacji Agendy 2030, oraz wypromować przyszłościową agendę na rzecz globalnego zrównoważonego rozwoju po roku 2030;</w:t>
      </w:r>
    </w:p>
    <w:p w14:paraId="7878C77E" w14:textId="77777777" w:rsidR="00FD7B23" w:rsidRPr="00353317" w:rsidRDefault="00FD7B23" w:rsidP="00FD7B23">
      <w:pPr>
        <w:pStyle w:val="NormalHanging12a"/>
      </w:pPr>
      <w:r w:rsidRPr="00353317">
        <w:t>62.</w:t>
      </w:r>
      <w:r w:rsidRPr="00353317">
        <w:tab/>
        <w:t>wzywa UE i państwa członkowskie do opracowania planów wdrażania z konkretnymi terminami osiągnięcia celów zrównoważonego rozwoju i wyznaczenia ambitnych celi na okres po 2030 r.; apeluje w związku z tym do Komisji, by dała przykład i opracowała kompleksową strategię, której towarzyszyć będzie uporządkowany plan realizacji celów zrównoważonego rozwoju; z zadowoleniem przyjmuje pierwszy dobrowolny przegląd realizacji celów zrównoważonego rozwoju przeprowadzony przez UE w 2023 r. i uważa, że takie przeglądy należy przeprowadzać regularnie;</w:t>
      </w:r>
    </w:p>
    <w:p w14:paraId="4C8A264F" w14:textId="77777777" w:rsidR="00FD7B23" w:rsidRPr="00353317" w:rsidRDefault="00FD7B23" w:rsidP="00FD7B23">
      <w:pPr>
        <w:pStyle w:val="NormalHanging12a"/>
      </w:pPr>
      <w:r w:rsidRPr="00353317">
        <w:t>63.</w:t>
      </w:r>
      <w:r w:rsidRPr="00353317">
        <w:tab/>
        <w:t>zwraca uwagę, że cele zrównoważonego rozwoju stanowią również szansę gospodarczą na zbudowanie prawdziwego dobrobytu oraz gospodarki zrównoważonej i włączającej, zwiększenie konkurencji, innowacji i odporności, co umożliwi ludziom godne życie przy pełnym poszanowaniu limitów planetarnych, w tym różnorodności biologicznej i środowiska, wykorzystaniu nowych technologii oraz tworzeniu nowych sektorów gospodarki i miejsc pracy; podkreśla, że przejście na gospodarkę zrównoważoną i odporną powinno promować godną pracę, ochronę socjalną i silne prawa pracownicze na całym świecie;</w:t>
      </w:r>
    </w:p>
    <w:p w14:paraId="6AEC7026" w14:textId="77777777" w:rsidR="00FD7B23" w:rsidRPr="00353317" w:rsidRDefault="00FD7B23" w:rsidP="00FD7B23">
      <w:pPr>
        <w:pStyle w:val="NormalHanging12a"/>
      </w:pPr>
      <w:r w:rsidRPr="00353317">
        <w:t>64.</w:t>
      </w:r>
      <w:r w:rsidRPr="00353317">
        <w:tab/>
        <w:t>Podkreśla konieczność zapewnienia spójności polityki na rzecz zrównoważonego rozwoju zgodnie z art. 208 TFUE, mającą na celu integrację aspektów gospodarczego, społecznego i środowiskowego zrównoważonego rozwoju na wszystkich etapach cyklu kształtowania polityki w celu wspierania synergii między obszarami polityki, określania i osiągania potencjalnych kompromisów, a także rozwiązania kwestii międzynarodowych skutków ubocznych polityki UE;</w:t>
      </w:r>
    </w:p>
    <w:p w14:paraId="0B975EA4" w14:textId="77777777" w:rsidR="00FD7B23" w:rsidRPr="00353317" w:rsidRDefault="00FD7B23" w:rsidP="00FD7B23">
      <w:pPr>
        <w:pStyle w:val="NormalHanging12a"/>
      </w:pPr>
      <w:r w:rsidRPr="00353317">
        <w:t>65.</w:t>
      </w:r>
      <w:r w:rsidRPr="00353317">
        <w:tab/>
        <w:t>podkreśla, że niezależne i odpowiednio finansowane społeczeństwo obywatelskie, a także władze i społeczności lokalne, są kluczowymi partnerami w realizacji Agendy 2030; podkreśla potrzebę tworzenia, wspierania i ochrony przestrzeni społeczeństwa obywatelskiego oraz zapewnienia, aby organizacje społeczeństwa obywatelskiego, w tym lokalne organizacje pozarządowe, w znaczący sposób uczestniczyły w osiąganiu celów zrównoważonego rozwoju i otrzymywały odpowiednie długoterminowe i elastyczne finansowanie, zwłaszcza w krajach, w których przestrzeń społeczeństwa obywatelskiego się kurczy;</w:t>
      </w:r>
    </w:p>
    <w:p w14:paraId="49165E5E" w14:textId="77777777" w:rsidR="00FD7B23" w:rsidRPr="00353317" w:rsidRDefault="00FD7B23" w:rsidP="00FD7B23">
      <w:pPr>
        <w:pStyle w:val="NormalHanging12a"/>
      </w:pPr>
      <w:r w:rsidRPr="00353317">
        <w:t>66.</w:t>
      </w:r>
      <w:r w:rsidRPr="00353317">
        <w:tab/>
        <w:t>przypomina, że kobiety i dzieci, zwłaszcza dziewczęta, są w nieproporcjonalnym stopniu dotknięte kryzysami gospodarczymi, ograniczoną opieką zdrowotną, zmianą klimatu, przemocą ze względu na płeć i konfliktami oraz że utrzymujące się nierówności nadal ograniczają ich pełny udział w życiu społecznym; podkreśla potrzebę odpowiedniego i elastycznego finansowania, w tym organizacji lokalnych i organizacji działających na rzecz praw kobiet, z których wiele boryka się z poważnymi ograniczeniami finansowymi;</w:t>
      </w:r>
    </w:p>
    <w:p w14:paraId="7A2F1D1A" w14:textId="77777777" w:rsidR="00FD7B23" w:rsidRPr="00353317" w:rsidRDefault="00FD7B23" w:rsidP="00FD7B23">
      <w:pPr>
        <w:pStyle w:val="NormalHanging12a"/>
      </w:pPr>
      <w:r w:rsidRPr="00353317">
        <w:t>67.</w:t>
      </w:r>
      <w:r w:rsidRPr="00353317">
        <w:tab/>
        <w:t xml:space="preserve">podkreśla, że zrównoważony i sprzyjający włączeniu społecznemu wzrost gospodarczy z uwzględnieniem ograniczeń planety, konkurencyjność i innowacje oraz silny sektor prywatny są niezbędnymi czynnikami umożliwiającymi zrównoważony rozwój i dobrostan społeczeństw, a także podkreśla, że cyfryzacja, sztuczna inteligencja i czyste technologie mogą pomóc w osiągnięciu globalnych celów zrównoważonego rozwoju, a </w:t>
      </w:r>
      <w:r w:rsidRPr="00353317">
        <w:lastRenderedPageBreak/>
        <w:t>zatem powinny odgrywać rolę w wizji rozwoju UE; zachęca UE do wykorzystywania swoich wpływów do realizacji Agendy 2030 w celu osiągnięcia wymiernej poprawy poziomu życia, ograniczenia ubóstwa i rozszerzenia możliwości dla przyszłych pokoleń, w tym poprzez zwiększoną odporność i innowacje;</w:t>
      </w:r>
    </w:p>
    <w:p w14:paraId="7C7C704B" w14:textId="77777777" w:rsidR="00FD7B23" w:rsidRPr="00353317" w:rsidRDefault="00FD7B23" w:rsidP="00FD7B23">
      <w:pPr>
        <w:pStyle w:val="NormalHanging12a"/>
      </w:pPr>
      <w:r w:rsidRPr="00353317">
        <w:t>68.</w:t>
      </w:r>
      <w:r w:rsidRPr="00353317">
        <w:tab/>
        <w:t>wzywa do przełożenia zobowiązań podjętych podczas Szczytu Przyszłości w 2024 r., paktu dla przyszłości i czwartej międzynarodowej konferencji w Sewilli 2 2025 r. w sprawie finansowania rozwoju na konkretne działania oraz do zwiększenia inwestycji w celu uzupełnienia środków potrzebnych do finansowania zrównoważonego rozwoju; podkreśla, że wszelkie globalne ramy rozwoju na okres po 2030 r. muszą być ambitne, wymierne i ukierunkowane na osiąganie wyników;</w:t>
      </w:r>
    </w:p>
    <w:p w14:paraId="4CECE535" w14:textId="77777777" w:rsidR="00FD7B23" w:rsidRPr="00353317" w:rsidRDefault="00FD7B23" w:rsidP="00FD7B23">
      <w:pPr>
        <w:pStyle w:val="NormalHanging12a"/>
      </w:pPr>
      <w:r w:rsidRPr="00353317">
        <w:t>69.</w:t>
      </w:r>
      <w:r w:rsidRPr="00353317">
        <w:tab/>
        <w:t xml:space="preserve">podkreśla znaczenie umów wielostronnych, w szczególności umów </w:t>
      </w:r>
      <w:proofErr w:type="gramStart"/>
      <w:r w:rsidRPr="00353317">
        <w:t>środowiskowych,</w:t>
      </w:r>
      <w:proofErr w:type="gramEnd"/>
      <w:r w:rsidRPr="00353317">
        <w:t xml:space="preserve"> jako skutecznych mechanizmów promowania współpracy międzynarodowej i realizacji celów zrównoważonego rozwoju, a także zachęca UE do dalszego wzmacniania ich realizacji i wpływu;</w:t>
      </w:r>
    </w:p>
    <w:p w14:paraId="3721F4C0" w14:textId="77777777" w:rsidR="00FD7B23" w:rsidRPr="00353317" w:rsidRDefault="00FD7B23" w:rsidP="00FD7B23">
      <w:pPr>
        <w:pStyle w:val="NormalHanging12a"/>
      </w:pPr>
      <w:r w:rsidRPr="00353317">
        <w:t>70.</w:t>
      </w:r>
      <w:r w:rsidRPr="00353317">
        <w:tab/>
        <w:t>apeluje, aby wieloletnie ramy finansowe UE na lata 2028–2034 były w pełni spójne z Agendą 2030 i przyczyniały się do osiągnięcia celów zrównoważonego rozwoju; podkreśla, że zaangażowanie UE w osiąganie celów zrównoważonego rozwoju musi być poparte ambitnymi zobowiązaniami finansowymi w kolejnych wieloletnich ramach finansowych na lata 2028–2034; wzywa UE i jej państwa członkowskie do zapewnienia dodatkowego finansowania na rzecz łagodzenia zmiany klimatu i przystosowania się do niej, a także strat i szkód, zgodnie z planem działania Baku–</w:t>
      </w:r>
      <w:proofErr w:type="spellStart"/>
      <w:r w:rsidRPr="00353317">
        <w:t>Belém</w:t>
      </w:r>
      <w:proofErr w:type="spellEnd"/>
      <w:r w:rsidRPr="00353317">
        <w:t>, uzgodnionym na 29. konferencji stron Ramowej konwencji Narodów Zjednoczonych w sprawie zmian klimatu (COP 29);</w:t>
      </w:r>
    </w:p>
    <w:p w14:paraId="2CB74311" w14:textId="77777777" w:rsidR="00FD7B23" w:rsidRPr="00353317" w:rsidRDefault="00FD7B23" w:rsidP="00FD7B23">
      <w:pPr>
        <w:pStyle w:val="NormalCenter12a"/>
      </w:pPr>
      <w:r w:rsidRPr="00353317">
        <w:t>°</w:t>
      </w:r>
    </w:p>
    <w:p w14:paraId="0D94AA70" w14:textId="77777777" w:rsidR="00FD7B23" w:rsidRPr="00353317" w:rsidRDefault="00FD7B23" w:rsidP="00FD7B23">
      <w:pPr>
        <w:pStyle w:val="NormalCenter12a"/>
      </w:pPr>
      <w:r w:rsidRPr="00353317">
        <w:t>°</w:t>
      </w:r>
      <w:r w:rsidRPr="00353317">
        <w:tab/>
        <w:t>°</w:t>
      </w:r>
    </w:p>
    <w:p w14:paraId="1B5B3433" w14:textId="215A6FA6" w:rsidR="00353317" w:rsidRPr="00353317" w:rsidRDefault="00FD7B23" w:rsidP="00353317">
      <w:pPr>
        <w:pStyle w:val="NormalHanging12a"/>
      </w:pPr>
      <w:r w:rsidRPr="00353317">
        <w:t>71.</w:t>
      </w:r>
      <w:r w:rsidRPr="00353317">
        <w:tab/>
        <w:t>zobowiązuje swoją przewodniczącą do przekazania niniejszej rezolucji Radzie i Komisji oraz rządom i parlamentom państw członkowskich.</w:t>
      </w:r>
    </w:p>
    <w:p w14:paraId="0219395B" w14:textId="752B46A0" w:rsidR="00E365E1" w:rsidRPr="00353317" w:rsidRDefault="00E365E1" w:rsidP="001D449F"/>
    <w:sectPr w:rsidR="00E365E1" w:rsidRPr="00353317" w:rsidSect="0035331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2D4E96" w14:textId="77777777" w:rsidR="001D449F" w:rsidRPr="00353317" w:rsidRDefault="001D449F">
      <w:r w:rsidRPr="00353317">
        <w:separator/>
      </w:r>
    </w:p>
  </w:endnote>
  <w:endnote w:type="continuationSeparator" w:id="0">
    <w:p w14:paraId="7892DE75" w14:textId="77777777" w:rsidR="001D449F" w:rsidRPr="00353317" w:rsidRDefault="001D449F">
      <w:r w:rsidRPr="0035331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F4AFF4" w14:textId="77777777" w:rsidR="00064002" w:rsidRPr="00353317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CEE3F4" w14:textId="77777777" w:rsidR="00064002" w:rsidRPr="00353317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611747" w14:textId="77777777" w:rsidR="00064002" w:rsidRPr="00353317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D2B37E" w14:textId="77777777" w:rsidR="001D449F" w:rsidRPr="00353317" w:rsidRDefault="001D449F">
      <w:r w:rsidRPr="00353317">
        <w:separator/>
      </w:r>
    </w:p>
  </w:footnote>
  <w:footnote w:type="continuationSeparator" w:id="0">
    <w:p w14:paraId="3E3CD2A7" w14:textId="77777777" w:rsidR="001D449F" w:rsidRPr="00353317" w:rsidRDefault="001D449F">
      <w:r w:rsidRPr="00353317">
        <w:continuationSeparator/>
      </w:r>
    </w:p>
  </w:footnote>
  <w:footnote w:id="1">
    <w:p w14:paraId="161E5A65" w14:textId="1ECE5D52" w:rsidR="00FD7B23" w:rsidRPr="00353317" w:rsidRDefault="00FD7B23" w:rsidP="00353317">
      <w:pPr>
        <w:pStyle w:val="FootnoteText"/>
        <w:ind w:left="567" w:hanging="567"/>
        <w:rPr>
          <w:sz w:val="24"/>
          <w:lang w:val="pl-PL"/>
        </w:rPr>
      </w:pPr>
      <w:r w:rsidRPr="00353317">
        <w:rPr>
          <w:rStyle w:val="FootnoteReference"/>
          <w:sz w:val="24"/>
          <w:lang w:val="pl-PL"/>
        </w:rPr>
        <w:footnoteRef/>
      </w:r>
      <w:r w:rsidR="00353317" w:rsidRPr="00353317">
        <w:rPr>
          <w:sz w:val="24"/>
          <w:lang w:val="pl-PL"/>
        </w:rPr>
        <w:t xml:space="preserve"> </w:t>
      </w:r>
      <w:r w:rsidR="00353317" w:rsidRPr="00353317">
        <w:rPr>
          <w:sz w:val="24"/>
          <w:lang w:val="pl-PL"/>
        </w:rPr>
        <w:tab/>
      </w:r>
      <w:r w:rsidRPr="00353317">
        <w:rPr>
          <w:sz w:val="24"/>
          <w:lang w:val="pl-PL"/>
        </w:rPr>
        <w:t>Dz.U. C 210 z 30.6.2017, s. 1.</w:t>
      </w:r>
    </w:p>
  </w:footnote>
  <w:footnote w:id="2">
    <w:p w14:paraId="257E9774" w14:textId="1B8D7525" w:rsidR="00FD7B23" w:rsidRPr="00353317" w:rsidRDefault="00FD7B23" w:rsidP="00353317">
      <w:pPr>
        <w:pStyle w:val="FootnoteText"/>
        <w:ind w:left="567" w:hanging="567"/>
        <w:rPr>
          <w:sz w:val="24"/>
          <w:lang w:val="pl-PL"/>
        </w:rPr>
      </w:pPr>
      <w:r w:rsidRPr="00353317">
        <w:rPr>
          <w:rStyle w:val="FootnoteReference"/>
          <w:sz w:val="24"/>
          <w:lang w:val="pl-PL"/>
        </w:rPr>
        <w:footnoteRef/>
      </w:r>
      <w:r w:rsidR="00353317" w:rsidRPr="00353317">
        <w:rPr>
          <w:sz w:val="24"/>
          <w:lang w:val="pl-PL"/>
        </w:rPr>
        <w:t xml:space="preserve"> </w:t>
      </w:r>
      <w:r w:rsidR="00353317" w:rsidRPr="00353317">
        <w:rPr>
          <w:sz w:val="24"/>
          <w:lang w:val="pl-PL"/>
        </w:rPr>
        <w:tab/>
      </w:r>
      <w:r w:rsidRPr="00353317">
        <w:rPr>
          <w:sz w:val="24"/>
          <w:lang w:val="pl-PL"/>
        </w:rPr>
        <w:t xml:space="preserve">Dz.U. L 114 z 12.4.2022, s. 22, ELI: </w:t>
      </w:r>
      <w:hyperlink r:id="rId1" w:tgtFrame="http://data.europa.eu/eli/dec/2022/591/oj" w:history="1">
        <w:r w:rsidRPr="00353317">
          <w:rPr>
            <w:rStyle w:val="Hyperlink"/>
            <w:sz w:val="24"/>
            <w:lang w:val="pl-PL"/>
          </w:rPr>
          <w:t>http://data.europa.eu/eli/dec/2022/591/oj</w:t>
        </w:r>
      </w:hyperlink>
      <w:r w:rsidRPr="00353317">
        <w:rPr>
          <w:sz w:val="24"/>
          <w:lang w:val="pl-PL"/>
        </w:rPr>
        <w:t>.</w:t>
      </w:r>
    </w:p>
  </w:footnote>
  <w:footnote w:id="3">
    <w:p w14:paraId="048510EA" w14:textId="06FFB7CD" w:rsidR="00FD7B23" w:rsidRPr="00353317" w:rsidRDefault="00FD7B23" w:rsidP="00353317">
      <w:pPr>
        <w:pStyle w:val="FootnoteText"/>
        <w:ind w:left="567" w:hanging="567"/>
        <w:rPr>
          <w:sz w:val="24"/>
          <w:lang w:val="pl-PL"/>
        </w:rPr>
      </w:pPr>
      <w:r w:rsidRPr="00353317">
        <w:rPr>
          <w:sz w:val="24"/>
          <w:vertAlign w:val="superscript"/>
          <w:lang w:val="pl-PL"/>
        </w:rPr>
        <w:t>3</w:t>
      </w:r>
      <w:r w:rsidR="00353317" w:rsidRPr="00353317">
        <w:rPr>
          <w:sz w:val="24"/>
          <w:vertAlign w:val="superscript"/>
          <w:lang w:val="pl-PL"/>
        </w:rPr>
        <w:t xml:space="preserve"> </w:t>
      </w:r>
      <w:r w:rsidR="00353317" w:rsidRPr="00353317">
        <w:rPr>
          <w:sz w:val="24"/>
          <w:vertAlign w:val="superscript"/>
          <w:lang w:val="pl-PL"/>
        </w:rPr>
        <w:tab/>
      </w:r>
      <w:r w:rsidRPr="00353317">
        <w:rPr>
          <w:sz w:val="24"/>
          <w:lang w:val="pl-PL"/>
        </w:rPr>
        <w:t>Dz.U. C 132 z 14.4.2023, s. 54.</w:t>
      </w:r>
    </w:p>
  </w:footnote>
  <w:footnote w:id="4">
    <w:p w14:paraId="7FE69754" w14:textId="3B5F251C" w:rsidR="00FD7B23" w:rsidRPr="00353317" w:rsidRDefault="00FD7B23" w:rsidP="00353317">
      <w:pPr>
        <w:pStyle w:val="FootnoteText"/>
        <w:ind w:left="567" w:hanging="567"/>
        <w:rPr>
          <w:sz w:val="24"/>
          <w:lang w:val="pl-PL"/>
        </w:rPr>
      </w:pPr>
      <w:r w:rsidRPr="00353317">
        <w:rPr>
          <w:sz w:val="24"/>
          <w:vertAlign w:val="superscript"/>
          <w:lang w:val="pl-PL"/>
        </w:rPr>
        <w:t>4</w:t>
      </w:r>
      <w:r w:rsidR="00353317" w:rsidRPr="00353317">
        <w:rPr>
          <w:sz w:val="24"/>
          <w:vertAlign w:val="superscript"/>
          <w:lang w:val="pl-PL"/>
        </w:rPr>
        <w:t xml:space="preserve"> </w:t>
      </w:r>
      <w:r w:rsidR="00353317" w:rsidRPr="00353317">
        <w:rPr>
          <w:sz w:val="24"/>
          <w:vertAlign w:val="superscript"/>
          <w:lang w:val="pl-PL"/>
        </w:rPr>
        <w:tab/>
      </w:r>
      <w:r w:rsidRPr="00353317">
        <w:rPr>
          <w:sz w:val="24"/>
          <w:lang w:val="pl-PL"/>
        </w:rPr>
        <w:t xml:space="preserve">Dz.U. C, C/2026/576, 24.2.2026, ELI: </w:t>
      </w:r>
      <w:hyperlink r:id="rId2" w:history="1">
        <w:r w:rsidRPr="00353317">
          <w:rPr>
            <w:rStyle w:val="Hyperlink"/>
            <w:sz w:val="24"/>
            <w:lang w:val="pl-PL"/>
          </w:rPr>
          <w:t>http://data.europa.eu/eli/C/2026/576/oj</w:t>
        </w:r>
      </w:hyperlink>
      <w:r w:rsidRPr="00353317">
        <w:rPr>
          <w:sz w:val="24"/>
          <w:lang w:val="pl-PL"/>
        </w:rPr>
        <w:t>.</w:t>
      </w:r>
    </w:p>
  </w:footnote>
  <w:footnote w:id="5">
    <w:p w14:paraId="4C4865CE" w14:textId="6C70CBC3" w:rsidR="00FD7B23" w:rsidRPr="00353317" w:rsidRDefault="00FD7B23" w:rsidP="00353317">
      <w:pPr>
        <w:pStyle w:val="FootnoteText"/>
        <w:ind w:left="567" w:hanging="567"/>
        <w:rPr>
          <w:sz w:val="24"/>
          <w:lang w:val="pl-PL"/>
        </w:rPr>
      </w:pPr>
      <w:r w:rsidRPr="00353317">
        <w:rPr>
          <w:sz w:val="24"/>
          <w:vertAlign w:val="superscript"/>
          <w:lang w:val="pl-PL"/>
        </w:rPr>
        <w:t>5</w:t>
      </w:r>
      <w:r w:rsidR="00353317" w:rsidRPr="00353317">
        <w:rPr>
          <w:sz w:val="24"/>
          <w:vertAlign w:val="superscript"/>
          <w:lang w:val="pl-PL"/>
        </w:rPr>
        <w:t xml:space="preserve"> </w:t>
      </w:r>
      <w:r w:rsidR="00353317" w:rsidRPr="00353317">
        <w:rPr>
          <w:sz w:val="24"/>
          <w:vertAlign w:val="superscript"/>
          <w:lang w:val="pl-PL"/>
        </w:rPr>
        <w:tab/>
      </w:r>
      <w:r w:rsidRPr="00353317">
        <w:rPr>
          <w:sz w:val="24"/>
          <w:lang w:val="pl-PL"/>
        </w:rPr>
        <w:t xml:space="preserve">Dz.U. C, C/2024/493, 23.1.2024, ELI: </w:t>
      </w:r>
      <w:hyperlink r:id="rId3" w:tgtFrame="http://data.europa.eu/eli/C/2024/493/oj" w:history="1">
        <w:r w:rsidRPr="00353317">
          <w:rPr>
            <w:rStyle w:val="Hyperlink"/>
            <w:sz w:val="24"/>
            <w:lang w:val="pl-PL"/>
          </w:rPr>
          <w:t>http://data.europa.eu/eli/C/2024/493/oj</w:t>
        </w:r>
      </w:hyperlink>
    </w:p>
  </w:footnote>
  <w:footnote w:id="6">
    <w:p w14:paraId="10766615" w14:textId="1CC555B2" w:rsidR="00FD7B23" w:rsidRPr="00353317" w:rsidRDefault="00FD7B23" w:rsidP="00353317">
      <w:pPr>
        <w:pStyle w:val="FootnoteText"/>
        <w:ind w:left="567" w:hanging="567"/>
        <w:rPr>
          <w:sz w:val="24"/>
          <w:lang w:val="pl-PL"/>
        </w:rPr>
      </w:pPr>
      <w:r w:rsidRPr="00353317">
        <w:rPr>
          <w:sz w:val="24"/>
          <w:vertAlign w:val="superscript"/>
          <w:lang w:val="pl-PL"/>
        </w:rPr>
        <w:t>6</w:t>
      </w:r>
      <w:r w:rsidR="00353317" w:rsidRPr="00353317">
        <w:rPr>
          <w:sz w:val="24"/>
          <w:vertAlign w:val="superscript"/>
          <w:lang w:val="pl-PL"/>
        </w:rPr>
        <w:t xml:space="preserve"> </w:t>
      </w:r>
      <w:r w:rsidR="00353317" w:rsidRPr="00353317">
        <w:rPr>
          <w:sz w:val="24"/>
          <w:vertAlign w:val="superscript"/>
          <w:lang w:val="pl-PL"/>
        </w:rPr>
        <w:tab/>
      </w:r>
      <w:r w:rsidRPr="00353317">
        <w:rPr>
          <w:sz w:val="24"/>
          <w:lang w:val="pl-PL"/>
        </w:rPr>
        <w:t>Dz.U. C, C/2026/1441, 31.3.2026, ELI: </w:t>
      </w:r>
      <w:hyperlink r:id="rId4" w:history="1">
        <w:r w:rsidRPr="00353317">
          <w:rPr>
            <w:rStyle w:val="Hyperlink"/>
            <w:sz w:val="24"/>
            <w:lang w:val="pl-PL"/>
          </w:rPr>
          <w:t>http://data.europa.eu/eli/C/2026/1441/oj</w:t>
        </w:r>
      </w:hyperlink>
      <w:r w:rsidRPr="00353317">
        <w:rPr>
          <w:sz w:val="24"/>
          <w:lang w:val="pl-PL"/>
        </w:rPr>
        <w:t>.</w:t>
      </w:r>
    </w:p>
  </w:footnote>
  <w:footnote w:id="7">
    <w:p w14:paraId="2936E9BB" w14:textId="02F4AC62" w:rsidR="00FD7B23" w:rsidRPr="00353317" w:rsidRDefault="00FD7B23" w:rsidP="00353317">
      <w:pPr>
        <w:pStyle w:val="FootnoteText"/>
        <w:ind w:left="567" w:hanging="567"/>
        <w:rPr>
          <w:sz w:val="24"/>
          <w:lang w:val="pl-PL"/>
        </w:rPr>
      </w:pPr>
      <w:r w:rsidRPr="00353317">
        <w:rPr>
          <w:rStyle w:val="FootnoteReference"/>
          <w:sz w:val="24"/>
          <w:lang w:val="pl-PL"/>
        </w:rPr>
        <w:footnoteRef/>
      </w:r>
      <w:r w:rsidR="00353317" w:rsidRPr="00353317">
        <w:rPr>
          <w:sz w:val="24"/>
          <w:lang w:val="pl-PL"/>
        </w:rPr>
        <w:t xml:space="preserve"> </w:t>
      </w:r>
      <w:r w:rsidR="00353317" w:rsidRPr="00353317">
        <w:rPr>
          <w:sz w:val="24"/>
          <w:lang w:val="pl-PL"/>
        </w:rPr>
        <w:tab/>
      </w:r>
      <w:r w:rsidRPr="00353317">
        <w:rPr>
          <w:sz w:val="24"/>
          <w:lang w:val="pl-PL"/>
        </w:rPr>
        <w:t>Sprawozdanie Europejskiej Agencji Środowiska 07/2024 z 15 października 2024 r. pt. „</w:t>
      </w:r>
      <w:proofErr w:type="spellStart"/>
      <w:r w:rsidRPr="00353317">
        <w:rPr>
          <w:sz w:val="24"/>
          <w:lang w:val="pl-PL"/>
        </w:rPr>
        <w:t>Europe's</w:t>
      </w:r>
      <w:proofErr w:type="spellEnd"/>
      <w:r w:rsidRPr="00353317">
        <w:rPr>
          <w:sz w:val="24"/>
          <w:lang w:val="pl-PL"/>
        </w:rPr>
        <w:t xml:space="preserve"> </w:t>
      </w:r>
      <w:proofErr w:type="spellStart"/>
      <w:r w:rsidRPr="00353317">
        <w:rPr>
          <w:sz w:val="24"/>
          <w:lang w:val="pl-PL"/>
        </w:rPr>
        <w:t>state</w:t>
      </w:r>
      <w:proofErr w:type="spellEnd"/>
      <w:r w:rsidRPr="00353317">
        <w:rPr>
          <w:sz w:val="24"/>
          <w:lang w:val="pl-PL"/>
        </w:rPr>
        <w:t xml:space="preserve"> of </w:t>
      </w:r>
      <w:proofErr w:type="spellStart"/>
      <w:r w:rsidRPr="00353317">
        <w:rPr>
          <w:sz w:val="24"/>
          <w:lang w:val="pl-PL"/>
        </w:rPr>
        <w:t>water</w:t>
      </w:r>
      <w:proofErr w:type="spellEnd"/>
      <w:r w:rsidRPr="00353317">
        <w:rPr>
          <w:sz w:val="24"/>
          <w:lang w:val="pl-PL"/>
        </w:rPr>
        <w:t xml:space="preserve"> 2024: the </w:t>
      </w:r>
      <w:proofErr w:type="spellStart"/>
      <w:r w:rsidRPr="00353317">
        <w:rPr>
          <w:sz w:val="24"/>
          <w:lang w:val="pl-PL"/>
        </w:rPr>
        <w:t>need</w:t>
      </w:r>
      <w:proofErr w:type="spellEnd"/>
      <w:r w:rsidRPr="00353317">
        <w:rPr>
          <w:sz w:val="24"/>
          <w:lang w:val="pl-PL"/>
        </w:rPr>
        <w:t xml:space="preserve"> for </w:t>
      </w:r>
      <w:proofErr w:type="spellStart"/>
      <w:r w:rsidRPr="00353317">
        <w:rPr>
          <w:sz w:val="24"/>
          <w:lang w:val="pl-PL"/>
        </w:rPr>
        <w:t>improved</w:t>
      </w:r>
      <w:proofErr w:type="spellEnd"/>
      <w:r w:rsidRPr="00353317">
        <w:rPr>
          <w:sz w:val="24"/>
          <w:lang w:val="pl-PL"/>
        </w:rPr>
        <w:t xml:space="preserve"> </w:t>
      </w:r>
      <w:proofErr w:type="spellStart"/>
      <w:r w:rsidRPr="00353317">
        <w:rPr>
          <w:sz w:val="24"/>
          <w:lang w:val="pl-PL"/>
        </w:rPr>
        <w:t>water</w:t>
      </w:r>
      <w:proofErr w:type="spellEnd"/>
      <w:r w:rsidRPr="00353317">
        <w:rPr>
          <w:sz w:val="24"/>
          <w:lang w:val="pl-PL"/>
        </w:rPr>
        <w:t xml:space="preserve"> </w:t>
      </w:r>
      <w:proofErr w:type="spellStart"/>
      <w:r w:rsidRPr="00353317">
        <w:rPr>
          <w:sz w:val="24"/>
          <w:lang w:val="pl-PL"/>
        </w:rPr>
        <w:t>resilience</w:t>
      </w:r>
      <w:proofErr w:type="spellEnd"/>
      <w:r w:rsidRPr="00353317">
        <w:rPr>
          <w:sz w:val="24"/>
          <w:lang w:val="pl-PL"/>
        </w:rPr>
        <w:t>” [Stan wody Europy w 2024 r.: potrzeba podniesienia odporności gospodarki wodnej].</w:t>
      </w:r>
    </w:p>
  </w:footnote>
  <w:footnote w:id="8">
    <w:p w14:paraId="3AB163F4" w14:textId="4D057CDD" w:rsidR="00FD7B23" w:rsidRPr="00353317" w:rsidRDefault="00FD7B23" w:rsidP="00353317">
      <w:pPr>
        <w:pStyle w:val="FootnoteText"/>
        <w:ind w:left="567" w:hanging="567"/>
        <w:rPr>
          <w:sz w:val="24"/>
          <w:vertAlign w:val="superscript"/>
          <w:lang w:val="pl-PL"/>
        </w:rPr>
      </w:pPr>
      <w:r w:rsidRPr="00353317">
        <w:rPr>
          <w:rStyle w:val="FootnoteReference"/>
          <w:sz w:val="24"/>
          <w:lang w:val="pl-PL"/>
        </w:rPr>
        <w:footnoteRef/>
      </w:r>
      <w:r w:rsidR="00353317" w:rsidRPr="00353317">
        <w:rPr>
          <w:sz w:val="24"/>
          <w:lang w:val="pl-PL"/>
        </w:rPr>
        <w:t xml:space="preserve"> </w:t>
      </w:r>
      <w:r w:rsidR="00353317" w:rsidRPr="00353317">
        <w:rPr>
          <w:sz w:val="24"/>
          <w:lang w:val="pl-PL"/>
        </w:rPr>
        <w:tab/>
      </w:r>
      <w:r w:rsidRPr="00353317">
        <w:rPr>
          <w:sz w:val="24"/>
          <w:lang w:val="pl-PL"/>
        </w:rPr>
        <w:t xml:space="preserve">Rezolucja Parlamentu Europejskiego z dnia 8 września 2015 r. w sprawie dalszych działań w następstwie europejskiej inicjatywy obywatelskiej </w:t>
      </w:r>
    </w:p>
    <w:p w14:paraId="42546A3F" w14:textId="6694041F" w:rsidR="00FD7B23" w:rsidRPr="00353317" w:rsidRDefault="00353317" w:rsidP="00353317">
      <w:pPr>
        <w:pStyle w:val="FootnoteText"/>
        <w:ind w:left="567" w:hanging="567"/>
        <w:rPr>
          <w:sz w:val="24"/>
          <w:lang w:val="pl-PL"/>
        </w:rPr>
      </w:pPr>
      <w:r w:rsidRPr="00353317">
        <w:rPr>
          <w:sz w:val="24"/>
          <w:lang w:val="pl-PL"/>
        </w:rPr>
        <w:t xml:space="preserve"> </w:t>
      </w:r>
      <w:r w:rsidRPr="00353317">
        <w:rPr>
          <w:sz w:val="24"/>
          <w:lang w:val="pl-PL"/>
        </w:rPr>
        <w:tab/>
      </w:r>
      <w:r w:rsidR="00FD7B23" w:rsidRPr="00353317">
        <w:rPr>
          <w:sz w:val="24"/>
          <w:lang w:val="pl-PL"/>
        </w:rPr>
        <w:t>„Right2Water” (Dz.U. C 316 z 22.9.2017, s. 99).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5D9F39" w14:textId="77777777" w:rsidR="00064002" w:rsidRPr="00353317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560400" w14:textId="77777777" w:rsidR="00064002" w:rsidRPr="00353317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15E88C" w14:textId="77777777" w:rsidR="00064002" w:rsidRPr="00353317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6321346">
    <w:abstractNumId w:val="9"/>
  </w:num>
  <w:num w:numId="2" w16cid:durableId="1691561290">
    <w:abstractNumId w:val="9"/>
  </w:num>
  <w:num w:numId="3" w16cid:durableId="1503668763">
    <w:abstractNumId w:val="7"/>
  </w:num>
  <w:num w:numId="4" w16cid:durableId="89205427">
    <w:abstractNumId w:val="7"/>
  </w:num>
  <w:num w:numId="5" w16cid:durableId="1121068767">
    <w:abstractNumId w:val="6"/>
  </w:num>
  <w:num w:numId="6" w16cid:durableId="601836240">
    <w:abstractNumId w:val="6"/>
  </w:num>
  <w:num w:numId="7" w16cid:durableId="1361860916">
    <w:abstractNumId w:val="5"/>
  </w:num>
  <w:num w:numId="8" w16cid:durableId="271669795">
    <w:abstractNumId w:val="5"/>
  </w:num>
  <w:num w:numId="9" w16cid:durableId="1065451266">
    <w:abstractNumId w:val="4"/>
  </w:num>
  <w:num w:numId="10" w16cid:durableId="1385836862">
    <w:abstractNumId w:val="4"/>
  </w:num>
  <w:num w:numId="11" w16cid:durableId="1829243982">
    <w:abstractNumId w:val="8"/>
  </w:num>
  <w:num w:numId="12" w16cid:durableId="1747218555">
    <w:abstractNumId w:val="8"/>
  </w:num>
  <w:num w:numId="13" w16cid:durableId="2062244522">
    <w:abstractNumId w:val="3"/>
  </w:num>
  <w:num w:numId="14" w16cid:durableId="1214344072">
    <w:abstractNumId w:val="3"/>
  </w:num>
  <w:num w:numId="15" w16cid:durableId="417364745">
    <w:abstractNumId w:val="2"/>
  </w:num>
  <w:num w:numId="16" w16cid:durableId="1730616859">
    <w:abstractNumId w:val="2"/>
  </w:num>
  <w:num w:numId="17" w16cid:durableId="797995715">
    <w:abstractNumId w:val="1"/>
  </w:num>
  <w:num w:numId="18" w16cid:durableId="1847210229">
    <w:abstractNumId w:val="1"/>
  </w:num>
  <w:num w:numId="19" w16cid:durableId="1139761404">
    <w:abstractNumId w:val="0"/>
  </w:num>
  <w:num w:numId="20" w16cid:durableId="63072073">
    <w:abstractNumId w:val="0"/>
  </w:num>
  <w:num w:numId="21" w16cid:durableId="1911428609">
    <w:abstractNumId w:val="9"/>
  </w:num>
  <w:num w:numId="22" w16cid:durableId="1466006121">
    <w:abstractNumId w:val="7"/>
  </w:num>
  <w:num w:numId="23" w16cid:durableId="1133252922">
    <w:abstractNumId w:val="6"/>
  </w:num>
  <w:num w:numId="24" w16cid:durableId="1281961322">
    <w:abstractNumId w:val="5"/>
  </w:num>
  <w:num w:numId="25" w16cid:durableId="2053142810">
    <w:abstractNumId w:val="4"/>
  </w:num>
  <w:num w:numId="26" w16cid:durableId="165563377">
    <w:abstractNumId w:val="8"/>
  </w:num>
  <w:num w:numId="27" w16cid:durableId="1254630751">
    <w:abstractNumId w:val="3"/>
  </w:num>
  <w:num w:numId="28" w16cid:durableId="608512994">
    <w:abstractNumId w:val="2"/>
  </w:num>
  <w:num w:numId="29" w16cid:durableId="2021545823">
    <w:abstractNumId w:val="1"/>
  </w:num>
  <w:num w:numId="30" w16cid:durableId="2031368353">
    <w:abstractNumId w:val="0"/>
  </w:num>
  <w:num w:numId="31" w16cid:durableId="1800873995">
    <w:abstractNumId w:val="9"/>
  </w:num>
  <w:num w:numId="32" w16cid:durableId="1070538191">
    <w:abstractNumId w:val="7"/>
  </w:num>
  <w:num w:numId="33" w16cid:durableId="1818104603">
    <w:abstractNumId w:val="6"/>
  </w:num>
  <w:num w:numId="34" w16cid:durableId="15230566">
    <w:abstractNumId w:val="5"/>
  </w:num>
  <w:num w:numId="35" w16cid:durableId="416484261">
    <w:abstractNumId w:val="4"/>
  </w:num>
  <w:num w:numId="36" w16cid:durableId="785273185">
    <w:abstractNumId w:val="8"/>
  </w:num>
  <w:num w:numId="37" w16cid:durableId="491869801">
    <w:abstractNumId w:val="3"/>
  </w:num>
  <w:num w:numId="38" w16cid:durableId="1328709254">
    <w:abstractNumId w:val="2"/>
  </w:num>
  <w:num w:numId="39" w16cid:durableId="2131822748">
    <w:abstractNumId w:val="1"/>
  </w:num>
  <w:num w:numId="40" w16cid:durableId="1978797262">
    <w:abstractNumId w:val="0"/>
  </w:num>
  <w:num w:numId="41" w16cid:durableId="1260213445">
    <w:abstractNumId w:val="10"/>
  </w:num>
  <w:num w:numId="42" w16cid:durableId="113059140">
    <w:abstractNumId w:val="10"/>
  </w:num>
  <w:num w:numId="43" w16cid:durableId="712584346">
    <w:abstractNumId w:val="10"/>
  </w:num>
  <w:num w:numId="44" w16cid:durableId="124926465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87/2026"/>
    <w:docVar w:name="dvlangue" w:val="PL"/>
    <w:docVar w:name="dvnumam" w:val="0"/>
    <w:docVar w:name="dvpe" w:val="784.194"/>
    <w:docVar w:name="dvrapporteur" w:val="Sprawozdawca: "/>
    <w:docVar w:name="dvtitre" w:val="Rezolucja Parlamentu Europejskiego z dnia  2026 r. w sprawie wdrażania i realizacji celów zrównoważonego rozwoju z myślą o Forum Politycznym Wysokiego Szczebla w 2026 r.(2025/2248(INI))"/>
  </w:docVars>
  <w:rsids>
    <w:rsidRoot w:val="001D449F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D449F"/>
    <w:rsid w:val="001F32AE"/>
    <w:rsid w:val="002767FF"/>
    <w:rsid w:val="002B18FE"/>
    <w:rsid w:val="002B5493"/>
    <w:rsid w:val="00343214"/>
    <w:rsid w:val="00353317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13501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D7B23"/>
    <w:rsid w:val="00FF0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EE08940"/>
  <w15:chartTrackingRefBased/>
  <w15:docId w15:val="{A137622A-57A0-4A94-B20C-71DC5CD3D3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12a">
    <w:name w:val="Normal12a"/>
    <w:basedOn w:val="Normal"/>
    <w:rsid w:val="00FD7B23"/>
    <w:pPr>
      <w:widowControl/>
      <w:spacing w:after="240"/>
    </w:pPr>
    <w:rPr>
      <w:szCs w:val="24"/>
      <w:lang w:eastAsia="en-US"/>
    </w:rPr>
  </w:style>
  <w:style w:type="paragraph" w:customStyle="1" w:styleId="NormalHanging12a">
    <w:name w:val="NormalHanging12a"/>
    <w:basedOn w:val="Normal"/>
    <w:link w:val="NormalHanging12aChar"/>
    <w:rsid w:val="00FD7B23"/>
    <w:pPr>
      <w:widowControl/>
      <w:spacing w:after="240"/>
      <w:ind w:left="566" w:hanging="566"/>
    </w:pPr>
    <w:rPr>
      <w:szCs w:val="24"/>
      <w:lang w:eastAsia="en-US"/>
    </w:rPr>
  </w:style>
  <w:style w:type="paragraph" w:customStyle="1" w:styleId="Normal12">
    <w:name w:val="Normal12"/>
    <w:basedOn w:val="Normal"/>
    <w:rsid w:val="00FD7B23"/>
    <w:pPr>
      <w:widowControl/>
      <w:spacing w:after="240"/>
    </w:pPr>
    <w:rPr>
      <w:szCs w:val="24"/>
      <w:lang w:eastAsia="en-US"/>
    </w:rPr>
  </w:style>
  <w:style w:type="paragraph" w:customStyle="1" w:styleId="NormalHanging">
    <w:name w:val="NormalHanging"/>
    <w:basedOn w:val="Normal"/>
    <w:rsid w:val="00FD7B23"/>
    <w:pPr>
      <w:widowControl/>
      <w:spacing w:after="240"/>
      <w:ind w:left="566" w:hanging="566"/>
    </w:pPr>
    <w:rPr>
      <w:szCs w:val="24"/>
      <w:lang w:eastAsia="en-US"/>
    </w:rPr>
  </w:style>
  <w:style w:type="paragraph" w:customStyle="1" w:styleId="NormalCenter12a">
    <w:name w:val="NormalCenter12a"/>
    <w:basedOn w:val="Normal"/>
    <w:rsid w:val="00FD7B23"/>
    <w:pPr>
      <w:widowControl/>
      <w:spacing w:after="240"/>
      <w:jc w:val="center"/>
    </w:pPr>
    <w:rPr>
      <w:szCs w:val="24"/>
      <w:lang w:eastAsia="en-US"/>
    </w:rPr>
  </w:style>
  <w:style w:type="character" w:styleId="Hyperlink">
    <w:name w:val="Hyperlink"/>
    <w:basedOn w:val="DefaultParagraphFont"/>
    <w:rsid w:val="00FD7B23"/>
    <w:rPr>
      <w:color w:val="0000FF"/>
      <w:u w:val="single"/>
    </w:rPr>
  </w:style>
  <w:style w:type="character" w:customStyle="1" w:styleId="NormalHanging12aChar">
    <w:name w:val="NormalHanging12a Char"/>
    <w:basedOn w:val="DefaultParagraphFont"/>
    <w:link w:val="NormalHanging12a"/>
    <w:rsid w:val="00FD7B23"/>
    <w:rPr>
      <w:sz w:val="24"/>
      <w:szCs w:val="24"/>
      <w:lang w:val="pl-P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C/2024/493/oj" TargetMode="External"/><Relationship Id="rId2" Type="http://schemas.openxmlformats.org/officeDocument/2006/relationships/hyperlink" Target="http://data.europa.eu/eli/C/2026/576/oj" TargetMode="External"/><Relationship Id="rId1" Type="http://schemas.openxmlformats.org/officeDocument/2006/relationships/hyperlink" Target="http://data.europa.eu/eli/dec/2022/591/oj" TargetMode="External"/><Relationship Id="rId4" Type="http://schemas.openxmlformats.org/officeDocument/2006/relationships/hyperlink" Target="http://data.europa.eu/eli/C/2026/1441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20</Pages>
  <Words>8001</Words>
  <Characters>53992</Characters>
  <Application>Microsoft Office Word</Application>
  <DocSecurity>0</DocSecurity>
  <Lines>449</Lines>
  <Paragraphs>123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61870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ZALESKI Tomasz</dc:creator>
  <cp:keywords/>
  <cp:lastModifiedBy>ZALESKI Tomasz</cp:lastModifiedBy>
  <cp:revision>2</cp:revision>
  <cp:lastPrinted>2004-11-19T15:42:00Z</cp:lastPrinted>
  <dcterms:created xsi:type="dcterms:W3CDTF">2026-07-07T15:59:00Z</dcterms:created>
  <dcterms:modified xsi:type="dcterms:W3CDTF">2026-07-07T15:59:00Z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A10-0187/2026</vt:lpwstr>
  </property>
  <property fmtid="{D5CDD505-2E9C-101B-9397-08002B2CF9AE}" pid="4" name="&lt;Type&gt;">
    <vt:lpwstr>RR</vt:lpwstr>
  </property>
</Properties>
</file>