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3AB5" w14:paraId="76D0332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2EA06A" w14:textId="198ED40B" w:rsidR="00751A4A" w:rsidRPr="00813AB5" w:rsidRDefault="006A1F4C" w:rsidP="0010095E">
            <w:pPr>
              <w:pStyle w:val="EPName"/>
            </w:pPr>
            <w:r w:rsidRPr="00813AB5">
              <w:t>Европейски</w:t>
            </w:r>
            <w:r w:rsidR="00D8572D" w:rsidRPr="00813AB5">
              <w:t xml:space="preserve"> парламент</w:t>
            </w:r>
          </w:p>
          <w:p w14:paraId="30CCE62A" w14:textId="7B0658A3" w:rsidR="00751A4A" w:rsidRPr="00813AB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3AB5">
              <w:t>2024</w:t>
            </w:r>
            <w:r w:rsidR="006A1F4C" w:rsidRPr="00813AB5">
              <w:t> – </w:t>
            </w:r>
            <w:r w:rsidR="00817416" w:rsidRPr="00813AB5">
              <w:t>202</w:t>
            </w:r>
            <w:r w:rsidRPr="00813AB5">
              <w:t>9</w:t>
            </w:r>
          </w:p>
        </w:tc>
        <w:tc>
          <w:tcPr>
            <w:tcW w:w="2268" w:type="dxa"/>
            <w:shd w:val="clear" w:color="auto" w:fill="auto"/>
          </w:tcPr>
          <w:p w14:paraId="3FA6A336" w14:textId="77777777" w:rsidR="00751A4A" w:rsidRPr="00813AB5" w:rsidRDefault="00187494" w:rsidP="0010095E">
            <w:pPr>
              <w:pStyle w:val="EPLogo"/>
            </w:pPr>
            <w:r w:rsidRPr="001C07E2">
              <w:rPr>
                <w:lang w:eastAsia="ja-JP"/>
              </w:rPr>
              <w:drawing>
                <wp:inline distT="0" distB="0" distL="0" distR="0" wp14:anchorId="49EFF270" wp14:editId="15349F1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47EFAF" w14:textId="77777777" w:rsidR="00D058B8" w:rsidRPr="00813AB5" w:rsidRDefault="00D058B8" w:rsidP="004C5D52">
      <w:pPr>
        <w:pStyle w:val="LineTop"/>
      </w:pPr>
    </w:p>
    <w:p w14:paraId="5EC2D82D" w14:textId="77777777" w:rsidR="00680577" w:rsidRPr="00813AB5" w:rsidRDefault="00D8572D" w:rsidP="00680577">
      <w:pPr>
        <w:pStyle w:val="EPBodyTA1"/>
      </w:pPr>
      <w:r w:rsidRPr="00813AB5">
        <w:t>ПРИЕТИ ТЕКСТОВЕ</w:t>
      </w:r>
    </w:p>
    <w:p w14:paraId="73EC1AC0" w14:textId="77777777" w:rsidR="00D058B8" w:rsidRPr="00813AB5" w:rsidRDefault="00D058B8" w:rsidP="00D058B8">
      <w:pPr>
        <w:pStyle w:val="LineBottom"/>
      </w:pPr>
    </w:p>
    <w:p w14:paraId="43CB20E0" w14:textId="6088C47F" w:rsidR="00D8572D" w:rsidRPr="00813AB5" w:rsidRDefault="00D8572D" w:rsidP="00D8572D">
      <w:pPr>
        <w:pStyle w:val="ATHeading1"/>
      </w:pPr>
      <w:bookmarkStart w:id="0" w:name="TANumber"/>
      <w:r w:rsidRPr="00813AB5">
        <w:t>P10_TA(2026)0</w:t>
      </w:r>
      <w:r w:rsidR="00813AB5" w:rsidRPr="001C07E2">
        <w:t>251</w:t>
      </w:r>
      <w:bookmarkEnd w:id="0"/>
    </w:p>
    <w:p w14:paraId="6F0A18FF" w14:textId="2A7F0FA5" w:rsidR="00D8572D" w:rsidRPr="00813AB5" w:rsidRDefault="00D8572D" w:rsidP="00813AB5">
      <w:pPr>
        <w:pStyle w:val="ATHeading2"/>
      </w:pPr>
      <w:bookmarkStart w:id="1" w:name="title"/>
      <w:r w:rsidRPr="00813AB5">
        <w:t>Цифрови активи – предизвикателства пред конкурентоспособността и почтеността на финансовата</w:t>
      </w:r>
      <w:r w:rsidR="00813AB5" w:rsidRPr="001C07E2">
        <w:t xml:space="preserve"> </w:t>
      </w:r>
      <w:r w:rsidRPr="00813AB5">
        <w:t xml:space="preserve">система на Европейския съюз </w:t>
      </w:r>
      <w:bookmarkEnd w:id="1"/>
    </w:p>
    <w:p w14:paraId="716DDECD" w14:textId="77777777" w:rsidR="00D8572D" w:rsidRPr="00813AB5" w:rsidRDefault="00D8572D" w:rsidP="00D8572D">
      <w:pPr>
        <w:rPr>
          <w:i/>
          <w:vanish/>
        </w:rPr>
      </w:pPr>
      <w:r w:rsidRPr="00813AB5">
        <w:rPr>
          <w:i/>
        </w:rPr>
        <w:fldChar w:fldCharType="begin"/>
      </w:r>
      <w:r w:rsidRPr="00813AB5">
        <w:rPr>
          <w:i/>
        </w:rPr>
        <w:instrText xml:space="preserve"> TC"(</w:instrText>
      </w:r>
      <w:bookmarkStart w:id="2" w:name="DocNumber"/>
      <w:r w:rsidRPr="00813AB5">
        <w:rPr>
          <w:i/>
        </w:rPr>
        <w:instrText>A10-0186/2026</w:instrText>
      </w:r>
      <w:bookmarkEnd w:id="2"/>
      <w:r w:rsidRPr="00813AB5">
        <w:rPr>
          <w:i/>
        </w:rPr>
        <w:instrText xml:space="preserve"> - Докладчик: Йохан Ван </w:instrText>
      </w:r>
      <w:proofErr w:type="spellStart"/>
      <w:r w:rsidRPr="00813AB5">
        <w:rPr>
          <w:i/>
        </w:rPr>
        <w:instrText>Овертвелд</w:instrText>
      </w:r>
      <w:proofErr w:type="spellEnd"/>
      <w:r w:rsidRPr="00813AB5">
        <w:rPr>
          <w:i/>
        </w:rPr>
        <w:instrText xml:space="preserve">)"\l3 \n&gt; \* MERGEFORMAT </w:instrText>
      </w:r>
      <w:r w:rsidRPr="00813AB5">
        <w:rPr>
          <w:i/>
        </w:rPr>
        <w:fldChar w:fldCharType="end"/>
      </w:r>
    </w:p>
    <w:p w14:paraId="1F095B88" w14:textId="77777777" w:rsidR="00D8572D" w:rsidRPr="00813AB5" w:rsidRDefault="00D8572D" w:rsidP="00D8572D">
      <w:pPr>
        <w:rPr>
          <w:vanish/>
        </w:rPr>
      </w:pPr>
      <w:bookmarkStart w:id="3" w:name="Commission"/>
      <w:r w:rsidRPr="00813AB5">
        <w:rPr>
          <w:vanish/>
        </w:rPr>
        <w:t>Комисия по икономически и парични въпроси</w:t>
      </w:r>
      <w:bookmarkEnd w:id="3"/>
    </w:p>
    <w:p w14:paraId="45092A07" w14:textId="77777777" w:rsidR="00D8572D" w:rsidRPr="00813AB5" w:rsidRDefault="00D8572D" w:rsidP="00D8572D">
      <w:pPr>
        <w:rPr>
          <w:vanish/>
        </w:rPr>
      </w:pPr>
      <w:bookmarkStart w:id="4" w:name="PE"/>
      <w:r w:rsidRPr="00813AB5">
        <w:rPr>
          <w:vanish/>
        </w:rPr>
        <w:t>PE784.381</w:t>
      </w:r>
      <w:bookmarkEnd w:id="4"/>
    </w:p>
    <w:p w14:paraId="0B9E1C2C" w14:textId="307ADFAF" w:rsidR="00D8572D" w:rsidRPr="00813AB5" w:rsidRDefault="00D8572D" w:rsidP="00D8572D">
      <w:pPr>
        <w:pStyle w:val="ATHeading3"/>
      </w:pPr>
      <w:bookmarkStart w:id="5" w:name="Sujet"/>
      <w:r w:rsidRPr="00813AB5">
        <w:t xml:space="preserve">Резолюция на Европейския парламент от </w:t>
      </w:r>
      <w:r w:rsidR="006A1F4C" w:rsidRPr="001C07E2">
        <w:t xml:space="preserve">7 </w:t>
      </w:r>
      <w:r w:rsidR="006A1F4C" w:rsidRPr="00813AB5">
        <w:t>юли</w:t>
      </w:r>
      <w:r w:rsidRPr="00813AB5">
        <w:t xml:space="preserve"> 2026 г. относно цифровите активи – предизвикателства пред конкурентоспособността и почтеността на финансовата система на Европейския съюз</w:t>
      </w:r>
      <w:bookmarkEnd w:id="5"/>
      <w:r w:rsidRPr="00813AB5">
        <w:t xml:space="preserve"> </w:t>
      </w:r>
      <w:bookmarkStart w:id="6" w:name="References"/>
      <w:r w:rsidRPr="00813AB5">
        <w:t>(2025/2208(INI))</w:t>
      </w:r>
      <w:bookmarkEnd w:id="6"/>
    </w:p>
    <w:p w14:paraId="5A265AEC" w14:textId="77777777" w:rsidR="00526633" w:rsidRPr="00813AB5" w:rsidRDefault="00526633" w:rsidP="00526633">
      <w:pPr>
        <w:pStyle w:val="Normal12"/>
      </w:pPr>
      <w:r w:rsidRPr="00813AB5">
        <w:rPr>
          <w:i/>
        </w:rPr>
        <w:t>Европейският парламент</w:t>
      </w:r>
      <w:r w:rsidRPr="00813AB5">
        <w:t>,</w:t>
      </w:r>
    </w:p>
    <w:p w14:paraId="0C7B0108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>като взе предвид прегледа на Европейската централна банка относно финансовата стабилност от ноември 2025 г.,</w:t>
      </w:r>
    </w:p>
    <w:p w14:paraId="65E33598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работен документ № 3199 от 3 март 2026 г. на ЕЦБ, озаглавен </w:t>
      </w:r>
      <w:proofErr w:type="spellStart"/>
      <w:r w:rsidRPr="00813AB5">
        <w:t>Stablecoins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monetary</w:t>
      </w:r>
      <w:proofErr w:type="spellEnd"/>
      <w:r w:rsidRPr="00813AB5">
        <w:t xml:space="preserve"> </w:t>
      </w:r>
      <w:proofErr w:type="spellStart"/>
      <w:r w:rsidRPr="00813AB5">
        <w:t>policy</w:t>
      </w:r>
      <w:proofErr w:type="spellEnd"/>
      <w:r w:rsidRPr="00813AB5">
        <w:t xml:space="preserve"> </w:t>
      </w:r>
      <w:proofErr w:type="spellStart"/>
      <w:r w:rsidRPr="00813AB5">
        <w:t>transmission</w:t>
      </w:r>
      <w:proofErr w:type="spellEnd"/>
      <w:r w:rsidRPr="00813AB5">
        <w:t xml:space="preserve"> (Стабилните криптовалути и провеждането на паричната политика),</w:t>
      </w:r>
    </w:p>
    <w:p w14:paraId="588BF011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>като взе предвид препоръката на Европейския съвет за системен риск (ЕССР) от 25 септември 2025 г. относно схеми за стабилни криптовалути с множество емитенти с участието на емитент от трета държава,</w:t>
      </w:r>
    </w:p>
    <w:p w14:paraId="0B85B2F1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доклада на ЕССР от октомври 2025 г., озаглавен </w:t>
      </w:r>
      <w:proofErr w:type="spellStart"/>
      <w:r w:rsidRPr="00813AB5">
        <w:t>Crypto-assets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decentralised</w:t>
      </w:r>
      <w:proofErr w:type="spellEnd"/>
      <w:r w:rsidRPr="00813AB5">
        <w:t xml:space="preserve"> </w:t>
      </w:r>
      <w:proofErr w:type="spellStart"/>
      <w:r w:rsidRPr="00813AB5">
        <w:t>finance</w:t>
      </w:r>
      <w:proofErr w:type="spellEnd"/>
      <w:r w:rsidRPr="00813AB5">
        <w:t xml:space="preserve"> – </w:t>
      </w:r>
      <w:proofErr w:type="spellStart"/>
      <w:r w:rsidRPr="00813AB5">
        <w:t>Report</w:t>
      </w:r>
      <w:proofErr w:type="spellEnd"/>
      <w:r w:rsidRPr="00813AB5">
        <w:t xml:space="preserve"> </w:t>
      </w:r>
      <w:proofErr w:type="spellStart"/>
      <w:r w:rsidRPr="00813AB5">
        <w:t>on</w:t>
      </w:r>
      <w:proofErr w:type="spellEnd"/>
      <w:r w:rsidRPr="00813AB5">
        <w:t xml:space="preserve"> </w:t>
      </w:r>
      <w:proofErr w:type="spellStart"/>
      <w:r w:rsidRPr="00813AB5">
        <w:t>stablecoins</w:t>
      </w:r>
      <w:proofErr w:type="spellEnd"/>
      <w:r w:rsidRPr="00813AB5">
        <w:t xml:space="preserve">, </w:t>
      </w:r>
      <w:proofErr w:type="spellStart"/>
      <w:r w:rsidRPr="00813AB5">
        <w:t>crypto-investment</w:t>
      </w:r>
      <w:proofErr w:type="spellEnd"/>
      <w:r w:rsidRPr="00813AB5">
        <w:t xml:space="preserve"> </w:t>
      </w:r>
      <w:proofErr w:type="spellStart"/>
      <w:r w:rsidRPr="00813AB5">
        <w:t>products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multi-function</w:t>
      </w:r>
      <w:proofErr w:type="spellEnd"/>
      <w:r w:rsidRPr="00813AB5">
        <w:t xml:space="preserve"> </w:t>
      </w:r>
      <w:proofErr w:type="spellStart"/>
      <w:r w:rsidRPr="00813AB5">
        <w:t>groups</w:t>
      </w:r>
      <w:proofErr w:type="spellEnd"/>
      <w:r w:rsidRPr="00813AB5">
        <w:t xml:space="preserve"> (</w:t>
      </w:r>
      <w:proofErr w:type="spellStart"/>
      <w:r w:rsidRPr="00813AB5">
        <w:t>Криптоактиви</w:t>
      </w:r>
      <w:proofErr w:type="spellEnd"/>
      <w:r w:rsidRPr="00813AB5">
        <w:t xml:space="preserve"> и децентрализирани финанси – Доклад относно стабилните криптовалути, </w:t>
      </w:r>
      <w:proofErr w:type="spellStart"/>
      <w:r w:rsidRPr="00813AB5">
        <w:t>криптоинвестиционните</w:t>
      </w:r>
      <w:proofErr w:type="spellEnd"/>
      <w:r w:rsidRPr="00813AB5">
        <w:t xml:space="preserve"> продукти и многофункционалните групи),</w:t>
      </w:r>
    </w:p>
    <w:p w14:paraId="232E7735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насоките от 19 март 2025 г. на Европейския орган за ценни книжа и пазари (ESMA) относно условията и критериите за определяне на </w:t>
      </w:r>
      <w:proofErr w:type="spellStart"/>
      <w:r w:rsidRPr="00813AB5">
        <w:t>криптоактивите</w:t>
      </w:r>
      <w:proofErr w:type="spellEnd"/>
      <w:r w:rsidRPr="00813AB5">
        <w:t xml:space="preserve"> като финансови инструменти,</w:t>
      </w:r>
    </w:p>
    <w:p w14:paraId="489FF3CF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доклада на Европейския банков орган (ЕБО) от декември 2024 г., озаглавен </w:t>
      </w:r>
      <w:proofErr w:type="spellStart"/>
      <w:r w:rsidRPr="00813AB5">
        <w:t>Report</w:t>
      </w:r>
      <w:proofErr w:type="spellEnd"/>
      <w:r w:rsidRPr="00813AB5">
        <w:t xml:space="preserve"> </w:t>
      </w:r>
      <w:proofErr w:type="spellStart"/>
      <w:r w:rsidRPr="00813AB5">
        <w:t>on</w:t>
      </w:r>
      <w:proofErr w:type="spellEnd"/>
      <w:r w:rsidRPr="00813AB5">
        <w:t xml:space="preserve"> </w:t>
      </w:r>
      <w:proofErr w:type="spellStart"/>
      <w:r w:rsidRPr="00813AB5">
        <w:t>tokenised</w:t>
      </w:r>
      <w:proofErr w:type="spellEnd"/>
      <w:r w:rsidRPr="00813AB5">
        <w:t xml:space="preserve"> </w:t>
      </w:r>
      <w:proofErr w:type="spellStart"/>
      <w:r w:rsidRPr="00813AB5">
        <w:t>deposits</w:t>
      </w:r>
      <w:proofErr w:type="spellEnd"/>
      <w:r w:rsidRPr="00813AB5">
        <w:t xml:space="preserve"> (Доклад относно </w:t>
      </w:r>
      <w:proofErr w:type="spellStart"/>
      <w:r w:rsidRPr="00813AB5">
        <w:t>токенизираните</w:t>
      </w:r>
      <w:proofErr w:type="spellEnd"/>
      <w:r w:rsidRPr="00813AB5">
        <w:t xml:space="preserve"> депозити),</w:t>
      </w:r>
    </w:p>
    <w:p w14:paraId="3B5937F2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доклада на Европейския банков орган (ЕБО) от октомври 2025 г., озаглавен </w:t>
      </w:r>
      <w:proofErr w:type="spellStart"/>
      <w:r w:rsidRPr="00813AB5">
        <w:t>Report</w:t>
      </w:r>
      <w:proofErr w:type="spellEnd"/>
      <w:r w:rsidRPr="00813AB5">
        <w:t xml:space="preserve"> </w:t>
      </w:r>
      <w:proofErr w:type="spellStart"/>
      <w:r w:rsidRPr="00813AB5">
        <w:t>on</w:t>
      </w:r>
      <w:proofErr w:type="spellEnd"/>
      <w:r w:rsidRPr="00813AB5">
        <w:t xml:space="preserve"> </w:t>
      </w:r>
      <w:proofErr w:type="spellStart"/>
      <w:r w:rsidRPr="00813AB5">
        <w:t>tackling</w:t>
      </w:r>
      <w:proofErr w:type="spellEnd"/>
      <w:r w:rsidRPr="00813AB5">
        <w:t xml:space="preserve"> ML/TF </w:t>
      </w:r>
      <w:proofErr w:type="spellStart"/>
      <w:r w:rsidRPr="00813AB5">
        <w:t>risks</w:t>
      </w:r>
      <w:proofErr w:type="spellEnd"/>
      <w:r w:rsidRPr="00813AB5">
        <w:t xml:space="preserve"> </w:t>
      </w:r>
      <w:proofErr w:type="spellStart"/>
      <w:r w:rsidRPr="00813AB5">
        <w:t>in</w:t>
      </w:r>
      <w:proofErr w:type="spellEnd"/>
      <w:r w:rsidRPr="00813AB5">
        <w:t xml:space="preserve"> </w:t>
      </w:r>
      <w:proofErr w:type="spellStart"/>
      <w:r w:rsidRPr="00813AB5">
        <w:t>crypto-asset</w:t>
      </w:r>
      <w:proofErr w:type="spellEnd"/>
      <w:r w:rsidRPr="00813AB5">
        <w:t xml:space="preserve"> </w:t>
      </w:r>
      <w:proofErr w:type="spellStart"/>
      <w:r w:rsidRPr="00813AB5">
        <w:t>services</w:t>
      </w:r>
      <w:proofErr w:type="spellEnd"/>
      <w:r w:rsidRPr="00813AB5">
        <w:t xml:space="preserve"> </w:t>
      </w:r>
      <w:proofErr w:type="spellStart"/>
      <w:r w:rsidRPr="00813AB5">
        <w:t>through</w:t>
      </w:r>
      <w:proofErr w:type="spellEnd"/>
      <w:r w:rsidRPr="00813AB5">
        <w:t xml:space="preserve"> </w:t>
      </w:r>
      <w:proofErr w:type="spellStart"/>
      <w:r w:rsidRPr="00813AB5">
        <w:t>supervision</w:t>
      </w:r>
      <w:proofErr w:type="spellEnd"/>
      <w:r w:rsidRPr="00813AB5">
        <w:t xml:space="preserve"> – </w:t>
      </w:r>
      <w:proofErr w:type="spellStart"/>
      <w:r w:rsidRPr="00813AB5">
        <w:t>Lessons</w:t>
      </w:r>
      <w:proofErr w:type="spellEnd"/>
      <w:r w:rsidRPr="00813AB5">
        <w:t xml:space="preserve"> </w:t>
      </w:r>
      <w:proofErr w:type="spellStart"/>
      <w:r w:rsidRPr="00813AB5">
        <w:t>learned</w:t>
      </w:r>
      <w:proofErr w:type="spellEnd"/>
      <w:r w:rsidRPr="00813AB5">
        <w:t xml:space="preserve"> </w:t>
      </w:r>
      <w:proofErr w:type="spellStart"/>
      <w:r w:rsidRPr="00813AB5">
        <w:t>from</w:t>
      </w:r>
      <w:proofErr w:type="spellEnd"/>
      <w:r w:rsidRPr="00813AB5">
        <w:t xml:space="preserve"> </w:t>
      </w:r>
      <w:proofErr w:type="spellStart"/>
      <w:r w:rsidRPr="00813AB5">
        <w:t>recent</w:t>
      </w:r>
      <w:proofErr w:type="spellEnd"/>
      <w:r w:rsidRPr="00813AB5">
        <w:t xml:space="preserve"> </w:t>
      </w:r>
      <w:proofErr w:type="spellStart"/>
      <w:r w:rsidRPr="00813AB5">
        <w:t>cases</w:t>
      </w:r>
      <w:proofErr w:type="spellEnd"/>
      <w:r w:rsidRPr="00813AB5">
        <w:t xml:space="preserve"> (Доклад относно борбата с рисковете от изпиране на пари и финансиране на тероризма при услугите за </w:t>
      </w:r>
      <w:proofErr w:type="spellStart"/>
      <w:r w:rsidRPr="00813AB5">
        <w:t>криптоактиви</w:t>
      </w:r>
      <w:proofErr w:type="spellEnd"/>
      <w:r w:rsidRPr="00813AB5">
        <w:t xml:space="preserve"> чрез надзор – поуки от неотдавнашни случаи),</w:t>
      </w:r>
    </w:p>
    <w:p w14:paraId="68C42065" w14:textId="77777777" w:rsidR="00526633" w:rsidRPr="00813AB5" w:rsidRDefault="00526633" w:rsidP="00526633">
      <w:pPr>
        <w:pStyle w:val="NormalHanging"/>
      </w:pPr>
      <w:r w:rsidRPr="00813AB5">
        <w:lastRenderedPageBreak/>
        <w:t>–</w:t>
      </w:r>
      <w:r w:rsidRPr="00813AB5">
        <w:tab/>
        <w:t xml:space="preserve">като взе предвид изданието от септември 2025 г. на списанието </w:t>
      </w:r>
      <w:proofErr w:type="spellStart"/>
      <w:r w:rsidRPr="00813AB5">
        <w:t>Finance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Development</w:t>
      </w:r>
      <w:proofErr w:type="spellEnd"/>
      <w:r w:rsidRPr="00813AB5">
        <w:t xml:space="preserve"> на Международния валутен фонд, озаглавено </w:t>
      </w:r>
      <w:proofErr w:type="spellStart"/>
      <w:r w:rsidRPr="00813AB5">
        <w:t>Stablecoins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the</w:t>
      </w:r>
      <w:proofErr w:type="spellEnd"/>
      <w:r w:rsidRPr="00813AB5">
        <w:t xml:space="preserve"> </w:t>
      </w:r>
      <w:proofErr w:type="spellStart"/>
      <w:r w:rsidRPr="00813AB5">
        <w:t>future</w:t>
      </w:r>
      <w:proofErr w:type="spellEnd"/>
      <w:r w:rsidRPr="00813AB5">
        <w:t xml:space="preserve"> </w:t>
      </w:r>
      <w:proofErr w:type="spellStart"/>
      <w:r w:rsidRPr="00813AB5">
        <w:t>of</w:t>
      </w:r>
      <w:proofErr w:type="spellEnd"/>
      <w:r w:rsidRPr="00813AB5">
        <w:t xml:space="preserve"> </w:t>
      </w:r>
      <w:proofErr w:type="spellStart"/>
      <w:r w:rsidRPr="00813AB5">
        <w:t>finance</w:t>
      </w:r>
      <w:proofErr w:type="spellEnd"/>
      <w:r w:rsidRPr="00813AB5">
        <w:t xml:space="preserve"> (Стабилните криптовалути и бъдещето на финансите)</w:t>
      </w:r>
      <w:r w:rsidRPr="00813AB5">
        <w:rPr>
          <w:rStyle w:val="FootnoteReference"/>
        </w:rPr>
        <w:footnoteReference w:customMarkFollows="1" w:id="1"/>
        <w:t>1</w:t>
      </w:r>
      <w:r w:rsidRPr="00813AB5">
        <w:t>,</w:t>
      </w:r>
    </w:p>
    <w:p w14:paraId="471BA898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доклада на Международната организация на комисиите по ценни книжа от ноември 2025 г., озаглавен </w:t>
      </w:r>
      <w:proofErr w:type="spellStart"/>
      <w:r w:rsidRPr="00813AB5">
        <w:t>Tokenization</w:t>
      </w:r>
      <w:proofErr w:type="spellEnd"/>
      <w:r w:rsidRPr="00813AB5">
        <w:t xml:space="preserve"> </w:t>
      </w:r>
      <w:proofErr w:type="spellStart"/>
      <w:r w:rsidRPr="00813AB5">
        <w:t>of</w:t>
      </w:r>
      <w:proofErr w:type="spellEnd"/>
      <w:r w:rsidRPr="00813AB5">
        <w:t xml:space="preserve"> </w:t>
      </w:r>
      <w:proofErr w:type="spellStart"/>
      <w:r w:rsidRPr="00813AB5">
        <w:t>financial</w:t>
      </w:r>
      <w:proofErr w:type="spellEnd"/>
      <w:r w:rsidRPr="00813AB5">
        <w:t xml:space="preserve"> </w:t>
      </w:r>
      <w:proofErr w:type="spellStart"/>
      <w:r w:rsidRPr="00813AB5">
        <w:t>assets</w:t>
      </w:r>
      <w:proofErr w:type="spellEnd"/>
      <w:r w:rsidRPr="00813AB5">
        <w:t xml:space="preserve"> (</w:t>
      </w:r>
      <w:proofErr w:type="spellStart"/>
      <w:r w:rsidRPr="00813AB5">
        <w:t>Токенизация</w:t>
      </w:r>
      <w:proofErr w:type="spellEnd"/>
      <w:r w:rsidRPr="00813AB5">
        <w:t xml:space="preserve"> на финансови активи),</w:t>
      </w:r>
    </w:p>
    <w:p w14:paraId="0B1FAA43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>като взе предвид годишния икономически доклад от юни 2025 г. на Банката за международни разплащания (БМР),</w:t>
      </w:r>
    </w:p>
    <w:p w14:paraId="58D3740D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доклада на Съвета за финансова стабилност (СФС) от 16 октомври 2025 г., озаглавен </w:t>
      </w:r>
      <w:proofErr w:type="spellStart"/>
      <w:r w:rsidRPr="00813AB5">
        <w:t>Thematic</w:t>
      </w:r>
      <w:proofErr w:type="spellEnd"/>
      <w:r w:rsidRPr="00813AB5">
        <w:t xml:space="preserve"> </w:t>
      </w:r>
      <w:proofErr w:type="spellStart"/>
      <w:r w:rsidRPr="00813AB5">
        <w:t>Review</w:t>
      </w:r>
      <w:proofErr w:type="spellEnd"/>
      <w:r w:rsidRPr="00813AB5">
        <w:t xml:space="preserve"> </w:t>
      </w:r>
      <w:proofErr w:type="spellStart"/>
      <w:r w:rsidRPr="00813AB5">
        <w:t>on</w:t>
      </w:r>
      <w:proofErr w:type="spellEnd"/>
      <w:r w:rsidRPr="00813AB5">
        <w:t xml:space="preserve"> FSB </w:t>
      </w:r>
      <w:proofErr w:type="spellStart"/>
      <w:r w:rsidRPr="00813AB5">
        <w:t>Global</w:t>
      </w:r>
      <w:proofErr w:type="spellEnd"/>
      <w:r w:rsidRPr="00813AB5">
        <w:t xml:space="preserve"> </w:t>
      </w:r>
      <w:proofErr w:type="spellStart"/>
      <w:r w:rsidRPr="00813AB5">
        <w:t>Regulatory</w:t>
      </w:r>
      <w:proofErr w:type="spellEnd"/>
      <w:r w:rsidRPr="00813AB5">
        <w:t xml:space="preserve"> Framework </w:t>
      </w:r>
      <w:proofErr w:type="spellStart"/>
      <w:r w:rsidRPr="00813AB5">
        <w:t>for</w:t>
      </w:r>
      <w:proofErr w:type="spellEnd"/>
      <w:r w:rsidRPr="00813AB5">
        <w:t xml:space="preserve"> </w:t>
      </w:r>
      <w:proofErr w:type="spellStart"/>
      <w:r w:rsidRPr="00813AB5">
        <w:t>Crypto-asset</w:t>
      </w:r>
      <w:proofErr w:type="spellEnd"/>
      <w:r w:rsidRPr="00813AB5">
        <w:t xml:space="preserve"> </w:t>
      </w:r>
      <w:proofErr w:type="spellStart"/>
      <w:r w:rsidRPr="00813AB5">
        <w:t>Activities</w:t>
      </w:r>
      <w:proofErr w:type="spellEnd"/>
      <w:r w:rsidRPr="00813AB5">
        <w:t xml:space="preserve"> (Тематичен преглед на глобалната регулаторна рамка на СФС за дейностите с </w:t>
      </w:r>
      <w:proofErr w:type="spellStart"/>
      <w:r w:rsidRPr="00813AB5">
        <w:t>криптоактиви</w:t>
      </w:r>
      <w:proofErr w:type="spellEnd"/>
      <w:r w:rsidRPr="00813AB5">
        <w:t>),</w:t>
      </w:r>
    </w:p>
    <w:p w14:paraId="4317FAE7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доклада за състоянието на СФС от 22 октомври 2024 г., озаглавен G20 </w:t>
      </w:r>
      <w:proofErr w:type="spellStart"/>
      <w:r w:rsidRPr="00813AB5">
        <w:t>crypto-asset</w:t>
      </w:r>
      <w:proofErr w:type="spellEnd"/>
      <w:r w:rsidRPr="00813AB5">
        <w:t xml:space="preserve"> </w:t>
      </w:r>
      <w:proofErr w:type="spellStart"/>
      <w:r w:rsidRPr="00813AB5">
        <w:t>policy</w:t>
      </w:r>
      <w:proofErr w:type="spellEnd"/>
      <w:r w:rsidRPr="00813AB5">
        <w:t xml:space="preserve"> </w:t>
      </w:r>
      <w:proofErr w:type="spellStart"/>
      <w:r w:rsidRPr="00813AB5">
        <w:t>implementation</w:t>
      </w:r>
      <w:proofErr w:type="spellEnd"/>
      <w:r w:rsidRPr="00813AB5">
        <w:t xml:space="preserve"> </w:t>
      </w:r>
      <w:proofErr w:type="spellStart"/>
      <w:r w:rsidRPr="00813AB5">
        <w:t>roadmap</w:t>
      </w:r>
      <w:proofErr w:type="spellEnd"/>
      <w:r w:rsidRPr="00813AB5">
        <w:t xml:space="preserve"> (Пътна карта на Г-20 за прилагане на политиката относно </w:t>
      </w:r>
      <w:proofErr w:type="spellStart"/>
      <w:r w:rsidRPr="00813AB5">
        <w:t>криптоактивите</w:t>
      </w:r>
      <w:proofErr w:type="spellEnd"/>
      <w:r w:rsidRPr="00813AB5">
        <w:t>),</w:t>
      </w:r>
    </w:p>
    <w:p w14:paraId="0A014424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доклада на СФС за състоянието от 22 октомври 2024 г., озаглавен </w:t>
      </w:r>
      <w:proofErr w:type="spellStart"/>
      <w:r w:rsidRPr="00813AB5">
        <w:t>The</w:t>
      </w:r>
      <w:proofErr w:type="spellEnd"/>
      <w:r w:rsidRPr="00813AB5">
        <w:t xml:space="preserve"> </w:t>
      </w:r>
      <w:proofErr w:type="spellStart"/>
      <w:r w:rsidRPr="00813AB5">
        <w:t>financial</w:t>
      </w:r>
      <w:proofErr w:type="spellEnd"/>
      <w:r w:rsidRPr="00813AB5">
        <w:t xml:space="preserve"> </w:t>
      </w:r>
      <w:proofErr w:type="spellStart"/>
      <w:r w:rsidRPr="00813AB5">
        <w:t>stability</w:t>
      </w:r>
      <w:proofErr w:type="spellEnd"/>
      <w:r w:rsidRPr="00813AB5">
        <w:t xml:space="preserve"> </w:t>
      </w:r>
      <w:proofErr w:type="spellStart"/>
      <w:r w:rsidRPr="00813AB5">
        <w:t>implications</w:t>
      </w:r>
      <w:proofErr w:type="spellEnd"/>
      <w:r w:rsidRPr="00813AB5">
        <w:t xml:space="preserve"> </w:t>
      </w:r>
      <w:proofErr w:type="spellStart"/>
      <w:r w:rsidRPr="00813AB5">
        <w:t>of</w:t>
      </w:r>
      <w:proofErr w:type="spellEnd"/>
      <w:r w:rsidRPr="00813AB5">
        <w:t xml:space="preserve"> </w:t>
      </w:r>
      <w:proofErr w:type="spellStart"/>
      <w:r w:rsidRPr="00813AB5">
        <w:t>tokenisation</w:t>
      </w:r>
      <w:proofErr w:type="spellEnd"/>
      <w:r w:rsidRPr="00813AB5">
        <w:t xml:space="preserve"> (Последиците за финансовата стабилност от </w:t>
      </w:r>
      <w:proofErr w:type="spellStart"/>
      <w:r w:rsidRPr="00813AB5">
        <w:t>токенизацията</w:t>
      </w:r>
      <w:proofErr w:type="spellEnd"/>
      <w:r w:rsidRPr="00813AB5">
        <w:t>),</w:t>
      </w:r>
    </w:p>
    <w:p w14:paraId="6D9FD2D8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консултативния документ на Английската централна банка от 10 ноември 2025 г., озаглавен </w:t>
      </w:r>
      <w:proofErr w:type="spellStart"/>
      <w:r w:rsidRPr="00813AB5">
        <w:t>Proposed</w:t>
      </w:r>
      <w:proofErr w:type="spellEnd"/>
      <w:r w:rsidRPr="00813AB5">
        <w:t xml:space="preserve"> </w:t>
      </w:r>
      <w:proofErr w:type="spellStart"/>
      <w:r w:rsidRPr="00813AB5">
        <w:t>regulatory</w:t>
      </w:r>
      <w:proofErr w:type="spellEnd"/>
      <w:r w:rsidRPr="00813AB5">
        <w:t xml:space="preserve"> </w:t>
      </w:r>
      <w:proofErr w:type="spellStart"/>
      <w:r w:rsidRPr="00813AB5">
        <w:t>regime</w:t>
      </w:r>
      <w:proofErr w:type="spellEnd"/>
      <w:r w:rsidRPr="00813AB5">
        <w:t xml:space="preserve"> </w:t>
      </w:r>
      <w:proofErr w:type="spellStart"/>
      <w:r w:rsidRPr="00813AB5">
        <w:t>for</w:t>
      </w:r>
      <w:proofErr w:type="spellEnd"/>
      <w:r w:rsidRPr="00813AB5">
        <w:t xml:space="preserve"> </w:t>
      </w:r>
      <w:proofErr w:type="spellStart"/>
      <w:r w:rsidRPr="00813AB5">
        <w:t>sterling-denominated</w:t>
      </w:r>
      <w:proofErr w:type="spellEnd"/>
      <w:r w:rsidRPr="00813AB5">
        <w:t xml:space="preserve"> </w:t>
      </w:r>
      <w:proofErr w:type="spellStart"/>
      <w:r w:rsidRPr="00813AB5">
        <w:t>systemic</w:t>
      </w:r>
      <w:proofErr w:type="spellEnd"/>
      <w:r w:rsidRPr="00813AB5">
        <w:t xml:space="preserve"> </w:t>
      </w:r>
      <w:proofErr w:type="spellStart"/>
      <w:r w:rsidRPr="00813AB5">
        <w:t>stablecoins</w:t>
      </w:r>
      <w:proofErr w:type="spellEnd"/>
      <w:r w:rsidRPr="00813AB5">
        <w:t xml:space="preserve"> (Предложение за регулаторен режим за системни стабилни криптовалути, деноминирани в британски лири),</w:t>
      </w:r>
    </w:p>
    <w:p w14:paraId="2768AA65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брифинга на Отдела за надзор на икономическото управление и на ИПС от ноември 2025 г., озаглавен </w:t>
      </w:r>
      <w:proofErr w:type="spellStart"/>
      <w:r w:rsidRPr="00813AB5">
        <w:t>Digital</w:t>
      </w:r>
      <w:proofErr w:type="spellEnd"/>
      <w:r w:rsidRPr="00813AB5">
        <w:t xml:space="preserve"> </w:t>
      </w:r>
      <w:proofErr w:type="spellStart"/>
      <w:r w:rsidRPr="00813AB5">
        <w:t>assets</w:t>
      </w:r>
      <w:proofErr w:type="spellEnd"/>
      <w:r w:rsidRPr="00813AB5">
        <w:t xml:space="preserve">: EU </w:t>
      </w:r>
      <w:proofErr w:type="spellStart"/>
      <w:r w:rsidRPr="00813AB5">
        <w:t>regulatory</w:t>
      </w:r>
      <w:proofErr w:type="spellEnd"/>
      <w:r w:rsidRPr="00813AB5">
        <w:t xml:space="preserve"> </w:t>
      </w:r>
      <w:proofErr w:type="spellStart"/>
      <w:r w:rsidRPr="00813AB5">
        <w:t>framework</w:t>
      </w:r>
      <w:proofErr w:type="spellEnd"/>
      <w:r w:rsidRPr="00813AB5">
        <w:t xml:space="preserve">, </w:t>
      </w:r>
      <w:proofErr w:type="spellStart"/>
      <w:r w:rsidRPr="00813AB5">
        <w:t>market</w:t>
      </w:r>
      <w:proofErr w:type="spellEnd"/>
      <w:r w:rsidRPr="00813AB5">
        <w:t xml:space="preserve"> </w:t>
      </w:r>
      <w:proofErr w:type="spellStart"/>
      <w:r w:rsidRPr="00813AB5">
        <w:t>uptake</w:t>
      </w:r>
      <w:proofErr w:type="spellEnd"/>
      <w:r w:rsidRPr="00813AB5">
        <w:t xml:space="preserve">, </w:t>
      </w:r>
      <w:proofErr w:type="spellStart"/>
      <w:r w:rsidRPr="00813AB5">
        <w:t>risks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challenges</w:t>
      </w:r>
      <w:proofErr w:type="spellEnd"/>
      <w:r w:rsidRPr="00813AB5">
        <w:t xml:space="preserve"> (Цифрови активи: Регулаторна рамка на ЕС, навлизане на пазара, рискове и предизвикателства),</w:t>
      </w:r>
    </w:p>
    <w:p w14:paraId="755DBD54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 xml:space="preserve">като взе предвид политическия документ на Организацията за икономическо сътрудничество и развитие (ОИСР) от 9 януари 2025 г., озаглавен </w:t>
      </w:r>
      <w:proofErr w:type="spellStart"/>
      <w:r w:rsidRPr="00813AB5">
        <w:t>Tokenisation</w:t>
      </w:r>
      <w:proofErr w:type="spellEnd"/>
      <w:r w:rsidRPr="00813AB5">
        <w:t xml:space="preserve"> </w:t>
      </w:r>
      <w:proofErr w:type="spellStart"/>
      <w:r w:rsidRPr="00813AB5">
        <w:t>of</w:t>
      </w:r>
      <w:proofErr w:type="spellEnd"/>
      <w:r w:rsidRPr="00813AB5">
        <w:t xml:space="preserve"> </w:t>
      </w:r>
      <w:proofErr w:type="spellStart"/>
      <w:r w:rsidRPr="00813AB5">
        <w:t>assets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distributed</w:t>
      </w:r>
      <w:proofErr w:type="spellEnd"/>
      <w:r w:rsidRPr="00813AB5">
        <w:t xml:space="preserve"> </w:t>
      </w:r>
      <w:proofErr w:type="spellStart"/>
      <w:r w:rsidRPr="00813AB5">
        <w:t>ledger</w:t>
      </w:r>
      <w:proofErr w:type="spellEnd"/>
      <w:r w:rsidRPr="00813AB5">
        <w:t xml:space="preserve"> </w:t>
      </w:r>
      <w:proofErr w:type="spellStart"/>
      <w:r w:rsidRPr="00813AB5">
        <w:t>technologies</w:t>
      </w:r>
      <w:proofErr w:type="spellEnd"/>
      <w:r w:rsidRPr="00813AB5">
        <w:t xml:space="preserve"> </w:t>
      </w:r>
      <w:proofErr w:type="spellStart"/>
      <w:r w:rsidRPr="00813AB5">
        <w:t>in</w:t>
      </w:r>
      <w:proofErr w:type="spellEnd"/>
      <w:r w:rsidRPr="00813AB5">
        <w:t xml:space="preserve"> </w:t>
      </w:r>
      <w:proofErr w:type="spellStart"/>
      <w:r w:rsidRPr="00813AB5">
        <w:t>financial</w:t>
      </w:r>
      <w:proofErr w:type="spellEnd"/>
      <w:r w:rsidRPr="00813AB5">
        <w:t xml:space="preserve"> </w:t>
      </w:r>
      <w:proofErr w:type="spellStart"/>
      <w:r w:rsidRPr="00813AB5">
        <w:t>markets</w:t>
      </w:r>
      <w:proofErr w:type="spellEnd"/>
      <w:r w:rsidRPr="00813AB5">
        <w:t xml:space="preserve"> – </w:t>
      </w:r>
      <w:proofErr w:type="spellStart"/>
      <w:r w:rsidRPr="00813AB5">
        <w:t>Potential</w:t>
      </w:r>
      <w:proofErr w:type="spellEnd"/>
      <w:r w:rsidRPr="00813AB5">
        <w:t xml:space="preserve"> </w:t>
      </w:r>
      <w:proofErr w:type="spellStart"/>
      <w:r w:rsidRPr="00813AB5">
        <w:t>impediments</w:t>
      </w:r>
      <w:proofErr w:type="spellEnd"/>
      <w:r w:rsidRPr="00813AB5">
        <w:t xml:space="preserve"> </w:t>
      </w:r>
      <w:proofErr w:type="spellStart"/>
      <w:r w:rsidRPr="00813AB5">
        <w:t>to</w:t>
      </w:r>
      <w:proofErr w:type="spellEnd"/>
      <w:r w:rsidRPr="00813AB5">
        <w:t xml:space="preserve"> </w:t>
      </w:r>
      <w:proofErr w:type="spellStart"/>
      <w:r w:rsidRPr="00813AB5">
        <w:t>market</w:t>
      </w:r>
      <w:proofErr w:type="spellEnd"/>
      <w:r w:rsidRPr="00813AB5">
        <w:t xml:space="preserve"> </w:t>
      </w:r>
      <w:proofErr w:type="spellStart"/>
      <w:r w:rsidRPr="00813AB5">
        <w:t>development</w:t>
      </w:r>
      <w:proofErr w:type="spellEnd"/>
      <w:r w:rsidRPr="00813AB5">
        <w:t xml:space="preserve"> </w:t>
      </w:r>
      <w:proofErr w:type="spellStart"/>
      <w:r w:rsidRPr="00813AB5">
        <w:t>and</w:t>
      </w:r>
      <w:proofErr w:type="spellEnd"/>
      <w:r w:rsidRPr="00813AB5">
        <w:t xml:space="preserve"> </w:t>
      </w:r>
      <w:proofErr w:type="spellStart"/>
      <w:r w:rsidRPr="00813AB5">
        <w:t>policy</w:t>
      </w:r>
      <w:proofErr w:type="spellEnd"/>
      <w:r w:rsidRPr="00813AB5">
        <w:t xml:space="preserve"> </w:t>
      </w:r>
      <w:proofErr w:type="spellStart"/>
      <w:r w:rsidRPr="00813AB5">
        <w:t>implications</w:t>
      </w:r>
      <w:proofErr w:type="spellEnd"/>
      <w:r w:rsidRPr="00813AB5">
        <w:t xml:space="preserve"> (</w:t>
      </w:r>
      <w:proofErr w:type="spellStart"/>
      <w:r w:rsidRPr="00813AB5">
        <w:t>Токенизация</w:t>
      </w:r>
      <w:proofErr w:type="spellEnd"/>
      <w:r w:rsidRPr="00813AB5">
        <w:t xml:space="preserve"> на активи и технологии на разпределения регистър на финансовите пазари – потенциални пречки пред развитието на пазара и последици за политиката)</w:t>
      </w:r>
      <w:r w:rsidRPr="00813AB5">
        <w:rPr>
          <w:rStyle w:val="FootnoteReference"/>
        </w:rPr>
        <w:footnoteReference w:customMarkFollows="1" w:id="2"/>
        <w:t>2</w:t>
      </w:r>
      <w:r w:rsidRPr="00813AB5">
        <w:t>,</w:t>
      </w:r>
    </w:p>
    <w:p w14:paraId="28353B26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>като взе предвид член 55 от своя Правилник за дейността,</w:t>
      </w:r>
    </w:p>
    <w:p w14:paraId="1D2AEF8F" w14:textId="77777777" w:rsidR="00526633" w:rsidRPr="00813AB5" w:rsidRDefault="00526633" w:rsidP="00526633">
      <w:pPr>
        <w:pStyle w:val="NormalHanging"/>
      </w:pPr>
      <w:r w:rsidRPr="00813AB5">
        <w:t>–</w:t>
      </w:r>
      <w:r w:rsidRPr="00813AB5">
        <w:tab/>
        <w:t>като взе предвид доклада на комисията по икономически и парични въпроси (A10-0186/2026),</w:t>
      </w:r>
    </w:p>
    <w:p w14:paraId="1334F0C2" w14:textId="77777777" w:rsidR="00526633" w:rsidRPr="00813AB5" w:rsidRDefault="00526633" w:rsidP="00526633">
      <w:pPr>
        <w:pStyle w:val="NormalHanging"/>
      </w:pPr>
      <w:r w:rsidRPr="00813AB5">
        <w:lastRenderedPageBreak/>
        <w:t>А.</w:t>
      </w:r>
      <w:r w:rsidRPr="00813AB5">
        <w:tab/>
        <w:t xml:space="preserve">като има предвид, че според проучването на ЕЦБ от ноември 2024 г. относно очакванията на потребителите средно 9,7% от респондентите или някой от тяхното домакинство са притежавали </w:t>
      </w:r>
      <w:proofErr w:type="spellStart"/>
      <w:r w:rsidRPr="00813AB5">
        <w:t>криптоактиви</w:t>
      </w:r>
      <w:proofErr w:type="spellEnd"/>
      <w:r w:rsidRPr="00813AB5">
        <w:t>, като 54% от тях са посочили наличности на стойност под 1000 EUR, а 91% са посочили наличности на стойност под 20 000 EUR;</w:t>
      </w:r>
    </w:p>
    <w:p w14:paraId="7104F19B" w14:textId="77777777" w:rsidR="00526633" w:rsidRPr="00813AB5" w:rsidRDefault="00526633" w:rsidP="00526633">
      <w:pPr>
        <w:pStyle w:val="NormalHanging"/>
      </w:pPr>
      <w:r w:rsidRPr="00813AB5">
        <w:t>Б.</w:t>
      </w:r>
      <w:r w:rsidRPr="00813AB5">
        <w:tab/>
        <w:t xml:space="preserve">като има предвид, че според частни източници на данни общата пазарна капитализация на </w:t>
      </w:r>
      <w:proofErr w:type="spellStart"/>
      <w:r w:rsidRPr="00813AB5">
        <w:t>криптоактивите</w:t>
      </w:r>
      <w:proofErr w:type="spellEnd"/>
      <w:r w:rsidRPr="00813AB5">
        <w:t xml:space="preserve"> в световен мащаб възлиза на 2,03 трилиона евро към 10 февруари 2026 г. с пазарен дял на стабилните криптовалути от 12,9% или 261 милиарда евро; като има предвид, че според работен документ № 3199 на ЕЦБ пазарните очаквания показват стабилен растеж на емитирането на стабилни криптовалути;</w:t>
      </w:r>
    </w:p>
    <w:p w14:paraId="65B5AAD0" w14:textId="77777777" w:rsidR="00526633" w:rsidRPr="00813AB5" w:rsidRDefault="00526633" w:rsidP="00526633">
      <w:pPr>
        <w:pStyle w:val="NormalHanging"/>
      </w:pPr>
      <w:r w:rsidRPr="00813AB5">
        <w:t>В.</w:t>
      </w:r>
      <w:r w:rsidRPr="00813AB5">
        <w:tab/>
        <w:t xml:space="preserve">като има предвид, че </w:t>
      </w:r>
      <w:proofErr w:type="spellStart"/>
      <w:r w:rsidRPr="00813AB5">
        <w:t>токенизираните</w:t>
      </w:r>
      <w:proofErr w:type="spellEnd"/>
      <w:r w:rsidRPr="00813AB5">
        <w:t xml:space="preserve"> активи представляват около 1% от глобалните цифрови активи през февруари 2026 г. – дял, който бързо нараства въз основа на нехармонизирани частни източници на данни;</w:t>
      </w:r>
    </w:p>
    <w:p w14:paraId="0566CFCC" w14:textId="77777777" w:rsidR="00526633" w:rsidRPr="00813AB5" w:rsidRDefault="00526633" w:rsidP="00526633">
      <w:pPr>
        <w:pStyle w:val="NormalHanging"/>
      </w:pPr>
      <w:r w:rsidRPr="00813AB5">
        <w:t>Г.</w:t>
      </w:r>
      <w:r w:rsidRPr="00813AB5">
        <w:tab/>
        <w:t>като има предвид, че частни източници на данни сочат, че през 2025 г. в световен мащаб в областта на криптовалутите са заети над 1,6 милиона лица, от които голяма, но намаляваща част се намират в ЕС;</w:t>
      </w:r>
    </w:p>
    <w:p w14:paraId="543E7D9B" w14:textId="77777777" w:rsidR="00526633" w:rsidRPr="00813AB5" w:rsidRDefault="00526633" w:rsidP="00526633">
      <w:pPr>
        <w:pStyle w:val="NormalHanging"/>
      </w:pPr>
      <w:r w:rsidRPr="00813AB5">
        <w:t>Д.</w:t>
      </w:r>
      <w:r w:rsidRPr="00813AB5">
        <w:tab/>
        <w:t>като има предвид, че в член 2, параграф 1 от Регламент (ЕС) 2022/858</w:t>
      </w:r>
      <w:r w:rsidRPr="00813AB5">
        <w:rPr>
          <w:rStyle w:val="FootnoteReference"/>
        </w:rPr>
        <w:footnoteReference w:customMarkFollows="1" w:id="3"/>
        <w:t>3</w:t>
      </w:r>
      <w:r w:rsidRPr="00813AB5">
        <w:t xml:space="preserve"> относно пилотна уредба на технологията на децентрализирания регистър е дадено определение за „технологията на децентрализирания регистър“ или „ТДР“ като „технология, която позволява функционирането и използването на децентрализирани регистри“; като има предвид, че член 2, параграф 2 дава определение за „децентрализиран регистър“ като „информационно хранилище за съхранение на записи на трансакции, което се споделя между мрежови възли, основани на ТДР, и се синхронизира между тях на базата на механизъм за консенсус“;</w:t>
      </w:r>
    </w:p>
    <w:p w14:paraId="7C657B7F" w14:textId="77777777" w:rsidR="00526633" w:rsidRPr="00813AB5" w:rsidRDefault="00526633" w:rsidP="00526633">
      <w:pPr>
        <w:pStyle w:val="NormalHanging"/>
      </w:pPr>
      <w:r w:rsidRPr="00813AB5">
        <w:t>Е.</w:t>
      </w:r>
      <w:r w:rsidRPr="00813AB5">
        <w:tab/>
        <w:t>като има предвид, че с Регламент (ЕС) 2023/1114 относно пазарите на криптоактиви</w:t>
      </w:r>
      <w:r w:rsidRPr="00813AB5">
        <w:rPr>
          <w:rStyle w:val="FootnoteReference"/>
        </w:rPr>
        <w:footnoteReference w:customMarkFollows="1" w:id="4"/>
        <w:t>4</w:t>
      </w:r>
      <w:r w:rsidRPr="00813AB5">
        <w:t xml:space="preserve"> (</w:t>
      </w:r>
      <w:proofErr w:type="spellStart"/>
      <w:r w:rsidRPr="00813AB5">
        <w:t>MiCAR</w:t>
      </w:r>
      <w:proofErr w:type="spellEnd"/>
      <w:r w:rsidRPr="00813AB5">
        <w:t xml:space="preserve">) се създава хармонизирана рамка в ЕС за </w:t>
      </w:r>
      <w:proofErr w:type="spellStart"/>
      <w:r w:rsidRPr="00813AB5">
        <w:t>криптоактивите</w:t>
      </w:r>
      <w:proofErr w:type="spellEnd"/>
      <w:r w:rsidRPr="00813AB5">
        <w:t xml:space="preserve">, като се прави разграничение между три основни категории, а именно </w:t>
      </w:r>
      <w:proofErr w:type="spellStart"/>
      <w:r w:rsidRPr="00813AB5">
        <w:t>токените</w:t>
      </w:r>
      <w:proofErr w:type="spellEnd"/>
      <w:r w:rsidRPr="00813AB5">
        <w:t xml:space="preserve"> за електронни пари, които се стремят да стабилизират стойността си чрез обвързване с единна официална валута, </w:t>
      </w:r>
      <w:proofErr w:type="spellStart"/>
      <w:r w:rsidRPr="00813AB5">
        <w:t>токените</w:t>
      </w:r>
      <w:proofErr w:type="spellEnd"/>
      <w:r w:rsidRPr="00813AB5">
        <w:t xml:space="preserve">, обезпечени с активи, които имат за цел да поддържат стабилна стойност чрез обвързване с друга стойност или право или комбинация от тях, включително една или повече официални валути, и други </w:t>
      </w:r>
      <w:proofErr w:type="spellStart"/>
      <w:r w:rsidRPr="00813AB5">
        <w:t>криптоактиви</w:t>
      </w:r>
      <w:proofErr w:type="spellEnd"/>
      <w:r w:rsidRPr="00813AB5">
        <w:t xml:space="preserve">, което означава цифрово представяне на стойност или право, които могат да бъдат прехвърляни и съхранявани по електронен път чрез децентрализиран регистър или подобна технология, и които не попадат в другите </w:t>
      </w:r>
      <w:r w:rsidRPr="00813AB5">
        <w:lastRenderedPageBreak/>
        <w:t>категории;</w:t>
      </w:r>
    </w:p>
    <w:p w14:paraId="5C3FAF52" w14:textId="77777777" w:rsidR="00526633" w:rsidRPr="00813AB5" w:rsidRDefault="00526633" w:rsidP="00526633">
      <w:pPr>
        <w:pStyle w:val="NormalHanging"/>
      </w:pPr>
      <w:r w:rsidRPr="00813AB5">
        <w:t>Ж.</w:t>
      </w:r>
      <w:r w:rsidRPr="00813AB5">
        <w:tab/>
        <w:t xml:space="preserve">като има предвид, че </w:t>
      </w:r>
      <w:proofErr w:type="spellStart"/>
      <w:r w:rsidRPr="00813AB5">
        <w:t>MiCAR</w:t>
      </w:r>
      <w:proofErr w:type="spellEnd"/>
      <w:r w:rsidRPr="00813AB5">
        <w:t xml:space="preserve"> изключва от своя обхват, съгласно член 2, параграф 4 от него, </w:t>
      </w:r>
      <w:proofErr w:type="spellStart"/>
      <w:r w:rsidRPr="00813AB5">
        <w:t>криптоактивите</w:t>
      </w:r>
      <w:proofErr w:type="spellEnd"/>
      <w:r w:rsidRPr="00813AB5">
        <w:t xml:space="preserve">, които се класифицират като финансови инструменти, депозити, средства, секюритизации, застрахователни или пенсионни продукти съгласно действащото право на ЕС, като по този начин се гарантира, че тези </w:t>
      </w:r>
      <w:proofErr w:type="spellStart"/>
      <w:r w:rsidRPr="00813AB5">
        <w:t>криптоактиви</w:t>
      </w:r>
      <w:proofErr w:type="spellEnd"/>
      <w:r w:rsidRPr="00813AB5">
        <w:t xml:space="preserve"> продължават да бъдат предмет на съответните специфични за сектора законодателни рамки и отразяват основания на продукта модел за надзор, заложен в правото на ЕС в областта на финансовите услуги;</w:t>
      </w:r>
    </w:p>
    <w:p w14:paraId="1235C41E" w14:textId="77777777" w:rsidR="00526633" w:rsidRPr="00813AB5" w:rsidRDefault="00526633" w:rsidP="00526633">
      <w:pPr>
        <w:pStyle w:val="NormalHanging"/>
      </w:pPr>
      <w:r w:rsidRPr="00813AB5">
        <w:t>З.</w:t>
      </w:r>
      <w:r w:rsidRPr="00813AB5">
        <w:tab/>
        <w:t xml:space="preserve">като има предвид, че новата администрация на САЩ е значително по-отворена към </w:t>
      </w:r>
      <w:proofErr w:type="spellStart"/>
      <w:r w:rsidRPr="00813AB5">
        <w:t>криптоактивите</w:t>
      </w:r>
      <w:proofErr w:type="spellEnd"/>
      <w:r w:rsidRPr="00813AB5">
        <w:t xml:space="preserve">, което доведе до приемането на ключово законодателство и до по-снизходителен подход към правоприлагането от страна на надзорните органи; като има предвид, че регулаторният подход в Съединените щати продължава да бъде в процес на разработване и че създателите на политики и регулаторните органи в САЩ обикновено използват понятието „цифрови активи“, за които обичайно се счита, че обхващат криптографско цифрово представяне на стойност или права, гарантирани в децентрализиран регистър, включително криптовалути, стабилни криптовалути и някои </w:t>
      </w:r>
      <w:proofErr w:type="spellStart"/>
      <w:r w:rsidRPr="00813AB5">
        <w:t>токенизирани</w:t>
      </w:r>
      <w:proofErr w:type="spellEnd"/>
      <w:r w:rsidRPr="00813AB5">
        <w:t xml:space="preserve"> инструменти;</w:t>
      </w:r>
    </w:p>
    <w:p w14:paraId="33B178E2" w14:textId="77777777" w:rsidR="00526633" w:rsidRPr="00813AB5" w:rsidRDefault="00526633" w:rsidP="00526633">
      <w:pPr>
        <w:pStyle w:val="Normal12a"/>
      </w:pPr>
      <w:r w:rsidRPr="00813AB5">
        <w:rPr>
          <w:b/>
          <w:i/>
        </w:rPr>
        <w:t>Обща информация</w:t>
      </w:r>
    </w:p>
    <w:p w14:paraId="3A77429B" w14:textId="77777777" w:rsidR="00526633" w:rsidRPr="00813AB5" w:rsidRDefault="00526633" w:rsidP="00526633">
      <w:pPr>
        <w:pStyle w:val="NormalHanging12a"/>
      </w:pPr>
      <w:r w:rsidRPr="00813AB5">
        <w:t>1.</w:t>
      </w:r>
      <w:r w:rsidRPr="00813AB5">
        <w:tab/>
        <w:t>подкрепя дългосрочната цел за системен, основан на дейности и технологично неутрален подход за регулаторната рамка на ЕС за финансовите услуги;</w:t>
      </w:r>
    </w:p>
    <w:p w14:paraId="0C42F93F" w14:textId="77777777" w:rsidR="00526633" w:rsidRPr="00813AB5" w:rsidRDefault="00526633" w:rsidP="00526633">
      <w:pPr>
        <w:pStyle w:val="NormalHanging12a"/>
      </w:pPr>
      <w:r w:rsidRPr="00813AB5">
        <w:t>2.</w:t>
      </w:r>
      <w:r w:rsidRPr="00813AB5">
        <w:tab/>
        <w:t xml:space="preserve">подчертава, че технологиите на децентрализирания регистър и </w:t>
      </w:r>
      <w:proofErr w:type="spellStart"/>
      <w:r w:rsidRPr="00813AB5">
        <w:t>токенизацията</w:t>
      </w:r>
      <w:proofErr w:type="spellEnd"/>
      <w:r w:rsidRPr="00813AB5">
        <w:t xml:space="preserve"> на активи имат потенциала да подкрепят целите на съюза на спестяванията и инвестициите като улесняват трансграничните инвестиции, намаляват разпокъсаността на пазара и създават условия за по-ефективна и приобщаваща инфраструктура на капиталовите пазари в целия Съюз; подчертава решаващата роля на оперативната съвместимост;</w:t>
      </w:r>
    </w:p>
    <w:p w14:paraId="00609D90" w14:textId="77777777" w:rsidR="00526633" w:rsidRPr="00813AB5" w:rsidRDefault="00526633" w:rsidP="00526633">
      <w:pPr>
        <w:pStyle w:val="NormalHanging12a"/>
      </w:pPr>
      <w:r w:rsidRPr="00813AB5">
        <w:t>3.</w:t>
      </w:r>
      <w:r w:rsidRPr="00813AB5">
        <w:tab/>
        <w:t xml:space="preserve">подчертава, че появата на нови технологии в сферата на финансите поставя нови предизвикателства пред регулаторната и надзорната рамка; отбелязва разнообразието от цифрови активи и признава, че има разлика между отделните категории от гледна точка на свързаните с тях рискове и бизнес потенциал; потвърждава ангажимента си за целенасочено преразглеждане на регулаторните рамки на Съюза с цел в ЕС да се разработят стабилни капиталови пазари и инфраструктури за плащания, базирани на цифрови активи; настоятелно призовава Комисията да направи оценка на необходимостта и осъществимостта на регулирането на предоставянето и получаването на заеми в </w:t>
      </w:r>
      <w:proofErr w:type="spellStart"/>
      <w:r w:rsidRPr="00813AB5">
        <w:t>криптоактиви</w:t>
      </w:r>
      <w:proofErr w:type="spellEnd"/>
      <w:r w:rsidRPr="00813AB5">
        <w:t xml:space="preserve">, включително залагане, </w:t>
      </w:r>
      <w:proofErr w:type="spellStart"/>
      <w:r w:rsidRPr="00813AB5">
        <w:t>незаменяеми</w:t>
      </w:r>
      <w:proofErr w:type="spellEnd"/>
      <w:r w:rsidRPr="00813AB5">
        <w:t xml:space="preserve"> </w:t>
      </w:r>
      <w:proofErr w:type="spellStart"/>
      <w:r w:rsidRPr="00813AB5">
        <w:t>токени</w:t>
      </w:r>
      <w:proofErr w:type="spellEnd"/>
      <w:r w:rsidRPr="00813AB5">
        <w:t xml:space="preserve"> и децентрализирано финансиране, съобразно с разпоредбите на </w:t>
      </w:r>
      <w:proofErr w:type="spellStart"/>
      <w:r w:rsidRPr="00813AB5">
        <w:t>MiCAR</w:t>
      </w:r>
      <w:proofErr w:type="spellEnd"/>
      <w:r w:rsidRPr="00813AB5">
        <w:t>;</w:t>
      </w:r>
    </w:p>
    <w:p w14:paraId="15894F38" w14:textId="77777777" w:rsidR="00526633" w:rsidRPr="00813AB5" w:rsidRDefault="00526633" w:rsidP="00526633">
      <w:pPr>
        <w:pStyle w:val="NormalHanging12a"/>
      </w:pPr>
      <w:r w:rsidRPr="00813AB5">
        <w:t>4.</w:t>
      </w:r>
      <w:r w:rsidRPr="00813AB5">
        <w:tab/>
        <w:t xml:space="preserve">подчертава потенциалния капацитет за иновации и свързаност на криптографски защитените разпределени регистри и подобни технологии за инфраструктурата на финансовите услуги както на територията на Съюза, така и за ролята на ЕС в световен мащаб; подчертава, че предвидимата и благоприятстваща иновациите регулаторна среда е от съществено значение, за да се гарантира, че инвестициите и технологичното развитие остават в рамките на ЕС и за да се благоприятства </w:t>
      </w:r>
      <w:r w:rsidRPr="00813AB5">
        <w:lastRenderedPageBreak/>
        <w:t>конкурентоспособност и доверие в деноминираната в евро финансова инфраструктура;</w:t>
      </w:r>
    </w:p>
    <w:p w14:paraId="4FB0C9C5" w14:textId="77777777" w:rsidR="00526633" w:rsidRPr="00813AB5" w:rsidRDefault="00526633" w:rsidP="00526633">
      <w:pPr>
        <w:pStyle w:val="Normal12a"/>
      </w:pPr>
      <w:proofErr w:type="spellStart"/>
      <w:r w:rsidRPr="00813AB5">
        <w:rPr>
          <w:b/>
          <w:i/>
        </w:rPr>
        <w:t>Криптоактиви</w:t>
      </w:r>
      <w:proofErr w:type="spellEnd"/>
    </w:p>
    <w:p w14:paraId="4C397C23" w14:textId="77777777" w:rsidR="00526633" w:rsidRPr="00813AB5" w:rsidRDefault="00526633" w:rsidP="00526633">
      <w:pPr>
        <w:pStyle w:val="NormalHanging12a"/>
      </w:pPr>
      <w:r w:rsidRPr="00813AB5">
        <w:t>5.</w:t>
      </w:r>
      <w:r w:rsidRPr="00813AB5">
        <w:tab/>
        <w:t xml:space="preserve">признава, че ЕС беше сред първите юрисдикции, които приеха и приложиха специален режим за </w:t>
      </w:r>
      <w:proofErr w:type="spellStart"/>
      <w:r w:rsidRPr="00813AB5">
        <w:t>криптоактивите</w:t>
      </w:r>
      <w:proofErr w:type="spellEnd"/>
      <w:r w:rsidRPr="00813AB5">
        <w:t xml:space="preserve"> с регламента относно пазарите на </w:t>
      </w:r>
      <w:proofErr w:type="spellStart"/>
      <w:r w:rsidRPr="00813AB5">
        <w:t>криптоактиви</w:t>
      </w:r>
      <w:proofErr w:type="spellEnd"/>
      <w:r w:rsidRPr="00813AB5">
        <w:t xml:space="preserve"> (</w:t>
      </w:r>
      <w:proofErr w:type="spellStart"/>
      <w:r w:rsidRPr="00813AB5">
        <w:t>MiCAR</w:t>
      </w:r>
      <w:proofErr w:type="spellEnd"/>
      <w:r w:rsidRPr="00813AB5">
        <w:t xml:space="preserve">) и които приложиха технологията на децентрализирания регистър (ТДР) във финансовия сектор; призовава Комисията да гарантира ефективното прилагане на </w:t>
      </w:r>
      <w:proofErr w:type="spellStart"/>
      <w:r w:rsidRPr="00813AB5">
        <w:t>MiCAR</w:t>
      </w:r>
      <w:proofErr w:type="spellEnd"/>
      <w:r w:rsidRPr="00813AB5">
        <w:t xml:space="preserve"> в тясно сътрудничество с ЕБО, Европейския орган за ценни книжа и пазари (ESMA), Органа за борба с изпирането на пари и финансирането на тероризма (ОБИП) и националните компетентни органи; призовава държавите членки да се въздържат от въвеждането на допълнителни изисквания и задължения извън рамките на </w:t>
      </w:r>
      <w:proofErr w:type="spellStart"/>
      <w:r w:rsidRPr="00813AB5">
        <w:t>MiCAR</w:t>
      </w:r>
      <w:proofErr w:type="spellEnd"/>
      <w:r w:rsidRPr="00813AB5">
        <w:t xml:space="preserve"> или Регламента относно преводите на средства</w:t>
      </w:r>
      <w:r w:rsidRPr="00813AB5">
        <w:rPr>
          <w:rStyle w:val="FootnoteReference"/>
        </w:rPr>
        <w:footnoteReference w:customMarkFollows="1" w:id="5"/>
        <w:t>5</w:t>
      </w:r>
      <w:r w:rsidRPr="00813AB5">
        <w:t>;</w:t>
      </w:r>
    </w:p>
    <w:p w14:paraId="545C3A82" w14:textId="77777777" w:rsidR="00526633" w:rsidRPr="00813AB5" w:rsidRDefault="00526633" w:rsidP="00526633">
      <w:pPr>
        <w:pStyle w:val="NormalHanging12a"/>
      </w:pPr>
      <w:r w:rsidRPr="00813AB5">
        <w:t>6.</w:t>
      </w:r>
      <w:r w:rsidRPr="00813AB5">
        <w:tab/>
        <w:t xml:space="preserve">подчертава значението на укрепването на капацитета в областта на данните, по-специално по отношение на ливъриджа в сектора на </w:t>
      </w:r>
      <w:proofErr w:type="spellStart"/>
      <w:r w:rsidRPr="00813AB5">
        <w:t>криптоактивите</w:t>
      </w:r>
      <w:proofErr w:type="spellEnd"/>
      <w:r w:rsidRPr="00813AB5">
        <w:t xml:space="preserve"> и взаимовръзките със сектора на небанковите финансови институции; настоятелно призовава Комисията да продължи да наблюдава взаимосвързаността на </w:t>
      </w:r>
      <w:proofErr w:type="spellStart"/>
      <w:r w:rsidRPr="00813AB5">
        <w:t>криптоактивите</w:t>
      </w:r>
      <w:proofErr w:type="spellEnd"/>
      <w:r w:rsidRPr="00813AB5">
        <w:t xml:space="preserve"> с финансовата система; отбелязва, че необезпечените </w:t>
      </w:r>
      <w:proofErr w:type="spellStart"/>
      <w:r w:rsidRPr="00813AB5">
        <w:t>криптоактиви</w:t>
      </w:r>
      <w:proofErr w:type="spellEnd"/>
      <w:r w:rsidRPr="00813AB5">
        <w:t xml:space="preserve"> могат да бъдат податливи на допълнителни рискове и нестабилност;</w:t>
      </w:r>
    </w:p>
    <w:p w14:paraId="713D675D" w14:textId="77777777" w:rsidR="00526633" w:rsidRPr="00813AB5" w:rsidRDefault="00526633" w:rsidP="00526633">
      <w:pPr>
        <w:pStyle w:val="NormalHanging12a"/>
      </w:pPr>
      <w:r w:rsidRPr="00813AB5">
        <w:t>7.</w:t>
      </w:r>
      <w:r w:rsidRPr="00813AB5">
        <w:tab/>
        <w:t xml:space="preserve">призовава ЕБО, Европейския орган за ценни книжа и пазари, Органа за борба с изпирането на пари и финансирането на тероризма, Европейския орган за застраховане и професионално пенсионно осигуряване, националните компетентни органи, ЕЦБ и Европейския съвет за системен риск (ЕССР) да засилят надзорния диалог относно значимите многофункционални групи; подчертава необходимостта политическата рамка на </w:t>
      </w:r>
      <w:proofErr w:type="spellStart"/>
      <w:r w:rsidRPr="00813AB5">
        <w:t>MiCAR</w:t>
      </w:r>
      <w:proofErr w:type="spellEnd"/>
      <w:r w:rsidRPr="00813AB5">
        <w:t xml:space="preserve"> да бъде приведена в съответствие с оглед на значителните небанкови многофункционални групи;</w:t>
      </w:r>
    </w:p>
    <w:p w14:paraId="5BB34854" w14:textId="77777777" w:rsidR="00526633" w:rsidRPr="00813AB5" w:rsidRDefault="00526633" w:rsidP="00526633">
      <w:pPr>
        <w:pStyle w:val="NormalHanging12a"/>
      </w:pPr>
      <w:r w:rsidRPr="00813AB5">
        <w:t>8.</w:t>
      </w:r>
      <w:r w:rsidRPr="00813AB5">
        <w:tab/>
        <w:t>потвърждава, че технологиите на децентрализирания регистър въвеждат нови технологични и оперативни съображения за финансовите надзорни органи, включително въпроси, свързани със сигурността на интелигентните договори, управлението на децентрализираните мрежи, киберустойчивостта и управлението на оперативния риск; призовава надзорните органи да развият достатъчен експертен опит в техническо отношение, за да разбират и наблюдават ефективно тези нововъзникващи пазарни инфраструктури;</w:t>
      </w:r>
    </w:p>
    <w:p w14:paraId="07EAADF0" w14:textId="77777777" w:rsidR="00526633" w:rsidRPr="00813AB5" w:rsidRDefault="00526633" w:rsidP="00526633">
      <w:pPr>
        <w:pStyle w:val="NormalHanging12a"/>
      </w:pPr>
      <w:r w:rsidRPr="00813AB5">
        <w:t>9.</w:t>
      </w:r>
      <w:r w:rsidRPr="00813AB5">
        <w:tab/>
        <w:t xml:space="preserve">изразява загриженост относно ролята, която </w:t>
      </w:r>
      <w:proofErr w:type="spellStart"/>
      <w:r w:rsidRPr="00813AB5">
        <w:t>криптоактивите</w:t>
      </w:r>
      <w:proofErr w:type="spellEnd"/>
      <w:r w:rsidRPr="00813AB5">
        <w:t xml:space="preserve"> играят за избягването на разпоредбите и санкциите, насочени към борба с изпирането на пари и финансирането на тероризма; подчертава, че е важно да се засилят надзорните инструменти, стандартите за правоприлагане и съответствие с цел справяне с рисковете, свързани с борбата с изпирането на пари и финансирането на тероризма, включително ефективни стандарти „познавай клиента си“ и </w:t>
      </w:r>
      <w:r w:rsidRPr="00813AB5">
        <w:lastRenderedPageBreak/>
        <w:t xml:space="preserve">наблюдение на плащанията; подчертава, че е важно разследващите органи да използват технологията, стояща зад </w:t>
      </w:r>
      <w:proofErr w:type="spellStart"/>
      <w:r w:rsidRPr="00813AB5">
        <w:t>криптоактивите</w:t>
      </w:r>
      <w:proofErr w:type="spellEnd"/>
      <w:r w:rsidRPr="00813AB5">
        <w:t xml:space="preserve">, за да възпират престъпленията с </w:t>
      </w:r>
      <w:proofErr w:type="spellStart"/>
      <w:r w:rsidRPr="00813AB5">
        <w:t>криптоактиви</w:t>
      </w:r>
      <w:proofErr w:type="spellEnd"/>
      <w:r w:rsidRPr="00813AB5">
        <w:t>, и да си сътрудничат помежду си за блокиране на открити или докладвани незаконни трансакции;</w:t>
      </w:r>
    </w:p>
    <w:p w14:paraId="511F877C" w14:textId="77777777" w:rsidR="00526633" w:rsidRPr="00813AB5" w:rsidRDefault="00526633" w:rsidP="00526633">
      <w:pPr>
        <w:pStyle w:val="NormalHanging12a"/>
      </w:pPr>
      <w:r w:rsidRPr="00813AB5">
        <w:t>10.</w:t>
      </w:r>
      <w:r w:rsidRPr="00813AB5">
        <w:tab/>
      </w:r>
      <w:proofErr w:type="spellStart"/>
      <w:r w:rsidRPr="00813AB5">
        <w:t>oтбелязва</w:t>
      </w:r>
      <w:proofErr w:type="spellEnd"/>
      <w:r w:rsidRPr="00813AB5">
        <w:t xml:space="preserve">, че появата на хибридни продукти, съчетаващи характеристики на </w:t>
      </w:r>
      <w:proofErr w:type="spellStart"/>
      <w:r w:rsidRPr="00813AB5">
        <w:t>криптоактиви</w:t>
      </w:r>
      <w:proofErr w:type="spellEnd"/>
      <w:r w:rsidRPr="00813AB5">
        <w:t xml:space="preserve"> и традиционни финансови инструменти, може да създаде правна несигурност;</w:t>
      </w:r>
    </w:p>
    <w:p w14:paraId="419D7BD6" w14:textId="77777777" w:rsidR="00526633" w:rsidRPr="00813AB5" w:rsidRDefault="00526633" w:rsidP="00526633">
      <w:pPr>
        <w:pStyle w:val="Normal12a"/>
      </w:pPr>
      <w:proofErr w:type="spellStart"/>
      <w:r w:rsidRPr="00813AB5">
        <w:rPr>
          <w:b/>
          <w:i/>
        </w:rPr>
        <w:t>Токенизация</w:t>
      </w:r>
      <w:proofErr w:type="spellEnd"/>
      <w:r w:rsidRPr="00813AB5">
        <w:rPr>
          <w:b/>
          <w:i/>
        </w:rPr>
        <w:t xml:space="preserve"> на финансови инструменти</w:t>
      </w:r>
    </w:p>
    <w:p w14:paraId="51A487C6" w14:textId="77777777" w:rsidR="00526633" w:rsidRPr="00813AB5" w:rsidRDefault="00526633" w:rsidP="00526633">
      <w:pPr>
        <w:pStyle w:val="NormalHanging12a"/>
      </w:pPr>
      <w:r w:rsidRPr="00813AB5">
        <w:t>11.</w:t>
      </w:r>
      <w:r w:rsidRPr="00813AB5">
        <w:tab/>
        <w:t>отбелязва, че в съображение 3 от Регламент (ЕС) 2022/858 „</w:t>
      </w:r>
      <w:proofErr w:type="spellStart"/>
      <w:r w:rsidRPr="00813AB5">
        <w:t>токенизацията</w:t>
      </w:r>
      <w:proofErr w:type="spellEnd"/>
      <w:r w:rsidRPr="00813AB5">
        <w:t xml:space="preserve">“ на финансови инструменти е определена като цифровото представяне на финансови инструменти в децентрализирани регистри или емитирането на традиционни класове активи под формата на </w:t>
      </w:r>
      <w:proofErr w:type="spellStart"/>
      <w:r w:rsidRPr="00813AB5">
        <w:t>токени</w:t>
      </w:r>
      <w:proofErr w:type="spellEnd"/>
      <w:r w:rsidRPr="00813AB5">
        <w:t>, за да се даде възможност те да бъдат емитирани, съхранявани и прехвърляни в децентрализиран регистър;</w:t>
      </w:r>
    </w:p>
    <w:p w14:paraId="2FF99843" w14:textId="77777777" w:rsidR="00526633" w:rsidRPr="00813AB5" w:rsidRDefault="00526633" w:rsidP="00526633">
      <w:pPr>
        <w:pStyle w:val="NormalHanging12a"/>
      </w:pPr>
      <w:r w:rsidRPr="00813AB5">
        <w:t>12.</w:t>
      </w:r>
      <w:r w:rsidRPr="00813AB5">
        <w:tab/>
        <w:t xml:space="preserve">подчертава, че </w:t>
      </w:r>
      <w:proofErr w:type="spellStart"/>
      <w:r w:rsidRPr="00813AB5">
        <w:t>токенизацията</w:t>
      </w:r>
      <w:proofErr w:type="spellEnd"/>
      <w:r w:rsidRPr="00813AB5">
        <w:t xml:space="preserve"> на финансови активи сама по себе си не променя правното естество или основните икономически характеристики на тези активи; подчертава, че </w:t>
      </w:r>
      <w:proofErr w:type="spellStart"/>
      <w:r w:rsidRPr="00813AB5">
        <w:t>токенизираните</w:t>
      </w:r>
      <w:proofErr w:type="spellEnd"/>
      <w:r w:rsidRPr="00813AB5">
        <w:t xml:space="preserve"> финансови инструменти трябва да предоставят права, равностойни на правата, свързани с традиционните ценни книжа, за да се предотврати регулаторният арбитраж и да се гарантира защитата на инвеститорите;</w:t>
      </w:r>
    </w:p>
    <w:p w14:paraId="15531A4F" w14:textId="77777777" w:rsidR="00526633" w:rsidRPr="00813AB5" w:rsidRDefault="00526633" w:rsidP="00526633">
      <w:pPr>
        <w:pStyle w:val="NormalHanging12a"/>
      </w:pPr>
      <w:r w:rsidRPr="00813AB5">
        <w:t>13.</w:t>
      </w:r>
      <w:r w:rsidRPr="00813AB5">
        <w:tab/>
        <w:t xml:space="preserve">приветства потенциалните ползи от </w:t>
      </w:r>
      <w:proofErr w:type="spellStart"/>
      <w:r w:rsidRPr="00813AB5">
        <w:t>токенизацията</w:t>
      </w:r>
      <w:proofErr w:type="spellEnd"/>
      <w:r w:rsidRPr="00813AB5">
        <w:t xml:space="preserve"> за търговията с финансови активи, например повишената ефикасност и прозрачност, намаления риск от контрагента и оперативни разходи, интелигентните договори и подобрената ликвидност чрез частична собственост, като същевременно отбелязва, че следва да се наблюдават и уязвимите характеристики на </w:t>
      </w:r>
      <w:proofErr w:type="spellStart"/>
      <w:r w:rsidRPr="00813AB5">
        <w:t>токенизацията</w:t>
      </w:r>
      <w:proofErr w:type="spellEnd"/>
      <w:r w:rsidRPr="00813AB5">
        <w:t>;</w:t>
      </w:r>
    </w:p>
    <w:p w14:paraId="3025059E" w14:textId="77777777" w:rsidR="00526633" w:rsidRPr="00813AB5" w:rsidRDefault="00526633" w:rsidP="00526633">
      <w:pPr>
        <w:pStyle w:val="NormalHanging12a"/>
      </w:pPr>
      <w:r w:rsidRPr="00813AB5">
        <w:t>14.</w:t>
      </w:r>
      <w:r w:rsidRPr="00813AB5">
        <w:tab/>
        <w:t xml:space="preserve">призовава настоятелно Комисията да улесни и насърчи </w:t>
      </w:r>
      <w:proofErr w:type="spellStart"/>
      <w:r w:rsidRPr="00813AB5">
        <w:t>токенизацията</w:t>
      </w:r>
      <w:proofErr w:type="spellEnd"/>
      <w:r w:rsidRPr="00813AB5">
        <w:t xml:space="preserve"> на финансовите услуги, като настоява за оперативна съвместимост и предотвратяване на разпокъсаността чрез поддържане на стандарти в целия единен пазар и осигуряване на инфраструктура;</w:t>
      </w:r>
    </w:p>
    <w:p w14:paraId="17554BBA" w14:textId="77777777" w:rsidR="00526633" w:rsidRPr="00813AB5" w:rsidRDefault="00526633" w:rsidP="00526633">
      <w:pPr>
        <w:pStyle w:val="NormalHanging12a"/>
      </w:pPr>
      <w:r w:rsidRPr="00813AB5">
        <w:t>15.</w:t>
      </w:r>
      <w:r w:rsidRPr="00813AB5">
        <w:tab/>
        <w:t xml:space="preserve">признава усилията на ЕЦБ за предоставяне на решения, включително инфраструктура, предлагаща възможност за цифрова валута на централната банка за плащания на едро (ЦВЦБ), която позволява сетълментът на паричните средства и активите да се извършва в споделен регистър, в допълнение към </w:t>
      </w:r>
      <w:proofErr w:type="spellStart"/>
      <w:r w:rsidRPr="00813AB5">
        <w:t>токенизираните</w:t>
      </w:r>
      <w:proofErr w:type="spellEnd"/>
      <w:r w:rsidRPr="00813AB5">
        <w:t xml:space="preserve"> депозити в търговски банки и стабилните криптовалути;</w:t>
      </w:r>
    </w:p>
    <w:p w14:paraId="3E46E36E" w14:textId="77777777" w:rsidR="00526633" w:rsidRPr="00813AB5" w:rsidRDefault="00526633" w:rsidP="00526633">
      <w:pPr>
        <w:pStyle w:val="NormalHanging12a"/>
      </w:pPr>
      <w:r w:rsidRPr="00813AB5">
        <w:t>16.</w:t>
      </w:r>
      <w:r w:rsidRPr="00813AB5">
        <w:tab/>
        <w:t xml:space="preserve">подчертава потенциала за глобална свързаност на европейския </w:t>
      </w:r>
      <w:proofErr w:type="spellStart"/>
      <w:r w:rsidRPr="00813AB5">
        <w:t>токенизиран</w:t>
      </w:r>
      <w:proofErr w:type="spellEnd"/>
      <w:r w:rsidRPr="00813AB5">
        <w:t xml:space="preserve"> пазар; подчертава важността на международното сътрудничество, насочено към хармонизиране на критериите, принципите и стандартите за категоризация; подкрепя работата на Банката за международни разплащания в инициативи за трансгранично сътрудничество в областта на плащанията;</w:t>
      </w:r>
    </w:p>
    <w:p w14:paraId="408FCA07" w14:textId="77777777" w:rsidR="00526633" w:rsidRPr="00813AB5" w:rsidRDefault="00526633" w:rsidP="00526633">
      <w:pPr>
        <w:pStyle w:val="NormalHanging12a"/>
      </w:pPr>
      <w:r w:rsidRPr="00813AB5">
        <w:t>17.</w:t>
      </w:r>
      <w:r w:rsidRPr="00813AB5">
        <w:tab/>
        <w:t>приветства текущите разисквания по пилотната уредба за ТДР като част от пакета за интеграция на пазара и надзор;</w:t>
      </w:r>
    </w:p>
    <w:p w14:paraId="67464AED" w14:textId="77777777" w:rsidR="00526633" w:rsidRPr="00813AB5" w:rsidRDefault="00526633" w:rsidP="00526633">
      <w:pPr>
        <w:pStyle w:val="Normal12a"/>
      </w:pPr>
      <w:r w:rsidRPr="00813AB5">
        <w:rPr>
          <w:b/>
          <w:i/>
        </w:rPr>
        <w:t>Стабилни криптовалути</w:t>
      </w:r>
    </w:p>
    <w:p w14:paraId="0EB564E1" w14:textId="77777777" w:rsidR="00526633" w:rsidRPr="00813AB5" w:rsidRDefault="00526633" w:rsidP="00526633">
      <w:pPr>
        <w:pStyle w:val="NormalHanging12a"/>
      </w:pPr>
      <w:r w:rsidRPr="00813AB5">
        <w:lastRenderedPageBreak/>
        <w:t>18.</w:t>
      </w:r>
      <w:r w:rsidRPr="00813AB5">
        <w:tab/>
        <w:t xml:space="preserve">отбелязва, че стабилните криптовалути могат да се класифицират в две категории съгласно правната рамка на </w:t>
      </w:r>
      <w:proofErr w:type="spellStart"/>
      <w:r w:rsidRPr="00813AB5">
        <w:t>MiCAR</w:t>
      </w:r>
      <w:proofErr w:type="spellEnd"/>
      <w:r w:rsidRPr="00813AB5">
        <w:t xml:space="preserve"> – </w:t>
      </w:r>
      <w:proofErr w:type="spellStart"/>
      <w:r w:rsidRPr="00813AB5">
        <w:t>токени</w:t>
      </w:r>
      <w:proofErr w:type="spellEnd"/>
      <w:r w:rsidRPr="00813AB5">
        <w:t xml:space="preserve">, обезпечени с активи, и </w:t>
      </w:r>
      <w:proofErr w:type="spellStart"/>
      <w:r w:rsidRPr="00813AB5">
        <w:t>токени</w:t>
      </w:r>
      <w:proofErr w:type="spellEnd"/>
      <w:r w:rsidRPr="00813AB5">
        <w:t xml:space="preserve"> за електронни пари;</w:t>
      </w:r>
    </w:p>
    <w:p w14:paraId="5FEBCC1A" w14:textId="77777777" w:rsidR="00526633" w:rsidRPr="001C07E2" w:rsidRDefault="00526633" w:rsidP="00526633">
      <w:pPr>
        <w:pStyle w:val="NormalHanging12a"/>
      </w:pPr>
      <w:r w:rsidRPr="00813AB5">
        <w:t>19.</w:t>
      </w:r>
      <w:r w:rsidRPr="00813AB5">
        <w:tab/>
        <w:t xml:space="preserve">отбелязва, че стабилните криптовалути са форма на създаване на частни пари и че тяхната икономическа функция показва сходства с фиксираните валутни курсове, фондовете на паричния пазар и тесните банки; подчертава обаче, че </w:t>
      </w:r>
      <w:proofErr w:type="spellStart"/>
      <w:r w:rsidRPr="00813AB5">
        <w:t>MiCAR</w:t>
      </w:r>
      <w:proofErr w:type="spellEnd"/>
      <w:r w:rsidRPr="00813AB5">
        <w:t xml:space="preserve"> забранява на емитентите на </w:t>
      </w:r>
      <w:proofErr w:type="spellStart"/>
      <w:r w:rsidRPr="00813AB5">
        <w:t>токени</w:t>
      </w:r>
      <w:proofErr w:type="spellEnd"/>
      <w:r w:rsidRPr="00813AB5">
        <w:t xml:space="preserve"> за електронни пари и на доставчиците на услуги за </w:t>
      </w:r>
      <w:proofErr w:type="spellStart"/>
      <w:r w:rsidRPr="00813AB5">
        <w:t>криптоактиви</w:t>
      </w:r>
      <w:proofErr w:type="spellEnd"/>
      <w:r w:rsidRPr="00813AB5">
        <w:t xml:space="preserve"> да предоставят пряко или непряко лихви във връзка с </w:t>
      </w:r>
      <w:proofErr w:type="spellStart"/>
      <w:r w:rsidRPr="00813AB5">
        <w:t>токени</w:t>
      </w:r>
      <w:proofErr w:type="spellEnd"/>
      <w:r w:rsidRPr="00813AB5">
        <w:t xml:space="preserve"> за електронни пари и че стабилните криптовалути нямат пряк достъп до централните банки и че техните държатели не са обхванати от схемите за гарантиране на депозитите; отбелязва риска от девалвация или премахване на обвързаността и посредничеството, свързани със стабилните криптовалути;</w:t>
      </w:r>
    </w:p>
    <w:p w14:paraId="6153F289" w14:textId="7764BE1D" w:rsidR="00813AB5" w:rsidRPr="001C07E2" w:rsidRDefault="00813AB5" w:rsidP="00526633">
      <w:pPr>
        <w:pStyle w:val="NormalHanging12a"/>
      </w:pPr>
      <w:r>
        <w:rPr>
          <w:lang w:val="en-GB"/>
        </w:rPr>
        <w:t>20</w:t>
      </w:r>
      <w:r w:rsidRPr="00813AB5">
        <w:t>.</w:t>
      </w:r>
      <w:r w:rsidRPr="00813AB5">
        <w:tab/>
        <w:t xml:space="preserve">отбелязва със загриженост продължаващата бърза експанзия и господство на стабилните криптовалути, деноминирани в щатски долари, което би могло да отслаби паричния суверенитет на ЕС, да увеличи рисковете за финансовата стабилност, да наруши трансмисията на паричната политика и да засили външната зависимост при </w:t>
      </w:r>
      <w:proofErr w:type="gramStart"/>
      <w:r w:rsidRPr="00813AB5">
        <w:t>плащанията;</w:t>
      </w:r>
      <w:proofErr w:type="gramEnd"/>
    </w:p>
    <w:p w14:paraId="7401DC68" w14:textId="2F521ECB" w:rsidR="00526633" w:rsidRPr="00813AB5" w:rsidRDefault="00971515" w:rsidP="00526633">
      <w:pPr>
        <w:pStyle w:val="NormalHanging12a"/>
      </w:pPr>
      <w:r>
        <w:t>21</w:t>
      </w:r>
      <w:r w:rsidR="00526633" w:rsidRPr="00813AB5">
        <w:t>.</w:t>
      </w:r>
      <w:r w:rsidR="00526633" w:rsidRPr="00813AB5">
        <w:tab/>
        <w:t xml:space="preserve">приветства появата на деноминирани в евро </w:t>
      </w:r>
      <w:proofErr w:type="spellStart"/>
      <w:r w:rsidR="00526633" w:rsidRPr="00813AB5">
        <w:t>токени</w:t>
      </w:r>
      <w:proofErr w:type="spellEnd"/>
      <w:r w:rsidR="00526633" w:rsidRPr="00813AB5">
        <w:t xml:space="preserve"> за електронни пари съгласно </w:t>
      </w:r>
      <w:proofErr w:type="spellStart"/>
      <w:r w:rsidR="00526633" w:rsidRPr="00813AB5">
        <w:t>MiCAR</w:t>
      </w:r>
      <w:proofErr w:type="spellEnd"/>
      <w:r w:rsidR="00526633" w:rsidRPr="00813AB5">
        <w:t xml:space="preserve"> и насърчава тяхното развитие в подкрепа на иновациите в областта на плащанията в ЕС, конкурентоспособността на финансовите пазари на ЕС и международната роля на еврото, включително чрез по-бързи и по-евтини трансгранични плащания, в допълнение към </w:t>
      </w:r>
      <w:proofErr w:type="spellStart"/>
      <w:r w:rsidR="00526633" w:rsidRPr="00813AB5">
        <w:t>токенизираните</w:t>
      </w:r>
      <w:proofErr w:type="spellEnd"/>
      <w:r w:rsidR="00526633" w:rsidRPr="00813AB5">
        <w:t xml:space="preserve"> депозити и цифровата валута на централната банка за плащания на едро; подчертава значението на хармонизираните рамки за риска по отношение на ликвидността и управлението на кризи, включително приоритет на разпределяне дивиденти и изискванията за </w:t>
      </w:r>
      <w:proofErr w:type="spellStart"/>
      <w:r w:rsidR="00526633" w:rsidRPr="00813AB5">
        <w:t>сегрегиране</w:t>
      </w:r>
      <w:proofErr w:type="spellEnd"/>
      <w:r w:rsidR="00526633" w:rsidRPr="00813AB5">
        <w:t xml:space="preserve"> на резерва; отбелязва, че ЕЦБ поддържа становището, че стабилните криптовалути, които не са деноминирани в евро, могат да породят рискове за паричната политика, ако използването им стане широко разпространено; изразява предпазливост относно злоупотребата с клаузата за „проявяване на интерес“;</w:t>
      </w:r>
    </w:p>
    <w:p w14:paraId="06716F41" w14:textId="7C7414CE" w:rsidR="00526633" w:rsidRPr="00813AB5" w:rsidRDefault="00971515" w:rsidP="00526633">
      <w:pPr>
        <w:pStyle w:val="NormalHanging12a"/>
      </w:pPr>
      <w:r>
        <w:t>22</w:t>
      </w:r>
      <w:r w:rsidR="00526633" w:rsidRPr="00813AB5">
        <w:t>.</w:t>
      </w:r>
      <w:r w:rsidR="00526633" w:rsidRPr="00813AB5">
        <w:tab/>
        <w:t xml:space="preserve">признава необходимостта от правна сигурност в правото на ЕС по отношение на възможността за многократно емитиране на стабилни криптовалути от субект от ЕС и от субект извън ЕС, когато цифровите стабилни криптовалути, емитирани от двата субекта, биха били напълно </w:t>
      </w:r>
      <w:proofErr w:type="spellStart"/>
      <w:r w:rsidR="00526633" w:rsidRPr="00813AB5">
        <w:t>взаимозаменяеми</w:t>
      </w:r>
      <w:proofErr w:type="spellEnd"/>
      <w:r w:rsidR="00526633" w:rsidRPr="00813AB5">
        <w:t xml:space="preserve"> и неразличими; припомня, че ЕССР предупреди, че многократното емитиране би могло да е потенциален канал за разпространение на проблеми; подчертава необходимостта да се гарантира, че функционирането на такива схеми в ЕС се основава на правна сигурност и стабилна регулаторна рамка, осигуряваща силни </w:t>
      </w:r>
      <w:proofErr w:type="spellStart"/>
      <w:r w:rsidR="00526633" w:rsidRPr="00813AB5">
        <w:t>пруденциални</w:t>
      </w:r>
      <w:proofErr w:type="spellEnd"/>
      <w:r w:rsidR="00526633" w:rsidRPr="00813AB5">
        <w:t xml:space="preserve"> гаранции, стабилни договорености за сътрудничество и подобрени протоколи за управление на кризи; подчертава значението на насърчаването на международната координация относно регулирането и надзора на световните стабилни криптовалути с оглед на разработването на международни стандарти;</w:t>
      </w:r>
    </w:p>
    <w:p w14:paraId="48C5D2A0" w14:textId="0C4F127C" w:rsidR="00526633" w:rsidRPr="00813AB5" w:rsidRDefault="00971515" w:rsidP="00526633">
      <w:pPr>
        <w:pStyle w:val="NormalHanging12a"/>
      </w:pPr>
      <w:r>
        <w:lastRenderedPageBreak/>
        <w:t>23</w:t>
      </w:r>
      <w:r w:rsidR="00526633" w:rsidRPr="00813AB5">
        <w:t>.</w:t>
      </w:r>
      <w:r w:rsidR="00526633" w:rsidRPr="00813AB5">
        <w:tab/>
        <w:t>приветства предварителното споразумение относно предложенията за директива</w:t>
      </w:r>
      <w:r w:rsidR="00526633" w:rsidRPr="00813AB5">
        <w:rPr>
          <w:rStyle w:val="FootnoteReference"/>
        </w:rPr>
        <w:footnoteReference w:customMarkFollows="1" w:id="6"/>
        <w:t>6</w:t>
      </w:r>
      <w:r w:rsidR="00526633" w:rsidRPr="00813AB5">
        <w:t xml:space="preserve"> и регламент</w:t>
      </w:r>
      <w:r w:rsidR="00526633" w:rsidRPr="00813AB5">
        <w:rPr>
          <w:rStyle w:val="FootnoteReference"/>
        </w:rPr>
        <w:footnoteReference w:customMarkFollows="1" w:id="7"/>
        <w:t>7</w:t>
      </w:r>
      <w:r w:rsidR="00526633" w:rsidRPr="00813AB5">
        <w:t xml:space="preserve"> относно платежните услуги и опростеното решение за издаване на лицензи за доставчиците на услуги за </w:t>
      </w:r>
      <w:proofErr w:type="spellStart"/>
      <w:r w:rsidR="00526633" w:rsidRPr="00813AB5">
        <w:t>криптоактиви</w:t>
      </w:r>
      <w:proofErr w:type="spellEnd"/>
      <w:r w:rsidR="00526633" w:rsidRPr="00813AB5">
        <w:t xml:space="preserve">, които вече са лицензирани съгласно </w:t>
      </w:r>
      <w:proofErr w:type="spellStart"/>
      <w:r w:rsidR="00526633" w:rsidRPr="00813AB5">
        <w:t>MiCAR</w:t>
      </w:r>
      <w:proofErr w:type="spellEnd"/>
      <w:r w:rsidR="00526633" w:rsidRPr="00813AB5">
        <w:t>, за да се избегне ненужно регулаторно припокриване, което би било предмет на рационализирана процедура, като същевременно се запазва подходящ контрол на риска и се предоставят само услугите, посочени в заявлението;</w:t>
      </w:r>
    </w:p>
    <w:p w14:paraId="682E1EF0" w14:textId="77777777" w:rsidR="00526633" w:rsidRPr="00813AB5" w:rsidRDefault="00526633" w:rsidP="00526633">
      <w:pPr>
        <w:pStyle w:val="Normal12a"/>
      </w:pPr>
      <w:r w:rsidRPr="00813AB5">
        <w:rPr>
          <w:b/>
          <w:i/>
        </w:rPr>
        <w:t>Междусекторни съображения</w:t>
      </w:r>
    </w:p>
    <w:p w14:paraId="4C65BCB8" w14:textId="5084C509" w:rsidR="00526633" w:rsidRPr="00813AB5" w:rsidRDefault="00971515" w:rsidP="00526633">
      <w:pPr>
        <w:pStyle w:val="NormalHanging12a"/>
      </w:pPr>
      <w:r>
        <w:t>24</w:t>
      </w:r>
      <w:r w:rsidR="00526633" w:rsidRPr="00813AB5">
        <w:t>.</w:t>
      </w:r>
      <w:r w:rsidR="00526633" w:rsidRPr="00813AB5">
        <w:tab/>
        <w:t>подчертава, че оперативната съвместимост е от решаващо значение в областта на цифровите финанси, като изисква например преносима самоличност и проверими удостоверения като благоприятстващи компоненти на междумрежовата пазарна инфраструктура; подчертава, че подходите от типа – идентификационен код на правен субект/проверим идентификационен код на правен субект, следва да се оценяват като инструменти за оценка на инфраструктурата; призовава Комисията да работи с европейските и международните организации по стандартизация за разработването на общи технически стандарти и протоколи за цифрови активи, интелигентни договори и цифрова самоличност;</w:t>
      </w:r>
    </w:p>
    <w:p w14:paraId="7605CF62" w14:textId="1087C7A2" w:rsidR="00526633" w:rsidRPr="00813AB5" w:rsidRDefault="00971515" w:rsidP="00526633">
      <w:pPr>
        <w:pStyle w:val="NormalHanging12a"/>
      </w:pPr>
      <w:r>
        <w:t>25</w:t>
      </w:r>
      <w:r w:rsidR="00526633" w:rsidRPr="00813AB5">
        <w:t>.</w:t>
      </w:r>
      <w:r w:rsidR="00526633" w:rsidRPr="00813AB5">
        <w:tab/>
        <w:t>приветства текущите дискусии относно цифровото евро, включително подготовката за използването му както на дребно, така и на едро, и подкрепя текущите проекти за технологията на децентрализирания регистър (ТДР) в краткосрочен (</w:t>
      </w:r>
      <w:proofErr w:type="spellStart"/>
      <w:r w:rsidR="00526633" w:rsidRPr="00813AB5">
        <w:t>Pontes</w:t>
      </w:r>
      <w:proofErr w:type="spellEnd"/>
      <w:r w:rsidR="00526633" w:rsidRPr="00813AB5">
        <w:t>) и дългосрочен (</w:t>
      </w:r>
      <w:proofErr w:type="spellStart"/>
      <w:r w:rsidR="00526633" w:rsidRPr="00813AB5">
        <w:t>Appia</w:t>
      </w:r>
      <w:proofErr w:type="spellEnd"/>
      <w:r w:rsidR="00526633" w:rsidRPr="00813AB5">
        <w:t>) план за сетълмент на едро с парични средства от централните банки; призовава Комисията и ЕЦБ да гарантират, че бъдещите решения за цифрово евро са формулирани така, че да улесняват оперативната съвместимост с инфраструктури на ТДР, и да гарантират, че те допълват паричните средства;</w:t>
      </w:r>
    </w:p>
    <w:p w14:paraId="57F1DC0F" w14:textId="440251C4" w:rsidR="00526633" w:rsidRPr="00813AB5" w:rsidRDefault="00971515" w:rsidP="00526633">
      <w:pPr>
        <w:pStyle w:val="NormalHanging12a"/>
      </w:pPr>
      <w:r>
        <w:t>26</w:t>
      </w:r>
      <w:r w:rsidR="00526633" w:rsidRPr="00813AB5">
        <w:t>.</w:t>
      </w:r>
      <w:r w:rsidR="00526633" w:rsidRPr="00813AB5">
        <w:tab/>
        <w:t>изразява съжаление, че по отношение на инфраструктурата на технологията на децентрализирания регистър (ТДР) ЕС зависи от доставчици на услуги извън Съюза; подчертава, че следва да се наблюдава с предпазливост начинът, по който администрацията на САЩ третира цифровите активи;</w:t>
      </w:r>
    </w:p>
    <w:p w14:paraId="74941638" w14:textId="2807A3B9" w:rsidR="00526633" w:rsidRPr="00813AB5" w:rsidRDefault="00971515" w:rsidP="00526633">
      <w:pPr>
        <w:pStyle w:val="NormalHanging12a"/>
      </w:pPr>
      <w:r>
        <w:t>27</w:t>
      </w:r>
      <w:r w:rsidR="00526633" w:rsidRPr="00813AB5">
        <w:t>.</w:t>
      </w:r>
      <w:r w:rsidR="00526633" w:rsidRPr="00813AB5">
        <w:tab/>
        <w:t xml:space="preserve">отбелязва текущите дискусии относно надзора на доставчиците на услуги за </w:t>
      </w:r>
      <w:proofErr w:type="spellStart"/>
      <w:r w:rsidR="00526633" w:rsidRPr="00813AB5">
        <w:t>криптоактиви</w:t>
      </w:r>
      <w:proofErr w:type="spellEnd"/>
      <w:r w:rsidR="00526633" w:rsidRPr="00813AB5">
        <w:t xml:space="preserve"> с оглед на ролята на ESMA в рамките на пакета за интеграция на пазара и надзор;</w:t>
      </w:r>
    </w:p>
    <w:p w14:paraId="70255C53" w14:textId="77777777" w:rsidR="00526633" w:rsidRPr="00813AB5" w:rsidRDefault="00526633" w:rsidP="00526633">
      <w:pPr>
        <w:pStyle w:val="NormalCenter12a"/>
      </w:pPr>
      <w:r w:rsidRPr="00813AB5">
        <w:t>°</w:t>
      </w:r>
    </w:p>
    <w:p w14:paraId="6453D143" w14:textId="77777777" w:rsidR="00526633" w:rsidRPr="00813AB5" w:rsidRDefault="00526633" w:rsidP="00526633">
      <w:pPr>
        <w:pStyle w:val="NormalCenter12a"/>
      </w:pPr>
      <w:r w:rsidRPr="00813AB5">
        <w:t>°</w:t>
      </w:r>
      <w:r w:rsidRPr="00813AB5">
        <w:tab/>
        <w:t>°</w:t>
      </w:r>
    </w:p>
    <w:p w14:paraId="7E8FF3F1" w14:textId="4820A9AD" w:rsidR="000C4167" w:rsidRPr="00813AB5" w:rsidRDefault="00971515" w:rsidP="000C4167">
      <w:pPr>
        <w:pStyle w:val="NormalHanging12a"/>
      </w:pPr>
      <w:r>
        <w:lastRenderedPageBreak/>
        <w:t>28</w:t>
      </w:r>
      <w:r w:rsidR="00526633" w:rsidRPr="00813AB5">
        <w:t>.</w:t>
      </w:r>
      <w:r w:rsidR="00526633" w:rsidRPr="00813AB5">
        <w:tab/>
        <w:t>възлага на своя председател да предаде настоящата резолюция съответно на Съвета и Комисията.</w:t>
      </w:r>
    </w:p>
    <w:p w14:paraId="66FF8476" w14:textId="31362E94" w:rsidR="00E365E1" w:rsidRPr="000C4167" w:rsidRDefault="00E365E1" w:rsidP="00526633"/>
    <w:sectPr w:rsidR="00E365E1" w:rsidRPr="000C4167" w:rsidSect="000C416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F97E2" w14:textId="77777777" w:rsidR="00D8572D" w:rsidRPr="00813AB5" w:rsidRDefault="00D8572D">
      <w:r w:rsidRPr="00813AB5">
        <w:separator/>
      </w:r>
    </w:p>
  </w:endnote>
  <w:endnote w:type="continuationSeparator" w:id="0">
    <w:p w14:paraId="45237EF8" w14:textId="77777777" w:rsidR="00D8572D" w:rsidRPr="00813AB5" w:rsidRDefault="00D8572D">
      <w:r w:rsidRPr="00813A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22C2" w14:textId="77777777" w:rsidR="00D8572D" w:rsidRPr="00813AB5" w:rsidRDefault="00D8572D">
      <w:r w:rsidRPr="00813AB5">
        <w:separator/>
      </w:r>
    </w:p>
  </w:footnote>
  <w:footnote w:type="continuationSeparator" w:id="0">
    <w:p w14:paraId="7CF5FD6C" w14:textId="77777777" w:rsidR="00D8572D" w:rsidRPr="00813AB5" w:rsidRDefault="00D8572D">
      <w:r w:rsidRPr="00813AB5">
        <w:continuationSeparator/>
      </w:r>
    </w:p>
  </w:footnote>
  <w:footnote w:id="1">
    <w:p w14:paraId="3920AD69" w14:textId="552DFAC1" w:rsidR="00526633" w:rsidRPr="00813AB5" w:rsidRDefault="00526633" w:rsidP="000C4167">
      <w:pPr>
        <w:pStyle w:val="FootnoteText"/>
        <w:ind w:left="567" w:hanging="567"/>
        <w:rPr>
          <w:sz w:val="24"/>
          <w:lang w:val="bg-BG"/>
        </w:rPr>
      </w:pPr>
      <w:r w:rsidRPr="00813AB5">
        <w:rPr>
          <w:rStyle w:val="FootnoteReference"/>
          <w:sz w:val="24"/>
          <w:lang w:val="bg-BG"/>
        </w:rPr>
        <w:t>1</w:t>
      </w:r>
      <w:r w:rsidR="000C4167" w:rsidRPr="00813AB5">
        <w:rPr>
          <w:sz w:val="24"/>
          <w:lang w:val="bg-BG"/>
        </w:rPr>
        <w:t xml:space="preserve"> </w:t>
      </w:r>
      <w:r w:rsidR="000C4167" w:rsidRPr="00813AB5">
        <w:rPr>
          <w:sz w:val="24"/>
          <w:lang w:val="bg-BG"/>
        </w:rPr>
        <w:tab/>
      </w:r>
      <w:r w:rsidRPr="00813AB5">
        <w:rPr>
          <w:sz w:val="24"/>
          <w:lang w:val="bg-BG"/>
        </w:rPr>
        <w:t xml:space="preserve">Международен валутен фонд, </w:t>
      </w:r>
      <w:proofErr w:type="spellStart"/>
      <w:r w:rsidRPr="00813AB5">
        <w:rPr>
          <w:sz w:val="24"/>
          <w:lang w:val="bg-BG"/>
        </w:rPr>
        <w:t>Stablecoins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and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the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future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of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finance</w:t>
      </w:r>
      <w:proofErr w:type="spellEnd"/>
      <w:r w:rsidRPr="00813AB5">
        <w:rPr>
          <w:sz w:val="24"/>
          <w:lang w:val="bg-BG"/>
        </w:rPr>
        <w:t xml:space="preserve">, </w:t>
      </w:r>
      <w:proofErr w:type="spellStart"/>
      <w:r w:rsidRPr="00813AB5">
        <w:rPr>
          <w:sz w:val="24"/>
          <w:lang w:val="bg-BG"/>
        </w:rPr>
        <w:t>Finance</w:t>
      </w:r>
      <w:proofErr w:type="spellEnd"/>
      <w:r w:rsidRPr="00813AB5">
        <w:rPr>
          <w:sz w:val="24"/>
          <w:lang w:val="bg-BG"/>
        </w:rPr>
        <w:t xml:space="preserve"> &amp; </w:t>
      </w:r>
      <w:proofErr w:type="spellStart"/>
      <w:r w:rsidRPr="00813AB5">
        <w:rPr>
          <w:sz w:val="24"/>
          <w:lang w:val="bg-BG"/>
        </w:rPr>
        <w:t>Development</w:t>
      </w:r>
      <w:proofErr w:type="spellEnd"/>
      <w:r w:rsidRPr="00813AB5">
        <w:rPr>
          <w:sz w:val="24"/>
          <w:lang w:val="bg-BG"/>
        </w:rPr>
        <w:t xml:space="preserve">, том 62, брой 3, 3 септември 2025 г., Международен валутен фонд, Вашингтон, </w:t>
      </w:r>
      <w:hyperlink r:id="rId1" w:tgtFrame="https://doi.org/10.5089/9798400297649.022" w:history="1">
        <w:r w:rsidRPr="00813AB5">
          <w:rPr>
            <w:rStyle w:val="Hyperlink"/>
            <w:sz w:val="24"/>
            <w:lang w:val="bg-BG"/>
          </w:rPr>
          <w:t>https://doi.org/10.5089/9798400297649.022</w:t>
        </w:r>
      </w:hyperlink>
      <w:r w:rsidRPr="00813AB5">
        <w:rPr>
          <w:sz w:val="24"/>
          <w:lang w:val="bg-BG"/>
        </w:rPr>
        <w:t>.</w:t>
      </w:r>
    </w:p>
  </w:footnote>
  <w:footnote w:id="2">
    <w:p w14:paraId="35A95F66" w14:textId="7EB9F03A" w:rsidR="00526633" w:rsidRPr="00813AB5" w:rsidRDefault="00526633" w:rsidP="000C4167">
      <w:pPr>
        <w:pStyle w:val="FootnoteText"/>
        <w:ind w:left="567" w:hanging="567"/>
        <w:rPr>
          <w:sz w:val="24"/>
          <w:lang w:val="bg-BG"/>
        </w:rPr>
      </w:pPr>
      <w:r w:rsidRPr="00813AB5">
        <w:rPr>
          <w:rStyle w:val="FootnoteReference"/>
          <w:sz w:val="24"/>
          <w:lang w:val="bg-BG"/>
        </w:rPr>
        <w:t>2</w:t>
      </w:r>
      <w:r w:rsidR="000C4167" w:rsidRPr="00813AB5">
        <w:rPr>
          <w:sz w:val="24"/>
          <w:lang w:val="bg-BG"/>
        </w:rPr>
        <w:t xml:space="preserve"> </w:t>
      </w:r>
      <w:r w:rsidR="000C4167" w:rsidRPr="00813AB5">
        <w:rPr>
          <w:sz w:val="24"/>
          <w:lang w:val="bg-BG"/>
        </w:rPr>
        <w:tab/>
      </w:r>
      <w:r w:rsidRPr="00813AB5">
        <w:rPr>
          <w:sz w:val="24"/>
          <w:lang w:val="bg-BG"/>
        </w:rPr>
        <w:t xml:space="preserve">OECD </w:t>
      </w:r>
      <w:proofErr w:type="spellStart"/>
      <w:r w:rsidRPr="00813AB5">
        <w:rPr>
          <w:sz w:val="24"/>
          <w:lang w:val="bg-BG"/>
        </w:rPr>
        <w:t>Business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and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Finance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Policy</w:t>
      </w:r>
      <w:proofErr w:type="spellEnd"/>
      <w:r w:rsidRPr="00813AB5">
        <w:rPr>
          <w:sz w:val="24"/>
          <w:lang w:val="bg-BG"/>
        </w:rPr>
        <w:t xml:space="preserve"> </w:t>
      </w:r>
      <w:proofErr w:type="spellStart"/>
      <w:r w:rsidRPr="00813AB5">
        <w:rPr>
          <w:sz w:val="24"/>
          <w:lang w:val="bg-BG"/>
        </w:rPr>
        <w:t>Papers</w:t>
      </w:r>
      <w:proofErr w:type="spellEnd"/>
      <w:r w:rsidRPr="00813AB5">
        <w:rPr>
          <w:sz w:val="24"/>
          <w:lang w:val="bg-BG"/>
        </w:rPr>
        <w:t xml:space="preserve"> (Документи на ОИСР за бизнес и финансова политика), № 75.</w:t>
      </w:r>
    </w:p>
  </w:footnote>
  <w:footnote w:id="3">
    <w:p w14:paraId="3DBDA61E" w14:textId="5D78397E" w:rsidR="00526633" w:rsidRPr="00813AB5" w:rsidRDefault="00526633" w:rsidP="000C4167">
      <w:pPr>
        <w:pStyle w:val="FootnoteText"/>
        <w:ind w:left="567" w:hanging="567"/>
        <w:rPr>
          <w:sz w:val="24"/>
          <w:lang w:val="bg-BG"/>
        </w:rPr>
      </w:pPr>
      <w:r w:rsidRPr="00813AB5">
        <w:rPr>
          <w:rStyle w:val="FootnoteReference"/>
          <w:sz w:val="24"/>
          <w:lang w:val="bg-BG"/>
        </w:rPr>
        <w:t>3</w:t>
      </w:r>
      <w:r w:rsidR="000C4167" w:rsidRPr="00813AB5">
        <w:rPr>
          <w:sz w:val="24"/>
          <w:lang w:val="bg-BG"/>
        </w:rPr>
        <w:t xml:space="preserve"> </w:t>
      </w:r>
      <w:r w:rsidR="000C4167" w:rsidRPr="00813AB5">
        <w:rPr>
          <w:sz w:val="24"/>
          <w:lang w:val="bg-BG"/>
        </w:rPr>
        <w:tab/>
      </w:r>
      <w:r w:rsidRPr="00813AB5">
        <w:rPr>
          <w:sz w:val="24"/>
          <w:lang w:val="bg-BG"/>
        </w:rPr>
        <w:t xml:space="preserve">Регламент (ЕС) 2022/858. на Европейския парламент и на Съвета от 30 май 2022 г. относно пилотна уредба на пазарните инфраструктури, основани на технологията на децентрализирания регистър, и за изменение на регламенти (ЕС) № 600/2014, (ЕС) № 909/2014 и Директива 2014/65/ЕС (ОВ L 151, 2.6.2022 г., стр. 1, ELI: </w:t>
      </w:r>
      <w:hyperlink r:id="rId2" w:tgtFrame="http://data.europa.eu/eli/reg/2022/858/oj" w:history="1">
        <w:r w:rsidRPr="00813AB5">
          <w:rPr>
            <w:rStyle w:val="Hyperlink"/>
            <w:sz w:val="24"/>
            <w:lang w:val="bg-BG"/>
          </w:rPr>
          <w:t>http://data.europa.eu/eli/reg/2022/858/oj)</w:t>
        </w:r>
      </w:hyperlink>
      <w:r w:rsidRPr="00813AB5">
        <w:rPr>
          <w:sz w:val="24"/>
          <w:lang w:val="bg-BG"/>
        </w:rPr>
        <w:t>.</w:t>
      </w:r>
    </w:p>
  </w:footnote>
  <w:footnote w:id="4">
    <w:p w14:paraId="2F9AB37A" w14:textId="2CEEEE54" w:rsidR="00526633" w:rsidRPr="00813AB5" w:rsidRDefault="00526633" w:rsidP="000C4167">
      <w:pPr>
        <w:pStyle w:val="FootnoteText"/>
        <w:ind w:left="567" w:hanging="567"/>
        <w:rPr>
          <w:sz w:val="24"/>
          <w:lang w:val="bg-BG"/>
        </w:rPr>
      </w:pPr>
      <w:r w:rsidRPr="00813AB5">
        <w:rPr>
          <w:rStyle w:val="FootnoteReference"/>
          <w:sz w:val="24"/>
          <w:lang w:val="bg-BG"/>
        </w:rPr>
        <w:t>4</w:t>
      </w:r>
      <w:r w:rsidR="000C4167" w:rsidRPr="00813AB5">
        <w:rPr>
          <w:sz w:val="24"/>
          <w:lang w:val="bg-BG"/>
        </w:rPr>
        <w:t xml:space="preserve"> </w:t>
      </w:r>
      <w:r w:rsidR="000C4167" w:rsidRPr="00813AB5">
        <w:rPr>
          <w:sz w:val="24"/>
          <w:lang w:val="bg-BG"/>
        </w:rPr>
        <w:tab/>
      </w:r>
      <w:r w:rsidRPr="00813AB5">
        <w:rPr>
          <w:sz w:val="24"/>
          <w:lang w:val="bg-BG"/>
        </w:rPr>
        <w:t xml:space="preserve">Регламент (ЕС) 2023/1114 на Европейския парламент и на Съвета от 31 май 2023 г. относно пазарите на </w:t>
      </w:r>
      <w:proofErr w:type="spellStart"/>
      <w:r w:rsidRPr="00813AB5">
        <w:rPr>
          <w:sz w:val="24"/>
          <w:lang w:val="bg-BG"/>
        </w:rPr>
        <w:t>криптоактиви</w:t>
      </w:r>
      <w:proofErr w:type="spellEnd"/>
      <w:r w:rsidRPr="00813AB5">
        <w:rPr>
          <w:sz w:val="24"/>
          <w:lang w:val="bg-BG"/>
        </w:rPr>
        <w:t xml:space="preserve"> и за изменение на регламенти (ЕС) № 1093/2010 и (ЕС) № 1095/2010 и на директиви 2013/36/ЕС и (ЕС) 2019/1937 (ОВ L 150, 9.6.2023 г., стр. 40, ELI: </w:t>
      </w:r>
      <w:hyperlink r:id="rId3" w:tgtFrame="http://data.europa.eu/eli/reg/2023/1114/oj" w:history="1">
        <w:r w:rsidRPr="00813AB5">
          <w:rPr>
            <w:rStyle w:val="Hyperlink"/>
            <w:sz w:val="24"/>
            <w:lang w:val="bg-BG"/>
          </w:rPr>
          <w:t>http://data.europa.eu/eli/reg/2023/1114/oj</w:t>
        </w:r>
      </w:hyperlink>
      <w:r w:rsidRPr="00813AB5">
        <w:rPr>
          <w:sz w:val="24"/>
          <w:lang w:val="bg-BG"/>
        </w:rPr>
        <w:t>).</w:t>
      </w:r>
    </w:p>
  </w:footnote>
  <w:footnote w:id="5">
    <w:p w14:paraId="5CE41C58" w14:textId="0F59A4A3" w:rsidR="00526633" w:rsidRPr="00813AB5" w:rsidRDefault="00526633" w:rsidP="000C4167">
      <w:pPr>
        <w:pStyle w:val="FootnoteText"/>
        <w:ind w:left="567" w:hanging="567"/>
        <w:rPr>
          <w:sz w:val="24"/>
          <w:lang w:val="bg-BG"/>
        </w:rPr>
      </w:pPr>
      <w:r w:rsidRPr="00813AB5">
        <w:rPr>
          <w:rStyle w:val="FootnoteReference"/>
          <w:sz w:val="24"/>
          <w:lang w:val="bg-BG"/>
        </w:rPr>
        <w:t>5</w:t>
      </w:r>
      <w:r w:rsidR="000C4167" w:rsidRPr="00813AB5">
        <w:rPr>
          <w:sz w:val="24"/>
          <w:lang w:val="bg-BG"/>
        </w:rPr>
        <w:t xml:space="preserve"> </w:t>
      </w:r>
      <w:r w:rsidR="000C4167" w:rsidRPr="00813AB5">
        <w:rPr>
          <w:sz w:val="24"/>
          <w:lang w:val="bg-BG"/>
        </w:rPr>
        <w:tab/>
      </w:r>
      <w:r w:rsidRPr="00813AB5">
        <w:rPr>
          <w:sz w:val="24"/>
          <w:lang w:val="bg-BG"/>
        </w:rPr>
        <w:t xml:space="preserve">Регламент (ЕС) 2023/1113 на Европейския парламент и на Съвета от 31 май 2023 г. относно информацията, придружаваща преводите на средства и прехвърлянията на определени </w:t>
      </w:r>
      <w:proofErr w:type="spellStart"/>
      <w:r w:rsidRPr="00813AB5">
        <w:rPr>
          <w:sz w:val="24"/>
          <w:lang w:val="bg-BG"/>
        </w:rPr>
        <w:t>криптоактиви</w:t>
      </w:r>
      <w:proofErr w:type="spellEnd"/>
      <w:r w:rsidRPr="00813AB5">
        <w:rPr>
          <w:sz w:val="24"/>
          <w:lang w:val="bg-BG"/>
        </w:rPr>
        <w:t xml:space="preserve">, и за изменение на Директива (ЕС) 2015/849 (OВ L 150, </w:t>
      </w:r>
      <w:r w:rsidR="006A1F4C" w:rsidRPr="00813AB5">
        <w:rPr>
          <w:sz w:val="24"/>
          <w:lang w:val="bg-BG"/>
        </w:rPr>
        <w:t xml:space="preserve">9.6.2023 г., </w:t>
      </w:r>
      <w:r w:rsidRPr="00813AB5">
        <w:rPr>
          <w:sz w:val="24"/>
          <w:lang w:val="bg-BG"/>
        </w:rPr>
        <w:t xml:space="preserve">стр. 1, ELI: </w:t>
      </w:r>
      <w:hyperlink r:id="rId4" w:tgtFrame="http://data.europa.eu/eli/reg/2023/1113/oj" w:history="1">
        <w:r w:rsidRPr="00813AB5">
          <w:rPr>
            <w:rStyle w:val="Hyperlink"/>
            <w:sz w:val="24"/>
            <w:lang w:val="bg-BG"/>
          </w:rPr>
          <w:t>http://data.europa.eu/eli/reg/2023/1113/oj</w:t>
        </w:r>
      </w:hyperlink>
      <w:r w:rsidRPr="00813AB5">
        <w:rPr>
          <w:sz w:val="24"/>
          <w:lang w:val="bg-BG"/>
        </w:rPr>
        <w:t>).</w:t>
      </w:r>
    </w:p>
  </w:footnote>
  <w:footnote w:id="6">
    <w:p w14:paraId="362051AF" w14:textId="447E764F" w:rsidR="00526633" w:rsidRPr="00813AB5" w:rsidRDefault="00526633" w:rsidP="000C4167">
      <w:pPr>
        <w:pStyle w:val="FootnoteText"/>
        <w:ind w:left="567" w:hanging="567"/>
        <w:rPr>
          <w:sz w:val="24"/>
          <w:lang w:val="bg-BG"/>
        </w:rPr>
      </w:pPr>
      <w:r w:rsidRPr="00813AB5">
        <w:rPr>
          <w:rStyle w:val="FootnoteReference"/>
          <w:sz w:val="24"/>
          <w:lang w:val="bg-BG"/>
        </w:rPr>
        <w:t>6</w:t>
      </w:r>
      <w:r w:rsidR="000C4167" w:rsidRPr="00813AB5">
        <w:rPr>
          <w:sz w:val="24"/>
          <w:lang w:val="bg-BG"/>
        </w:rPr>
        <w:t xml:space="preserve"> </w:t>
      </w:r>
      <w:r w:rsidR="000C4167" w:rsidRPr="00813AB5">
        <w:rPr>
          <w:sz w:val="24"/>
          <w:lang w:val="bg-BG"/>
        </w:rPr>
        <w:tab/>
      </w:r>
      <w:r w:rsidRPr="00813AB5">
        <w:rPr>
          <w:sz w:val="24"/>
          <w:lang w:val="bg-BG"/>
        </w:rPr>
        <w:t>Предложение на Комисията от 28 юни 2023 г. за Директива на Европейския парламент и на Съвета относно предоставяните на вътрешния пазар платежни услуги и услуги по електронни пари, за изменение на Директива 98/26/ЕО и за отмяна на директиви (ЕС) 2015/2366/ и 2009/110/ЕО (COM(2023)0366).</w:t>
      </w:r>
    </w:p>
  </w:footnote>
  <w:footnote w:id="7">
    <w:p w14:paraId="10EA67C4" w14:textId="33A0B3F4" w:rsidR="00526633" w:rsidRPr="000C4167" w:rsidRDefault="00526633" w:rsidP="000C4167">
      <w:pPr>
        <w:pStyle w:val="FootnoteText"/>
        <w:ind w:left="567" w:hanging="567"/>
        <w:rPr>
          <w:sz w:val="24"/>
          <w:lang w:val="bg-BG"/>
        </w:rPr>
      </w:pPr>
      <w:r w:rsidRPr="00813AB5">
        <w:rPr>
          <w:rStyle w:val="FootnoteReference"/>
          <w:sz w:val="24"/>
          <w:lang w:val="bg-BG"/>
        </w:rPr>
        <w:t>7</w:t>
      </w:r>
      <w:r w:rsidR="000C4167" w:rsidRPr="00813AB5">
        <w:rPr>
          <w:sz w:val="24"/>
          <w:lang w:val="bg-BG"/>
        </w:rPr>
        <w:t xml:space="preserve"> </w:t>
      </w:r>
      <w:r w:rsidR="000C4167" w:rsidRPr="00813AB5">
        <w:rPr>
          <w:sz w:val="24"/>
          <w:lang w:val="bg-BG"/>
        </w:rPr>
        <w:tab/>
      </w:r>
      <w:r w:rsidRPr="00813AB5">
        <w:rPr>
          <w:sz w:val="24"/>
          <w:lang w:val="bg-BG"/>
        </w:rPr>
        <w:t>Предложение за регламент на Европейския парламент и на Съвета относно платежните услуги на вътрешния пазар и за изменение на Регламент (ЕС) № 1093/2010 (COM(2023)367 </w:t>
      </w:r>
      <w:proofErr w:type="spellStart"/>
      <w:r w:rsidRPr="00813AB5">
        <w:rPr>
          <w:sz w:val="24"/>
          <w:lang w:val="bg-BG"/>
        </w:rPr>
        <w:t>final</w:t>
      </w:r>
      <w:proofErr w:type="spellEnd"/>
      <w:r w:rsidRPr="00813AB5">
        <w:rPr>
          <w:sz w:val="24"/>
          <w:lang w:val="bg-BG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94999768">
    <w:abstractNumId w:val="9"/>
  </w:num>
  <w:num w:numId="2" w16cid:durableId="629822538">
    <w:abstractNumId w:val="9"/>
  </w:num>
  <w:num w:numId="3" w16cid:durableId="1359088839">
    <w:abstractNumId w:val="7"/>
  </w:num>
  <w:num w:numId="4" w16cid:durableId="1840004552">
    <w:abstractNumId w:val="7"/>
  </w:num>
  <w:num w:numId="5" w16cid:durableId="1661618984">
    <w:abstractNumId w:val="6"/>
  </w:num>
  <w:num w:numId="6" w16cid:durableId="2102871763">
    <w:abstractNumId w:val="6"/>
  </w:num>
  <w:num w:numId="7" w16cid:durableId="994337755">
    <w:abstractNumId w:val="5"/>
  </w:num>
  <w:num w:numId="8" w16cid:durableId="1394624825">
    <w:abstractNumId w:val="5"/>
  </w:num>
  <w:num w:numId="9" w16cid:durableId="1202862548">
    <w:abstractNumId w:val="4"/>
  </w:num>
  <w:num w:numId="10" w16cid:durableId="632634389">
    <w:abstractNumId w:val="4"/>
  </w:num>
  <w:num w:numId="11" w16cid:durableId="231741369">
    <w:abstractNumId w:val="8"/>
  </w:num>
  <w:num w:numId="12" w16cid:durableId="51468498">
    <w:abstractNumId w:val="8"/>
  </w:num>
  <w:num w:numId="13" w16cid:durableId="203952866">
    <w:abstractNumId w:val="3"/>
  </w:num>
  <w:num w:numId="14" w16cid:durableId="1602569645">
    <w:abstractNumId w:val="3"/>
  </w:num>
  <w:num w:numId="15" w16cid:durableId="563949585">
    <w:abstractNumId w:val="2"/>
  </w:num>
  <w:num w:numId="16" w16cid:durableId="1592928152">
    <w:abstractNumId w:val="2"/>
  </w:num>
  <w:num w:numId="17" w16cid:durableId="2025785648">
    <w:abstractNumId w:val="1"/>
  </w:num>
  <w:num w:numId="18" w16cid:durableId="276720030">
    <w:abstractNumId w:val="1"/>
  </w:num>
  <w:num w:numId="19" w16cid:durableId="1893037054">
    <w:abstractNumId w:val="0"/>
  </w:num>
  <w:num w:numId="20" w16cid:durableId="1434932765">
    <w:abstractNumId w:val="0"/>
  </w:num>
  <w:num w:numId="21" w16cid:durableId="273293694">
    <w:abstractNumId w:val="9"/>
  </w:num>
  <w:num w:numId="22" w16cid:durableId="1370455032">
    <w:abstractNumId w:val="7"/>
  </w:num>
  <w:num w:numId="23" w16cid:durableId="15272302">
    <w:abstractNumId w:val="6"/>
  </w:num>
  <w:num w:numId="24" w16cid:durableId="2134132339">
    <w:abstractNumId w:val="5"/>
  </w:num>
  <w:num w:numId="25" w16cid:durableId="1959100113">
    <w:abstractNumId w:val="4"/>
  </w:num>
  <w:num w:numId="26" w16cid:durableId="1457677399">
    <w:abstractNumId w:val="8"/>
  </w:num>
  <w:num w:numId="27" w16cid:durableId="127672109">
    <w:abstractNumId w:val="3"/>
  </w:num>
  <w:num w:numId="28" w16cid:durableId="692804740">
    <w:abstractNumId w:val="2"/>
  </w:num>
  <w:num w:numId="29" w16cid:durableId="1959800734">
    <w:abstractNumId w:val="1"/>
  </w:num>
  <w:num w:numId="30" w16cid:durableId="449323932">
    <w:abstractNumId w:val="0"/>
  </w:num>
  <w:num w:numId="31" w16cid:durableId="814370309">
    <w:abstractNumId w:val="9"/>
  </w:num>
  <w:num w:numId="32" w16cid:durableId="1660573118">
    <w:abstractNumId w:val="7"/>
  </w:num>
  <w:num w:numId="33" w16cid:durableId="770051006">
    <w:abstractNumId w:val="6"/>
  </w:num>
  <w:num w:numId="34" w16cid:durableId="1575698654">
    <w:abstractNumId w:val="5"/>
  </w:num>
  <w:num w:numId="35" w16cid:durableId="1869947897">
    <w:abstractNumId w:val="4"/>
  </w:num>
  <w:num w:numId="36" w16cid:durableId="1152792060">
    <w:abstractNumId w:val="8"/>
  </w:num>
  <w:num w:numId="37" w16cid:durableId="1292056141">
    <w:abstractNumId w:val="3"/>
  </w:num>
  <w:num w:numId="38" w16cid:durableId="951471231">
    <w:abstractNumId w:val="2"/>
  </w:num>
  <w:num w:numId="39" w16cid:durableId="796724932">
    <w:abstractNumId w:val="1"/>
  </w:num>
  <w:num w:numId="40" w16cid:durableId="1217623668">
    <w:abstractNumId w:val="0"/>
  </w:num>
  <w:num w:numId="41" w16cid:durableId="115107920">
    <w:abstractNumId w:val="10"/>
  </w:num>
  <w:num w:numId="42" w16cid:durableId="151794442">
    <w:abstractNumId w:val="10"/>
  </w:num>
  <w:num w:numId="43" w16cid:durableId="336008199">
    <w:abstractNumId w:val="10"/>
  </w:num>
  <w:num w:numId="44" w16cid:durableId="3540375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6"/>
    <w:docVar w:name="dvlangue" w:val="BG"/>
    <w:docVar w:name="dvnumam" w:val="0"/>
    <w:docVar w:name="dvpe" w:val="784.381"/>
    <w:docVar w:name="dvrapporteur" w:val="Докладчик: "/>
    <w:docVar w:name="dvtitre" w:val="Резолюция на Европейския парламент от ... 2026 г. относно цифровите активи – предизвикателства пред конкурентоспособността и почтеността на финансовата система на Европейския съюз(2025/2208(INI))"/>
  </w:docVars>
  <w:rsids>
    <w:rsidRoot w:val="00D8572D"/>
    <w:rsid w:val="00002272"/>
    <w:rsid w:val="00064002"/>
    <w:rsid w:val="000677B9"/>
    <w:rsid w:val="000831BA"/>
    <w:rsid w:val="000A42CC"/>
    <w:rsid w:val="000C4167"/>
    <w:rsid w:val="000E7DD9"/>
    <w:rsid w:val="0010095E"/>
    <w:rsid w:val="00125B37"/>
    <w:rsid w:val="00187494"/>
    <w:rsid w:val="001C07E2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633"/>
    <w:rsid w:val="00545827"/>
    <w:rsid w:val="00560270"/>
    <w:rsid w:val="005C2568"/>
    <w:rsid w:val="005F1B17"/>
    <w:rsid w:val="006037C0"/>
    <w:rsid w:val="00653F0B"/>
    <w:rsid w:val="006631B6"/>
    <w:rsid w:val="00680577"/>
    <w:rsid w:val="006A1F4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AB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515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572D"/>
    <w:rsid w:val="00D872DF"/>
    <w:rsid w:val="00D878A3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6A4AB4"/>
  <w15:chartTrackingRefBased/>
  <w15:docId w15:val="{7D35285C-AD49-49B1-A564-B25BCC23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526633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526633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526633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526633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526633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526633"/>
    <w:rPr>
      <w:color w:val="0000FF"/>
      <w:u w:val="single"/>
    </w:rPr>
  </w:style>
  <w:style w:type="paragraph" w:styleId="Revision">
    <w:name w:val="Revision"/>
    <w:hidden/>
    <w:uiPriority w:val="99"/>
    <w:semiHidden/>
    <w:rsid w:val="006A1F4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3/1114/oj" TargetMode="External"/><Relationship Id="rId2" Type="http://schemas.openxmlformats.org/officeDocument/2006/relationships/hyperlink" Target="http://data.europa.eu/eli/reg/2022/858/oj" TargetMode="External"/><Relationship Id="rId1" Type="http://schemas.openxmlformats.org/officeDocument/2006/relationships/hyperlink" Target="https://doi.org/10.5089/9798400297649.022" TargetMode="External"/><Relationship Id="rId4" Type="http://schemas.openxmlformats.org/officeDocument/2006/relationships/hyperlink" Target="http://data.europa.eu/eli/reg/2023/111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2767</Words>
  <Characters>17624</Characters>
  <Application>Microsoft Office Word</Application>
  <DocSecurity>0</DocSecurity>
  <Lines>146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2026-07-07T13:06:00Z</dcterms:created>
  <dcterms:modified xsi:type="dcterms:W3CDTF">2026-07-07T13:06:00Z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A10-0186/2026</vt:lpwstr>
  </property>
  <property fmtid="{D5CDD505-2E9C-101B-9397-08002B2CF9AE}" pid="4" name="&lt;Type&gt;">
    <vt:lpwstr>RR</vt:lpwstr>
  </property>
</Properties>
</file>