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704B" w14:paraId="235C6C76" w14:textId="77777777" w:rsidTr="0010095E">
        <w:trPr>
          <w:trHeight w:hRule="exact" w:val="1418"/>
        </w:trPr>
        <w:tc>
          <w:tcPr>
            <w:tcW w:w="6804" w:type="dxa"/>
            <w:shd w:val="clear" w:color="auto" w:fill="auto"/>
            <w:vAlign w:val="center"/>
          </w:tcPr>
          <w:p w14:paraId="2510F208" w14:textId="77777777" w:rsidR="00751A4A" w:rsidRPr="004C704B" w:rsidRDefault="005B3807" w:rsidP="0010095E">
            <w:pPr>
              <w:pStyle w:val="EPName"/>
            </w:pPr>
            <w:r w:rsidRPr="004C704B">
              <w:t>Evropský parlament</w:t>
            </w:r>
          </w:p>
          <w:p w14:paraId="1621EB5C" w14:textId="77777777" w:rsidR="00751A4A" w:rsidRPr="004C704B" w:rsidRDefault="005F1B17" w:rsidP="005F1B17">
            <w:pPr>
              <w:pStyle w:val="EPTerm"/>
              <w:rPr>
                <w:rStyle w:val="HideTWBExt"/>
                <w:noProof w:val="0"/>
                <w:vanish w:val="0"/>
                <w:color w:val="auto"/>
              </w:rPr>
            </w:pPr>
            <w:r w:rsidRPr="004C704B">
              <w:t>2024</w:t>
            </w:r>
            <w:r w:rsidR="00817416" w:rsidRPr="004C704B">
              <w:t>-202</w:t>
            </w:r>
            <w:r w:rsidRPr="004C704B">
              <w:t>9</w:t>
            </w:r>
          </w:p>
        </w:tc>
        <w:tc>
          <w:tcPr>
            <w:tcW w:w="2268" w:type="dxa"/>
            <w:shd w:val="clear" w:color="auto" w:fill="auto"/>
          </w:tcPr>
          <w:p w14:paraId="2E4EE2B8" w14:textId="77777777" w:rsidR="00751A4A" w:rsidRPr="004C704B" w:rsidRDefault="00187494" w:rsidP="0010095E">
            <w:pPr>
              <w:pStyle w:val="EPLogo"/>
            </w:pPr>
            <w:r w:rsidRPr="004C704B">
              <w:rPr>
                <w:noProof/>
                <w:lang w:eastAsia="ja-JP"/>
              </w:rPr>
              <w:drawing>
                <wp:inline distT="0" distB="0" distL="0" distR="0" wp14:anchorId="6B8B2F47" wp14:editId="55A1B3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B9A683" w14:textId="77777777" w:rsidR="00D058B8" w:rsidRPr="004C704B" w:rsidRDefault="00D058B8" w:rsidP="004C5D52">
      <w:pPr>
        <w:pStyle w:val="LineTop"/>
      </w:pPr>
    </w:p>
    <w:p w14:paraId="0C35B98C" w14:textId="77777777" w:rsidR="00680577" w:rsidRPr="004C704B" w:rsidRDefault="005B3807" w:rsidP="00680577">
      <w:pPr>
        <w:pStyle w:val="EPBodyTA1"/>
      </w:pPr>
      <w:r w:rsidRPr="004C704B">
        <w:t>PŘIJATÉ TEXTY</w:t>
      </w:r>
    </w:p>
    <w:p w14:paraId="041BEE0E" w14:textId="77777777" w:rsidR="00D058B8" w:rsidRPr="004C704B" w:rsidRDefault="00D058B8" w:rsidP="00D058B8">
      <w:pPr>
        <w:pStyle w:val="LineBottom"/>
      </w:pPr>
    </w:p>
    <w:p w14:paraId="3E88396C" w14:textId="1D2C65F5" w:rsidR="005B3807" w:rsidRPr="0070507B" w:rsidRDefault="005B3807" w:rsidP="005B3807">
      <w:pPr>
        <w:pStyle w:val="ATHeading1"/>
      </w:pPr>
      <w:bookmarkStart w:id="0" w:name="TANumber"/>
      <w:r w:rsidRPr="0070507B">
        <w:t>P10_</w:t>
      </w:r>
      <w:proofErr w:type="gramStart"/>
      <w:r w:rsidRPr="0070507B">
        <w:t>TA(</w:t>
      </w:r>
      <w:proofErr w:type="gramEnd"/>
      <w:r w:rsidRPr="0070507B">
        <w:t>2026)0</w:t>
      </w:r>
      <w:r w:rsidR="001424E8">
        <w:t>251</w:t>
      </w:r>
      <w:bookmarkEnd w:id="0"/>
    </w:p>
    <w:p w14:paraId="0B0FAFC4" w14:textId="4B502FA3" w:rsidR="005B3807" w:rsidRPr="00B5555D" w:rsidRDefault="008D0CC4" w:rsidP="005B3807">
      <w:pPr>
        <w:pStyle w:val="ATHeading2"/>
      </w:pPr>
      <w:r w:rsidRPr="0070507B">
        <w:t>Digitální aktiva – výzvy pro konkurenceschopnost a integritu finančního sytému E</w:t>
      </w:r>
      <w:r w:rsidR="00B5555D">
        <w:t>vropské unie</w:t>
      </w:r>
    </w:p>
    <w:p w14:paraId="73D6A946" w14:textId="77777777" w:rsidR="005B3807" w:rsidRPr="004C704B" w:rsidRDefault="005B3807" w:rsidP="005B3807">
      <w:pPr>
        <w:rPr>
          <w:i/>
          <w:vanish/>
        </w:rPr>
      </w:pPr>
      <w:r w:rsidRPr="004C704B">
        <w:rPr>
          <w:i/>
        </w:rPr>
        <w:fldChar w:fldCharType="begin"/>
      </w:r>
      <w:r w:rsidRPr="004C704B">
        <w:rPr>
          <w:i/>
        </w:rPr>
        <w:instrText xml:space="preserve"> TC"(</w:instrText>
      </w:r>
      <w:bookmarkStart w:id="1" w:name="DocNumber"/>
      <w:r w:rsidRPr="004C704B">
        <w:rPr>
          <w:i/>
        </w:rPr>
        <w:instrText>A10-0186/2026</w:instrText>
      </w:r>
      <w:bookmarkEnd w:id="1"/>
      <w:r w:rsidRPr="004C704B">
        <w:rPr>
          <w:i/>
        </w:rPr>
        <w:instrText xml:space="preserve"> - Zpravodaj: Johan Van Overtveldt)"\l3 \n&gt; \* MERGEFORMAT </w:instrText>
      </w:r>
      <w:r w:rsidRPr="004C704B">
        <w:rPr>
          <w:i/>
        </w:rPr>
        <w:fldChar w:fldCharType="end"/>
      </w:r>
    </w:p>
    <w:p w14:paraId="0D28CFAE" w14:textId="77777777" w:rsidR="005B3807" w:rsidRPr="004C704B" w:rsidRDefault="005B3807" w:rsidP="005B3807">
      <w:pPr>
        <w:rPr>
          <w:vanish/>
        </w:rPr>
      </w:pPr>
      <w:bookmarkStart w:id="2" w:name="Commission"/>
      <w:r w:rsidRPr="004C704B">
        <w:rPr>
          <w:vanish/>
        </w:rPr>
        <w:t>Hospodářský a měnový výbor</w:t>
      </w:r>
      <w:bookmarkEnd w:id="2"/>
    </w:p>
    <w:p w14:paraId="71B3F364" w14:textId="77777777" w:rsidR="005B3807" w:rsidRPr="004C704B" w:rsidRDefault="005B3807" w:rsidP="005B3807">
      <w:pPr>
        <w:rPr>
          <w:vanish/>
        </w:rPr>
      </w:pPr>
      <w:bookmarkStart w:id="3" w:name="PE"/>
      <w:r w:rsidRPr="004C704B">
        <w:rPr>
          <w:vanish/>
        </w:rPr>
        <w:t>PE784.381</w:t>
      </w:r>
      <w:bookmarkEnd w:id="3"/>
    </w:p>
    <w:p w14:paraId="1F8D317A" w14:textId="5E404C91" w:rsidR="005B3807" w:rsidRPr="0070507B" w:rsidRDefault="005B3807" w:rsidP="005B3807">
      <w:pPr>
        <w:pStyle w:val="ATHeading3"/>
      </w:pPr>
      <w:bookmarkStart w:id="4" w:name="Sujet"/>
      <w:r w:rsidRPr="0070507B">
        <w:t>Usnesení Evropského parlamentu ze dne 7. července 2026 o digitálních aktivech – výzvy pro konkurenceschopnost a integritu finančního sytému E</w:t>
      </w:r>
      <w:r w:rsidR="006C2BC2">
        <w:t xml:space="preserve">vropské </w:t>
      </w:r>
      <w:bookmarkEnd w:id="4"/>
      <w:r w:rsidR="006C2BC2">
        <w:t>unie</w:t>
      </w:r>
      <w:r w:rsidRPr="0070507B">
        <w:t xml:space="preserve"> </w:t>
      </w:r>
      <w:bookmarkStart w:id="5" w:name="References"/>
      <w:r w:rsidRPr="0070507B">
        <w:t>(2025/2208(INI))</w:t>
      </w:r>
      <w:bookmarkEnd w:id="5"/>
    </w:p>
    <w:p w14:paraId="4F952407" w14:textId="77777777" w:rsidR="005A6FED" w:rsidRPr="004C704B" w:rsidRDefault="005A6FED" w:rsidP="0070507B">
      <w:pPr>
        <w:pStyle w:val="Normal12"/>
        <w:spacing w:before="480"/>
      </w:pPr>
      <w:r w:rsidRPr="0070507B">
        <w:rPr>
          <w:i/>
          <w:iCs/>
        </w:rPr>
        <w:t>Evropský parlament</w:t>
      </w:r>
      <w:r w:rsidRPr="004C704B">
        <w:t>,</w:t>
      </w:r>
    </w:p>
    <w:p w14:paraId="27940566" w14:textId="77777777" w:rsidR="005A6FED" w:rsidRPr="004C704B" w:rsidRDefault="005A6FED" w:rsidP="004C704B">
      <w:pPr>
        <w:pStyle w:val="NormalHanging"/>
      </w:pPr>
      <w:r w:rsidRPr="004C704B">
        <w:t>–</w:t>
      </w:r>
      <w:r w:rsidRPr="004C704B">
        <w:tab/>
        <w:t>s ohledem na přezkum týkající se finanční stability, provedený Evropskou centrální bankou (ECB), z listopadu 2025,</w:t>
      </w:r>
    </w:p>
    <w:p w14:paraId="749FE042" w14:textId="77777777" w:rsidR="005A6FED" w:rsidRPr="004C704B" w:rsidRDefault="005A6FED" w:rsidP="004C704B">
      <w:pPr>
        <w:pStyle w:val="NormalHanging"/>
      </w:pPr>
      <w:r w:rsidRPr="004C704B">
        <w:t>–</w:t>
      </w:r>
      <w:r w:rsidRPr="004C704B">
        <w:tab/>
        <w:t xml:space="preserve">s ohledem na pracovní dokument ECB č. 3199 ze dne 3. března 2026 nazvaný </w:t>
      </w:r>
      <w:proofErr w:type="spellStart"/>
      <w:r w:rsidRPr="004C704B">
        <w:t>Stablecoiny</w:t>
      </w:r>
      <w:proofErr w:type="spellEnd"/>
      <w:r w:rsidRPr="004C704B">
        <w:t xml:space="preserve"> a transmise měnové politiky (</w:t>
      </w:r>
      <w:proofErr w:type="spellStart"/>
      <w:r w:rsidRPr="004C704B">
        <w:t>Stablecoins</w:t>
      </w:r>
      <w:proofErr w:type="spellEnd"/>
      <w:r w:rsidRPr="004C704B">
        <w:t xml:space="preserve"> and </w:t>
      </w:r>
      <w:proofErr w:type="spellStart"/>
      <w:r w:rsidRPr="004C704B">
        <w:t>monetary</w:t>
      </w:r>
      <w:proofErr w:type="spellEnd"/>
      <w:r w:rsidRPr="004C704B">
        <w:t xml:space="preserve"> </w:t>
      </w:r>
      <w:proofErr w:type="spellStart"/>
      <w:r w:rsidRPr="004C704B">
        <w:t>policy</w:t>
      </w:r>
      <w:proofErr w:type="spellEnd"/>
      <w:r w:rsidRPr="004C704B">
        <w:t xml:space="preserve"> </w:t>
      </w:r>
      <w:proofErr w:type="spellStart"/>
      <w:r w:rsidRPr="004C704B">
        <w:t>transmission</w:t>
      </w:r>
      <w:proofErr w:type="spellEnd"/>
      <w:r w:rsidRPr="004C704B">
        <w:t>),</w:t>
      </w:r>
    </w:p>
    <w:p w14:paraId="346B4BBF" w14:textId="77777777" w:rsidR="005A6FED" w:rsidRPr="004C704B" w:rsidRDefault="005A6FED" w:rsidP="004C704B">
      <w:pPr>
        <w:pStyle w:val="NormalHanging"/>
      </w:pPr>
      <w:r w:rsidRPr="004C704B">
        <w:t>–</w:t>
      </w:r>
      <w:r w:rsidRPr="004C704B">
        <w:tab/>
        <w:t xml:space="preserve">s ohledem na doporučení Evropské rady pro systémová rizika (ESRB) ze dne 25. září 2025 o systémech </w:t>
      </w:r>
      <w:proofErr w:type="spellStart"/>
      <w:r w:rsidRPr="004C704B">
        <w:t>stablecoinů</w:t>
      </w:r>
      <w:proofErr w:type="spellEnd"/>
      <w:r w:rsidRPr="004C704B">
        <w:t xml:space="preserve"> ze třetích zemí s více emitenty,</w:t>
      </w:r>
    </w:p>
    <w:p w14:paraId="1345BD53" w14:textId="77777777" w:rsidR="005A6FED" w:rsidRPr="004C704B" w:rsidRDefault="005A6FED" w:rsidP="004C704B">
      <w:pPr>
        <w:pStyle w:val="NormalHanging"/>
      </w:pPr>
      <w:r w:rsidRPr="004C704B">
        <w:t>–</w:t>
      </w:r>
      <w:r w:rsidRPr="004C704B">
        <w:tab/>
        <w:t xml:space="preserve">s ohledem na zprávu Evropské rady pro systémová rizika (ESRB) z října 2025 nazvanou </w:t>
      </w:r>
      <w:proofErr w:type="spellStart"/>
      <w:r w:rsidRPr="004C704B">
        <w:t>Kryptoaktiva</w:t>
      </w:r>
      <w:proofErr w:type="spellEnd"/>
      <w:r w:rsidRPr="004C704B">
        <w:t xml:space="preserve"> a decentralizované finance – zpráva o </w:t>
      </w:r>
      <w:proofErr w:type="spellStart"/>
      <w:r w:rsidRPr="004C704B">
        <w:t>stablecoinech</w:t>
      </w:r>
      <w:proofErr w:type="spellEnd"/>
      <w:r w:rsidRPr="004C704B">
        <w:t xml:space="preserve">, </w:t>
      </w:r>
      <w:proofErr w:type="spellStart"/>
      <w:r w:rsidRPr="004C704B">
        <w:t>kruptoinvestičních</w:t>
      </w:r>
      <w:proofErr w:type="spellEnd"/>
      <w:r w:rsidRPr="004C704B">
        <w:t xml:space="preserve"> produktech a multifunkčních skupinách (</w:t>
      </w:r>
      <w:proofErr w:type="spellStart"/>
      <w:r w:rsidRPr="004C704B">
        <w:t>Crypto-assets</w:t>
      </w:r>
      <w:proofErr w:type="spellEnd"/>
      <w:r w:rsidRPr="004C704B">
        <w:t xml:space="preserve"> and </w:t>
      </w:r>
      <w:proofErr w:type="spellStart"/>
      <w:r w:rsidRPr="004C704B">
        <w:t>decentralised</w:t>
      </w:r>
      <w:proofErr w:type="spellEnd"/>
      <w:r w:rsidRPr="004C704B">
        <w:t xml:space="preserve"> finance – Report on </w:t>
      </w:r>
      <w:proofErr w:type="spellStart"/>
      <w:r w:rsidRPr="004C704B">
        <w:t>stablecoins</w:t>
      </w:r>
      <w:proofErr w:type="spellEnd"/>
      <w:r w:rsidRPr="004C704B">
        <w:t xml:space="preserve">, </w:t>
      </w:r>
      <w:proofErr w:type="spellStart"/>
      <w:r w:rsidRPr="004C704B">
        <w:t>crypto-investment</w:t>
      </w:r>
      <w:proofErr w:type="spellEnd"/>
      <w:r w:rsidRPr="004C704B">
        <w:t xml:space="preserve"> </w:t>
      </w:r>
      <w:proofErr w:type="spellStart"/>
      <w:r w:rsidRPr="004C704B">
        <w:t>products</w:t>
      </w:r>
      <w:proofErr w:type="spellEnd"/>
      <w:r w:rsidRPr="004C704B">
        <w:t xml:space="preserve"> and </w:t>
      </w:r>
      <w:proofErr w:type="spellStart"/>
      <w:r w:rsidRPr="004C704B">
        <w:t>multi-function</w:t>
      </w:r>
      <w:proofErr w:type="spellEnd"/>
      <w:r w:rsidRPr="004C704B">
        <w:t xml:space="preserve"> </w:t>
      </w:r>
      <w:proofErr w:type="spellStart"/>
      <w:r w:rsidRPr="004C704B">
        <w:t>group</w:t>
      </w:r>
      <w:proofErr w:type="spellEnd"/>
      <w:r w:rsidRPr="004C704B">
        <w:t>),</w:t>
      </w:r>
    </w:p>
    <w:p w14:paraId="757CD1F2" w14:textId="340E3E28" w:rsidR="005A6FED" w:rsidRPr="004C704B" w:rsidRDefault="005A6FED" w:rsidP="004C704B">
      <w:pPr>
        <w:pStyle w:val="NormalHanging"/>
      </w:pPr>
      <w:r w:rsidRPr="004C704B">
        <w:t>–</w:t>
      </w:r>
      <w:r w:rsidRPr="004C704B">
        <w:tab/>
        <w:t>s ohledem na pokyny Evropského orgánu pro cenné papíry a trhy (ESMA) ze dne 19.</w:t>
      </w:r>
      <w:r w:rsidR="00BA0A44" w:rsidRPr="004C704B">
        <w:t> </w:t>
      </w:r>
      <w:r w:rsidRPr="004C704B">
        <w:t xml:space="preserve">března 2025 o podmínkách a kritériích pro kvalifikaci </w:t>
      </w:r>
      <w:proofErr w:type="spellStart"/>
      <w:r w:rsidRPr="004C704B">
        <w:t>kryptoaktiv</w:t>
      </w:r>
      <w:proofErr w:type="spellEnd"/>
      <w:r w:rsidRPr="004C704B">
        <w:t xml:space="preserve"> jako finančních nástrojů,</w:t>
      </w:r>
    </w:p>
    <w:p w14:paraId="508F24FA" w14:textId="77777777" w:rsidR="005A6FED" w:rsidRPr="004C704B" w:rsidRDefault="005A6FED" w:rsidP="004C704B">
      <w:pPr>
        <w:pStyle w:val="NormalHanging"/>
      </w:pPr>
      <w:r w:rsidRPr="004C704B">
        <w:t>–</w:t>
      </w:r>
      <w:r w:rsidRPr="004C704B">
        <w:tab/>
        <w:t xml:space="preserve">s ohledem na zprávu Evropského orgánu pro bankovnictví (EBA) z prosince 2024 nazvanou Zpráva o </w:t>
      </w:r>
      <w:proofErr w:type="spellStart"/>
      <w:r w:rsidRPr="004C704B">
        <w:t>tokenizovaných</w:t>
      </w:r>
      <w:proofErr w:type="spellEnd"/>
      <w:r w:rsidRPr="004C704B">
        <w:t xml:space="preserve"> vkladech (Report on </w:t>
      </w:r>
      <w:proofErr w:type="spellStart"/>
      <w:r w:rsidRPr="004C704B">
        <w:t>tokenised</w:t>
      </w:r>
      <w:proofErr w:type="spellEnd"/>
      <w:r w:rsidRPr="004C704B">
        <w:t xml:space="preserve"> </w:t>
      </w:r>
      <w:proofErr w:type="spellStart"/>
      <w:r w:rsidRPr="004C704B">
        <w:t>deposits</w:t>
      </w:r>
      <w:proofErr w:type="spellEnd"/>
      <w:r w:rsidRPr="004C704B">
        <w:t>),</w:t>
      </w:r>
    </w:p>
    <w:p w14:paraId="1E8A7299" w14:textId="77777777" w:rsidR="005A6FED" w:rsidRPr="004C704B" w:rsidRDefault="005A6FED" w:rsidP="004C704B">
      <w:pPr>
        <w:pStyle w:val="NormalHanging"/>
      </w:pPr>
      <w:r w:rsidRPr="004C704B">
        <w:t>–</w:t>
      </w:r>
      <w:r w:rsidRPr="004C704B">
        <w:tab/>
        <w:t xml:space="preserve">s ohledem na zprávu orgánu EBA z října 2025 nazvanou Zpráva o řešení rizik praní peněz a financování terorismu ve službách souvisejících s </w:t>
      </w:r>
      <w:proofErr w:type="spellStart"/>
      <w:r w:rsidRPr="004C704B">
        <w:t>kryptoaktivy</w:t>
      </w:r>
      <w:proofErr w:type="spellEnd"/>
      <w:r w:rsidRPr="004C704B">
        <w:t xml:space="preserve"> prostřednictvím dohledu – poučení z nedávných případů (Report on </w:t>
      </w:r>
      <w:proofErr w:type="spellStart"/>
      <w:r w:rsidRPr="004C704B">
        <w:t>tackling</w:t>
      </w:r>
      <w:proofErr w:type="spellEnd"/>
      <w:r w:rsidRPr="004C704B">
        <w:t xml:space="preserve"> ML/TF </w:t>
      </w:r>
      <w:proofErr w:type="spellStart"/>
      <w:r w:rsidRPr="004C704B">
        <w:t>risks</w:t>
      </w:r>
      <w:proofErr w:type="spellEnd"/>
      <w:r w:rsidRPr="004C704B">
        <w:t xml:space="preserve"> in </w:t>
      </w:r>
      <w:proofErr w:type="spellStart"/>
      <w:r w:rsidRPr="004C704B">
        <w:t>crypto-asset</w:t>
      </w:r>
      <w:proofErr w:type="spellEnd"/>
      <w:r w:rsidRPr="004C704B">
        <w:t xml:space="preserve"> </w:t>
      </w:r>
      <w:proofErr w:type="spellStart"/>
      <w:r w:rsidRPr="004C704B">
        <w:t>services</w:t>
      </w:r>
      <w:proofErr w:type="spellEnd"/>
      <w:r w:rsidRPr="004C704B">
        <w:t xml:space="preserve"> </w:t>
      </w:r>
      <w:proofErr w:type="spellStart"/>
      <w:r w:rsidRPr="004C704B">
        <w:t>through</w:t>
      </w:r>
      <w:proofErr w:type="spellEnd"/>
      <w:r w:rsidRPr="004C704B">
        <w:t xml:space="preserve"> </w:t>
      </w:r>
      <w:proofErr w:type="spellStart"/>
      <w:r w:rsidRPr="004C704B">
        <w:t>supervision</w:t>
      </w:r>
      <w:proofErr w:type="spellEnd"/>
      <w:r w:rsidRPr="004C704B">
        <w:t xml:space="preserve"> – </w:t>
      </w:r>
      <w:proofErr w:type="spellStart"/>
      <w:r w:rsidRPr="004C704B">
        <w:t>Lessons</w:t>
      </w:r>
      <w:proofErr w:type="spellEnd"/>
      <w:r w:rsidRPr="004C704B">
        <w:t xml:space="preserve"> </w:t>
      </w:r>
      <w:proofErr w:type="spellStart"/>
      <w:r w:rsidRPr="004C704B">
        <w:t>learned</w:t>
      </w:r>
      <w:proofErr w:type="spellEnd"/>
      <w:r w:rsidRPr="004C704B">
        <w:t xml:space="preserve"> </w:t>
      </w:r>
      <w:proofErr w:type="spellStart"/>
      <w:r w:rsidRPr="004C704B">
        <w:t>from</w:t>
      </w:r>
      <w:proofErr w:type="spellEnd"/>
      <w:r w:rsidRPr="004C704B">
        <w:t xml:space="preserve"> </w:t>
      </w:r>
      <w:proofErr w:type="spellStart"/>
      <w:r w:rsidRPr="004C704B">
        <w:t>recent</w:t>
      </w:r>
      <w:proofErr w:type="spellEnd"/>
      <w:r w:rsidRPr="004C704B">
        <w:t xml:space="preserve"> </w:t>
      </w:r>
      <w:proofErr w:type="spellStart"/>
      <w:r w:rsidRPr="004C704B">
        <w:t>cases</w:t>
      </w:r>
      <w:proofErr w:type="spellEnd"/>
      <w:r w:rsidRPr="004C704B">
        <w:t>),</w:t>
      </w:r>
    </w:p>
    <w:p w14:paraId="405B2103" w14:textId="77777777" w:rsidR="005A6FED" w:rsidRPr="004C704B" w:rsidRDefault="005A6FED" w:rsidP="004C704B">
      <w:pPr>
        <w:pStyle w:val="NormalHanging"/>
      </w:pPr>
      <w:r w:rsidRPr="004C704B">
        <w:t>–</w:t>
      </w:r>
      <w:r w:rsidRPr="004C704B">
        <w:tab/>
        <w:t xml:space="preserve">s ohledem na vydání časopisu Mezinárodního měnového fondu „Finance and </w:t>
      </w:r>
      <w:r w:rsidRPr="004C704B">
        <w:lastRenderedPageBreak/>
        <w:t xml:space="preserve">Development“ ze září 2025 s názvem </w:t>
      </w:r>
      <w:proofErr w:type="spellStart"/>
      <w:r w:rsidRPr="004C704B">
        <w:t>Stablecoiny</w:t>
      </w:r>
      <w:proofErr w:type="spellEnd"/>
      <w:r w:rsidRPr="004C704B">
        <w:t xml:space="preserve"> a budoucnost financí (</w:t>
      </w:r>
      <w:proofErr w:type="spellStart"/>
      <w:r w:rsidRPr="004C704B">
        <w:t>Stablecoins</w:t>
      </w:r>
      <w:proofErr w:type="spellEnd"/>
      <w:r w:rsidRPr="004C704B">
        <w:t xml:space="preserve"> and </w:t>
      </w:r>
      <w:proofErr w:type="spellStart"/>
      <w:r w:rsidRPr="004C704B">
        <w:t>the</w:t>
      </w:r>
      <w:proofErr w:type="spellEnd"/>
      <w:r w:rsidRPr="004C704B">
        <w:t xml:space="preserve"> </w:t>
      </w:r>
      <w:proofErr w:type="spellStart"/>
      <w:r w:rsidRPr="004C704B">
        <w:t>future</w:t>
      </w:r>
      <w:proofErr w:type="spellEnd"/>
      <w:r w:rsidRPr="004C704B">
        <w:t xml:space="preserve"> </w:t>
      </w:r>
      <w:proofErr w:type="spellStart"/>
      <w:r w:rsidRPr="004C704B">
        <w:t>of</w:t>
      </w:r>
      <w:proofErr w:type="spellEnd"/>
      <w:r w:rsidRPr="004C704B">
        <w:t xml:space="preserve"> finance)</w:t>
      </w:r>
      <w:r w:rsidRPr="004C704B">
        <w:rPr>
          <w:rStyle w:val="FootnoteReference"/>
        </w:rPr>
        <w:footnoteReference w:customMarkFollows="1" w:id="1"/>
        <w:t>1</w:t>
      </w:r>
      <w:r w:rsidRPr="004C704B">
        <w:t>,</w:t>
      </w:r>
    </w:p>
    <w:p w14:paraId="030E4A3C" w14:textId="77777777" w:rsidR="005A6FED" w:rsidRPr="004C704B" w:rsidRDefault="005A6FED" w:rsidP="004C704B">
      <w:pPr>
        <w:pStyle w:val="NormalHanging"/>
      </w:pPr>
      <w:r w:rsidRPr="004C704B">
        <w:t>–</w:t>
      </w:r>
      <w:r w:rsidRPr="004C704B">
        <w:tab/>
        <w:t xml:space="preserve">s ohledem na zprávu Mezinárodní organizace komisí pro cenné papíry z listopadu 2025 nazvanou </w:t>
      </w:r>
      <w:proofErr w:type="spellStart"/>
      <w:r w:rsidRPr="004C704B">
        <w:t>Tokenizace</w:t>
      </w:r>
      <w:proofErr w:type="spellEnd"/>
      <w:r w:rsidRPr="004C704B">
        <w:t xml:space="preserve"> finančních aktiv (</w:t>
      </w:r>
      <w:proofErr w:type="spellStart"/>
      <w:r w:rsidRPr="004C704B">
        <w:t>Tokenization</w:t>
      </w:r>
      <w:proofErr w:type="spellEnd"/>
      <w:r w:rsidRPr="004C704B">
        <w:t xml:space="preserve"> </w:t>
      </w:r>
      <w:proofErr w:type="spellStart"/>
      <w:r w:rsidRPr="004C704B">
        <w:t>of</w:t>
      </w:r>
      <w:proofErr w:type="spellEnd"/>
      <w:r w:rsidRPr="004C704B">
        <w:t xml:space="preserve"> </w:t>
      </w:r>
      <w:proofErr w:type="spellStart"/>
      <w:r w:rsidRPr="004C704B">
        <w:t>financial</w:t>
      </w:r>
      <w:proofErr w:type="spellEnd"/>
      <w:r w:rsidRPr="004C704B">
        <w:t xml:space="preserve"> </w:t>
      </w:r>
      <w:proofErr w:type="spellStart"/>
      <w:r w:rsidRPr="004C704B">
        <w:t>assets</w:t>
      </w:r>
      <w:proofErr w:type="spellEnd"/>
      <w:r w:rsidRPr="004C704B">
        <w:t>),</w:t>
      </w:r>
    </w:p>
    <w:p w14:paraId="5642809D" w14:textId="158AD058" w:rsidR="005A6FED" w:rsidRPr="004C704B" w:rsidRDefault="005A6FED" w:rsidP="004C704B">
      <w:pPr>
        <w:pStyle w:val="NormalHanging"/>
      </w:pPr>
      <w:r w:rsidRPr="004C704B">
        <w:t>–</w:t>
      </w:r>
      <w:r w:rsidRPr="004C704B">
        <w:tab/>
        <w:t>s ohledem na výroční hospodářskou zprávu Banky pro mezinárodní platby (BIS) z</w:t>
      </w:r>
      <w:r w:rsidR="00BA0A44" w:rsidRPr="004C704B">
        <w:t> </w:t>
      </w:r>
      <w:r w:rsidRPr="004C704B">
        <w:t>června 2025,</w:t>
      </w:r>
    </w:p>
    <w:p w14:paraId="504CF64E" w14:textId="77777777" w:rsidR="005A6FED" w:rsidRPr="004C704B" w:rsidRDefault="005A6FED" w:rsidP="004C704B">
      <w:pPr>
        <w:pStyle w:val="NormalHanging"/>
      </w:pPr>
      <w:r w:rsidRPr="004C704B">
        <w:t>–</w:t>
      </w:r>
      <w:r w:rsidRPr="004C704B">
        <w:tab/>
        <w:t>s ohledem na zprávu Rady pro finanční stabilitu (FSB) ze dne 16. října 2025 nazvanou Tematický přehled globálního regulačního rámce FSB pro činnosti související s </w:t>
      </w:r>
      <w:proofErr w:type="spellStart"/>
      <w:r w:rsidRPr="004C704B">
        <w:t>kryptoaktivy</w:t>
      </w:r>
      <w:proofErr w:type="spellEnd"/>
      <w:r w:rsidRPr="004C704B">
        <w:t xml:space="preserve"> (</w:t>
      </w:r>
      <w:proofErr w:type="spellStart"/>
      <w:r w:rsidRPr="004C704B">
        <w:t>Thematic</w:t>
      </w:r>
      <w:proofErr w:type="spellEnd"/>
      <w:r w:rsidRPr="004C704B">
        <w:t xml:space="preserve"> </w:t>
      </w:r>
      <w:proofErr w:type="spellStart"/>
      <w:r w:rsidRPr="004C704B">
        <w:t>Review</w:t>
      </w:r>
      <w:proofErr w:type="spellEnd"/>
      <w:r w:rsidRPr="004C704B">
        <w:t xml:space="preserve"> on FSB </w:t>
      </w:r>
      <w:proofErr w:type="spellStart"/>
      <w:r w:rsidRPr="004C704B">
        <w:t>Global</w:t>
      </w:r>
      <w:proofErr w:type="spellEnd"/>
      <w:r w:rsidRPr="004C704B">
        <w:t xml:space="preserve"> </w:t>
      </w:r>
      <w:proofErr w:type="spellStart"/>
      <w:r w:rsidRPr="004C704B">
        <w:t>Regulatory</w:t>
      </w:r>
      <w:proofErr w:type="spellEnd"/>
      <w:r w:rsidRPr="004C704B">
        <w:t xml:space="preserve"> Framework </w:t>
      </w:r>
      <w:proofErr w:type="spellStart"/>
      <w:r w:rsidRPr="004C704B">
        <w:t>for</w:t>
      </w:r>
      <w:proofErr w:type="spellEnd"/>
      <w:r w:rsidRPr="004C704B">
        <w:t xml:space="preserve"> </w:t>
      </w:r>
      <w:proofErr w:type="spellStart"/>
      <w:r w:rsidRPr="004C704B">
        <w:t>Crypto-asset</w:t>
      </w:r>
      <w:proofErr w:type="spellEnd"/>
      <w:r w:rsidRPr="004C704B">
        <w:t xml:space="preserve"> </w:t>
      </w:r>
      <w:proofErr w:type="spellStart"/>
      <w:r w:rsidRPr="004C704B">
        <w:t>Activities</w:t>
      </w:r>
      <w:proofErr w:type="spellEnd"/>
      <w:r w:rsidRPr="004C704B">
        <w:t>),</w:t>
      </w:r>
    </w:p>
    <w:p w14:paraId="3391F510" w14:textId="77777777" w:rsidR="005A6FED" w:rsidRPr="004C704B" w:rsidRDefault="005A6FED" w:rsidP="004C704B">
      <w:pPr>
        <w:pStyle w:val="NormalHanging"/>
      </w:pPr>
      <w:r w:rsidRPr="004C704B">
        <w:t>–</w:t>
      </w:r>
      <w:r w:rsidRPr="004C704B">
        <w:tab/>
        <w:t xml:space="preserve">s ohledem na situační zprávu FSB ze dne 22. října 2024 nazvanou Plán G20 týkající se provádění politiky v oblasti </w:t>
      </w:r>
      <w:proofErr w:type="spellStart"/>
      <w:r w:rsidRPr="004C704B">
        <w:t>kryptoaktiv</w:t>
      </w:r>
      <w:proofErr w:type="spellEnd"/>
      <w:r w:rsidRPr="004C704B">
        <w:t xml:space="preserve"> (G20 </w:t>
      </w:r>
      <w:proofErr w:type="spellStart"/>
      <w:r w:rsidRPr="004C704B">
        <w:t>Crypto-asset</w:t>
      </w:r>
      <w:proofErr w:type="spellEnd"/>
      <w:r w:rsidRPr="004C704B">
        <w:t xml:space="preserve"> </w:t>
      </w:r>
      <w:proofErr w:type="spellStart"/>
      <w:r w:rsidRPr="004C704B">
        <w:t>Policy</w:t>
      </w:r>
      <w:proofErr w:type="spellEnd"/>
      <w:r w:rsidRPr="004C704B">
        <w:t xml:space="preserve"> </w:t>
      </w:r>
      <w:proofErr w:type="spellStart"/>
      <w:r w:rsidRPr="004C704B">
        <w:t>Implementation</w:t>
      </w:r>
      <w:proofErr w:type="spellEnd"/>
      <w:r w:rsidRPr="004C704B">
        <w:t xml:space="preserve"> </w:t>
      </w:r>
      <w:proofErr w:type="spellStart"/>
      <w:r w:rsidRPr="004C704B">
        <w:t>Roadmap</w:t>
      </w:r>
      <w:proofErr w:type="spellEnd"/>
      <w:r w:rsidRPr="004C704B">
        <w:t>),</w:t>
      </w:r>
    </w:p>
    <w:p w14:paraId="017341C8" w14:textId="77777777" w:rsidR="005A6FED" w:rsidRPr="004C704B" w:rsidRDefault="005A6FED" w:rsidP="004C704B">
      <w:pPr>
        <w:pStyle w:val="NormalHanging"/>
      </w:pPr>
      <w:r w:rsidRPr="004C704B">
        <w:t>–</w:t>
      </w:r>
      <w:r w:rsidRPr="004C704B">
        <w:tab/>
        <w:t xml:space="preserve">s ohledem na situační zprávu FSB ze dne 22. října 2024 nazvanou Dopady </w:t>
      </w:r>
      <w:proofErr w:type="spellStart"/>
      <w:r w:rsidRPr="004C704B">
        <w:t>tokenizace</w:t>
      </w:r>
      <w:proofErr w:type="spellEnd"/>
      <w:r w:rsidRPr="004C704B">
        <w:t xml:space="preserve"> na finanční stabilitu (G20 </w:t>
      </w:r>
      <w:proofErr w:type="spellStart"/>
      <w:r w:rsidRPr="004C704B">
        <w:t>Crypto-asset</w:t>
      </w:r>
      <w:proofErr w:type="spellEnd"/>
      <w:r w:rsidRPr="004C704B">
        <w:t xml:space="preserve"> </w:t>
      </w:r>
      <w:proofErr w:type="spellStart"/>
      <w:r w:rsidRPr="004C704B">
        <w:t>Policy</w:t>
      </w:r>
      <w:proofErr w:type="spellEnd"/>
      <w:r w:rsidRPr="004C704B">
        <w:t xml:space="preserve"> </w:t>
      </w:r>
      <w:proofErr w:type="spellStart"/>
      <w:r w:rsidRPr="004C704B">
        <w:t>Implementation</w:t>
      </w:r>
      <w:proofErr w:type="spellEnd"/>
      <w:r w:rsidRPr="004C704B">
        <w:t xml:space="preserve"> </w:t>
      </w:r>
      <w:proofErr w:type="spellStart"/>
      <w:r w:rsidRPr="004C704B">
        <w:t>Roadmap</w:t>
      </w:r>
      <w:proofErr w:type="spellEnd"/>
      <w:r w:rsidRPr="004C704B">
        <w:t>),</w:t>
      </w:r>
    </w:p>
    <w:p w14:paraId="3DAF3666" w14:textId="77777777" w:rsidR="005A6FED" w:rsidRPr="004C704B" w:rsidRDefault="005A6FED" w:rsidP="004C704B">
      <w:pPr>
        <w:pStyle w:val="NormalHanging"/>
      </w:pPr>
      <w:r w:rsidRPr="004C704B">
        <w:t>–</w:t>
      </w:r>
      <w:r w:rsidRPr="004C704B">
        <w:tab/>
        <w:t xml:space="preserve">s ohledem na konzultační dokument Bank </w:t>
      </w:r>
      <w:proofErr w:type="spellStart"/>
      <w:r w:rsidRPr="004C704B">
        <w:t>of</w:t>
      </w:r>
      <w:proofErr w:type="spellEnd"/>
      <w:r w:rsidRPr="004C704B">
        <w:t xml:space="preserve"> </w:t>
      </w:r>
      <w:proofErr w:type="spellStart"/>
      <w:r w:rsidRPr="004C704B">
        <w:t>England</w:t>
      </w:r>
      <w:proofErr w:type="spellEnd"/>
      <w:r w:rsidRPr="004C704B">
        <w:t xml:space="preserve"> ze dne 10. listopadu 2025 nazvaný Návrh regulačního režimu pro systémové </w:t>
      </w:r>
      <w:proofErr w:type="spellStart"/>
      <w:r w:rsidRPr="004C704B">
        <w:t>stablecoiny</w:t>
      </w:r>
      <w:proofErr w:type="spellEnd"/>
      <w:r w:rsidRPr="004C704B">
        <w:t xml:space="preserve"> denominované v librách šterlinků (</w:t>
      </w:r>
      <w:proofErr w:type="spellStart"/>
      <w:r w:rsidRPr="004C704B">
        <w:t>Proposed</w:t>
      </w:r>
      <w:proofErr w:type="spellEnd"/>
      <w:r w:rsidRPr="004C704B">
        <w:t xml:space="preserve"> </w:t>
      </w:r>
      <w:proofErr w:type="spellStart"/>
      <w:r w:rsidRPr="004C704B">
        <w:t>regulatory</w:t>
      </w:r>
      <w:proofErr w:type="spellEnd"/>
      <w:r w:rsidRPr="004C704B">
        <w:t xml:space="preserve"> </w:t>
      </w:r>
      <w:proofErr w:type="spellStart"/>
      <w:r w:rsidRPr="004C704B">
        <w:t>regime</w:t>
      </w:r>
      <w:proofErr w:type="spellEnd"/>
      <w:r w:rsidRPr="004C704B">
        <w:t xml:space="preserve"> </w:t>
      </w:r>
      <w:proofErr w:type="spellStart"/>
      <w:r w:rsidRPr="004C704B">
        <w:t>for</w:t>
      </w:r>
      <w:proofErr w:type="spellEnd"/>
      <w:r w:rsidRPr="004C704B">
        <w:t xml:space="preserve"> sterling-</w:t>
      </w:r>
      <w:proofErr w:type="spellStart"/>
      <w:r w:rsidRPr="004C704B">
        <w:t>denominated</w:t>
      </w:r>
      <w:proofErr w:type="spellEnd"/>
      <w:r w:rsidRPr="004C704B">
        <w:t xml:space="preserve"> </w:t>
      </w:r>
      <w:proofErr w:type="spellStart"/>
      <w:r w:rsidRPr="004C704B">
        <w:t>systemic</w:t>
      </w:r>
      <w:proofErr w:type="spellEnd"/>
      <w:r w:rsidRPr="004C704B">
        <w:t xml:space="preserve"> </w:t>
      </w:r>
      <w:proofErr w:type="spellStart"/>
      <w:r w:rsidRPr="004C704B">
        <w:t>stablecoins</w:t>
      </w:r>
      <w:proofErr w:type="spellEnd"/>
      <w:r w:rsidRPr="004C704B">
        <w:t>),</w:t>
      </w:r>
    </w:p>
    <w:p w14:paraId="05C6CF5C" w14:textId="77777777" w:rsidR="005A6FED" w:rsidRPr="004C704B" w:rsidRDefault="005A6FED" w:rsidP="004C704B">
      <w:pPr>
        <w:pStyle w:val="NormalHanging"/>
      </w:pPr>
      <w:r w:rsidRPr="004C704B">
        <w:t>–</w:t>
      </w:r>
      <w:r w:rsidRPr="004C704B">
        <w:tab/>
        <w:t xml:space="preserve">s ohledem na informační sdělení oddělení pro kontrolu správy ekonomických záležitostí a HMU z listopadu 2025 </w:t>
      </w:r>
      <w:proofErr w:type="gramStart"/>
      <w:r w:rsidRPr="004C704B">
        <w:t>nazvané Digitální aktiva</w:t>
      </w:r>
      <w:proofErr w:type="gramEnd"/>
      <w:r w:rsidRPr="004C704B">
        <w:t xml:space="preserve">: regulační rámec EU, zavádění na trh, rizika a výzvy (Digital </w:t>
      </w:r>
      <w:proofErr w:type="spellStart"/>
      <w:r w:rsidRPr="004C704B">
        <w:t>assets</w:t>
      </w:r>
      <w:proofErr w:type="spellEnd"/>
      <w:r w:rsidRPr="004C704B">
        <w:t xml:space="preserve">: EU </w:t>
      </w:r>
      <w:proofErr w:type="spellStart"/>
      <w:r w:rsidRPr="004C704B">
        <w:t>regulatory</w:t>
      </w:r>
      <w:proofErr w:type="spellEnd"/>
      <w:r w:rsidRPr="004C704B">
        <w:t xml:space="preserve"> framework, market </w:t>
      </w:r>
      <w:proofErr w:type="spellStart"/>
      <w:r w:rsidRPr="004C704B">
        <w:t>uptake</w:t>
      </w:r>
      <w:proofErr w:type="spellEnd"/>
      <w:r w:rsidRPr="004C704B">
        <w:t xml:space="preserve">, </w:t>
      </w:r>
      <w:proofErr w:type="spellStart"/>
      <w:r w:rsidRPr="004C704B">
        <w:t>risks</w:t>
      </w:r>
      <w:proofErr w:type="spellEnd"/>
      <w:r w:rsidRPr="004C704B">
        <w:t xml:space="preserve"> and </w:t>
      </w:r>
      <w:proofErr w:type="spellStart"/>
      <w:r w:rsidRPr="004C704B">
        <w:t>challenges</w:t>
      </w:r>
      <w:proofErr w:type="spellEnd"/>
      <w:r w:rsidRPr="004C704B">
        <w:t>),</w:t>
      </w:r>
    </w:p>
    <w:p w14:paraId="370DB55E" w14:textId="77777777" w:rsidR="005A6FED" w:rsidRPr="004C704B" w:rsidRDefault="005A6FED" w:rsidP="004C704B">
      <w:pPr>
        <w:pStyle w:val="NormalHanging"/>
      </w:pPr>
      <w:r w:rsidRPr="004C704B">
        <w:t>–</w:t>
      </w:r>
      <w:r w:rsidRPr="004C704B">
        <w:tab/>
        <w:t xml:space="preserve">s ohledem na dokument Organizace pro hospodářskou spolupráci a rozvoj (OECD) ze dne 9. ledna 2025 nazvaný </w:t>
      </w:r>
      <w:proofErr w:type="spellStart"/>
      <w:r w:rsidRPr="004C704B">
        <w:t>Tokenizace</w:t>
      </w:r>
      <w:proofErr w:type="spellEnd"/>
      <w:r w:rsidRPr="004C704B">
        <w:t xml:space="preserve"> aktiv a technologií distribuované účetní knihy na finančních trzích – potenciální překážky rozvoje trhu a politické důsledky (</w:t>
      </w:r>
      <w:proofErr w:type="spellStart"/>
      <w:r w:rsidRPr="004C704B">
        <w:t>Tokenisation</w:t>
      </w:r>
      <w:proofErr w:type="spellEnd"/>
      <w:r w:rsidRPr="004C704B">
        <w:t xml:space="preserve"> </w:t>
      </w:r>
      <w:proofErr w:type="spellStart"/>
      <w:r w:rsidRPr="004C704B">
        <w:t>of</w:t>
      </w:r>
      <w:proofErr w:type="spellEnd"/>
      <w:r w:rsidRPr="004C704B">
        <w:t xml:space="preserve"> </w:t>
      </w:r>
      <w:proofErr w:type="spellStart"/>
      <w:r w:rsidRPr="004C704B">
        <w:t>assets</w:t>
      </w:r>
      <w:proofErr w:type="spellEnd"/>
      <w:r w:rsidRPr="004C704B">
        <w:t xml:space="preserve"> and </w:t>
      </w:r>
      <w:proofErr w:type="spellStart"/>
      <w:r w:rsidRPr="004C704B">
        <w:t>distributed</w:t>
      </w:r>
      <w:proofErr w:type="spellEnd"/>
      <w:r w:rsidRPr="004C704B">
        <w:t xml:space="preserve"> </w:t>
      </w:r>
      <w:proofErr w:type="spellStart"/>
      <w:r w:rsidRPr="004C704B">
        <w:t>ledger</w:t>
      </w:r>
      <w:proofErr w:type="spellEnd"/>
      <w:r w:rsidRPr="004C704B">
        <w:t xml:space="preserve"> </w:t>
      </w:r>
      <w:proofErr w:type="spellStart"/>
      <w:r w:rsidRPr="004C704B">
        <w:t>technologies</w:t>
      </w:r>
      <w:proofErr w:type="spellEnd"/>
      <w:r w:rsidRPr="004C704B">
        <w:t xml:space="preserve"> in </w:t>
      </w:r>
      <w:proofErr w:type="spellStart"/>
      <w:r w:rsidRPr="004C704B">
        <w:t>financial</w:t>
      </w:r>
      <w:proofErr w:type="spellEnd"/>
      <w:r w:rsidRPr="004C704B">
        <w:t xml:space="preserve"> </w:t>
      </w:r>
      <w:proofErr w:type="spellStart"/>
      <w:r w:rsidRPr="004C704B">
        <w:t>markets</w:t>
      </w:r>
      <w:proofErr w:type="spellEnd"/>
      <w:r w:rsidRPr="004C704B">
        <w:t xml:space="preserve"> – </w:t>
      </w:r>
      <w:proofErr w:type="spellStart"/>
      <w:r w:rsidRPr="004C704B">
        <w:t>Potential</w:t>
      </w:r>
      <w:proofErr w:type="spellEnd"/>
      <w:r w:rsidRPr="004C704B">
        <w:t xml:space="preserve"> </w:t>
      </w:r>
      <w:proofErr w:type="spellStart"/>
      <w:r w:rsidRPr="004C704B">
        <w:t>impediments</w:t>
      </w:r>
      <w:proofErr w:type="spellEnd"/>
      <w:r w:rsidRPr="004C704B">
        <w:t xml:space="preserve"> to market development and </w:t>
      </w:r>
      <w:proofErr w:type="spellStart"/>
      <w:r w:rsidRPr="004C704B">
        <w:t>policy</w:t>
      </w:r>
      <w:proofErr w:type="spellEnd"/>
      <w:r w:rsidRPr="004C704B">
        <w:t xml:space="preserve"> </w:t>
      </w:r>
      <w:proofErr w:type="spellStart"/>
      <w:r w:rsidRPr="004C704B">
        <w:t>implications</w:t>
      </w:r>
      <w:proofErr w:type="spellEnd"/>
      <w:r w:rsidRPr="004C704B">
        <w:t>)</w:t>
      </w:r>
      <w:r w:rsidRPr="004C704B">
        <w:rPr>
          <w:rStyle w:val="FootnoteReference"/>
        </w:rPr>
        <w:footnoteReference w:customMarkFollows="1" w:id="2"/>
        <w:t>2</w:t>
      </w:r>
      <w:r w:rsidRPr="004C704B">
        <w:t>,</w:t>
      </w:r>
    </w:p>
    <w:p w14:paraId="23F3B2CA" w14:textId="77777777" w:rsidR="005A6FED" w:rsidRPr="004C704B" w:rsidRDefault="005A6FED" w:rsidP="004C704B">
      <w:pPr>
        <w:pStyle w:val="NormalHanging"/>
      </w:pPr>
      <w:r w:rsidRPr="004C704B">
        <w:t>–</w:t>
      </w:r>
      <w:r w:rsidRPr="004C704B">
        <w:tab/>
        <w:t>s ohledem na článek 55 jednacího řádu,</w:t>
      </w:r>
    </w:p>
    <w:p w14:paraId="571EA87A" w14:textId="77777777" w:rsidR="005A6FED" w:rsidRPr="004C704B" w:rsidRDefault="005A6FED" w:rsidP="004C704B">
      <w:pPr>
        <w:pStyle w:val="NormalHanging"/>
      </w:pPr>
      <w:r w:rsidRPr="004C704B">
        <w:t>–</w:t>
      </w:r>
      <w:r w:rsidRPr="004C704B">
        <w:tab/>
        <w:t>s ohledem na zprávu Hospodářského a měnového výboru (A10-0186/2026),</w:t>
      </w:r>
    </w:p>
    <w:p w14:paraId="4E3239E5" w14:textId="77777777" w:rsidR="005A6FED" w:rsidRPr="004C704B" w:rsidRDefault="005A6FED" w:rsidP="004C704B">
      <w:pPr>
        <w:pStyle w:val="NormalHanging"/>
      </w:pPr>
      <w:r w:rsidRPr="004C704B">
        <w:t>A.</w:t>
      </w:r>
      <w:r w:rsidRPr="004C704B">
        <w:tab/>
        <w:t xml:space="preserve">vzhledem k tomu, že průzkum ECB o očekáváních spotřebitelů z listopadu 2024 zjistil, že v průměru 9,7 % respondentů průzkumu nebo někdo, s nímž respondenti žijí ve společné domácnosti, vlastní </w:t>
      </w:r>
      <w:proofErr w:type="spellStart"/>
      <w:r w:rsidRPr="004C704B">
        <w:t>kryptoaktiva</w:t>
      </w:r>
      <w:proofErr w:type="spellEnd"/>
      <w:r w:rsidRPr="004C704B">
        <w:t>, přičemž 54 % z nich uvedlo, že je drží v hodnotě nižší než 1 000 EUR, a 91 % uvedlo hodnotu nižší než 20 000 EUR;</w:t>
      </w:r>
    </w:p>
    <w:p w14:paraId="77E3DD68" w14:textId="77777777" w:rsidR="005A6FED" w:rsidRPr="004C704B" w:rsidRDefault="005A6FED" w:rsidP="004C704B">
      <w:pPr>
        <w:pStyle w:val="NormalHanging"/>
      </w:pPr>
      <w:r w:rsidRPr="004C704B">
        <w:t>B.</w:t>
      </w:r>
      <w:r w:rsidRPr="004C704B">
        <w:tab/>
        <w:t xml:space="preserve">vzhledem k tomu, že celková globální tržní kapitalizace </w:t>
      </w:r>
      <w:proofErr w:type="spellStart"/>
      <w:r w:rsidRPr="004C704B">
        <w:t>kryptoaktiv</w:t>
      </w:r>
      <w:proofErr w:type="spellEnd"/>
      <w:r w:rsidRPr="004C704B">
        <w:t xml:space="preserve"> činila dne 10. února 2026 na základě soukromých údajů 2,03 bilionu EUR, přičemž podíl </w:t>
      </w:r>
      <w:proofErr w:type="spellStart"/>
      <w:r w:rsidRPr="004C704B">
        <w:t>stablecoinů</w:t>
      </w:r>
      <w:proofErr w:type="spellEnd"/>
      <w:r w:rsidRPr="004C704B">
        <w:t xml:space="preserve"> na trhu </w:t>
      </w:r>
      <w:r w:rsidRPr="004C704B">
        <w:lastRenderedPageBreak/>
        <w:t xml:space="preserve">činil 12,9 %, tj. 261 miliard EUR; vzhledem k tomu, že podle pracovního dokumentu ECB č. 3199 tržní očekávání naznačují silný růst emisí </w:t>
      </w:r>
      <w:proofErr w:type="spellStart"/>
      <w:r w:rsidRPr="004C704B">
        <w:t>stablecoinů</w:t>
      </w:r>
      <w:proofErr w:type="spellEnd"/>
      <w:r w:rsidRPr="004C704B">
        <w:t>;</w:t>
      </w:r>
    </w:p>
    <w:p w14:paraId="7BB1C91A" w14:textId="77777777" w:rsidR="005A6FED" w:rsidRPr="004C704B" w:rsidRDefault="005A6FED" w:rsidP="004C704B">
      <w:pPr>
        <w:pStyle w:val="NormalHanging"/>
      </w:pPr>
      <w:r w:rsidRPr="004C704B">
        <w:t>C.</w:t>
      </w:r>
      <w:r w:rsidRPr="004C704B">
        <w:tab/>
        <w:t xml:space="preserve">vzhledem k tomu, že </w:t>
      </w:r>
      <w:proofErr w:type="spellStart"/>
      <w:r w:rsidRPr="004C704B">
        <w:t>tokenizovaná</w:t>
      </w:r>
      <w:proofErr w:type="spellEnd"/>
      <w:r w:rsidRPr="004C704B">
        <w:t xml:space="preserve"> aktiva představovala v únoru 2026 přibližně 1 % globálních digitálních aktiv, přičemž tento podíl rychle roste, a to na základě neharmonizovaných soukromých údajů;</w:t>
      </w:r>
    </w:p>
    <w:p w14:paraId="6E7CE10E" w14:textId="77777777" w:rsidR="005A6FED" w:rsidRPr="004C704B" w:rsidRDefault="005A6FED" w:rsidP="004C704B">
      <w:pPr>
        <w:pStyle w:val="NormalHanging"/>
      </w:pPr>
      <w:r w:rsidRPr="004C704B">
        <w:t>D.</w:t>
      </w:r>
      <w:r w:rsidRPr="004C704B">
        <w:tab/>
        <w:t>vzhledem k tomu, že v roce 2025 představovala celosvětová pracovní síla činná v oblasti kryptoměn více než 1,6 milionu odborníků, z nichž EU hostí jejich velký, ale klesající podíl, což vyplývá ze soukromých údajů;</w:t>
      </w:r>
    </w:p>
    <w:p w14:paraId="47D2C49B" w14:textId="77777777" w:rsidR="005A6FED" w:rsidRPr="004C704B" w:rsidRDefault="005A6FED" w:rsidP="004C704B">
      <w:pPr>
        <w:pStyle w:val="NormalHanging"/>
      </w:pPr>
      <w:r w:rsidRPr="004C704B">
        <w:t>E.</w:t>
      </w:r>
      <w:r w:rsidRPr="004C704B">
        <w:tab/>
        <w:t>vzhledem k tomu, že čl. 2 odst. 1 nařízení (EU) 2022/858</w:t>
      </w:r>
      <w:r w:rsidRPr="004C704B">
        <w:rPr>
          <w:rStyle w:val="FootnoteReference"/>
        </w:rPr>
        <w:footnoteReference w:customMarkFollows="1" w:id="3"/>
        <w:t>3</w:t>
      </w:r>
      <w:r w:rsidRPr="004C704B">
        <w:t xml:space="preserve"> definuje technologii distribuovaného registru nebo DLT jako technologii, „která umožňuje provozování a používání distribuovaných registrů“; vzhledem k tomu, že čl. 2 odst. 2 definuje distribuovaný registr jako „úložiště informací, které vede evidenci o transakcích a které je sdíleno prostřednictvím souboru DLT síťové uzly a synchronizováno mezi nimi pomocí mechanismu konsensu“;</w:t>
      </w:r>
    </w:p>
    <w:p w14:paraId="7BCD4526" w14:textId="77777777" w:rsidR="005A6FED" w:rsidRPr="004C704B" w:rsidRDefault="005A6FED" w:rsidP="004C704B">
      <w:pPr>
        <w:pStyle w:val="NormalHanging"/>
      </w:pPr>
      <w:r w:rsidRPr="004C704B">
        <w:t>F.</w:t>
      </w:r>
      <w:r w:rsidRPr="004C704B">
        <w:tab/>
        <w:t>vzhledem k tomu, že nařízení (EU) 2023/1114 o trzích kryptoaktiv</w:t>
      </w:r>
      <w:r w:rsidRPr="004C704B">
        <w:rPr>
          <w:rStyle w:val="FootnoteReference"/>
        </w:rPr>
        <w:footnoteReference w:customMarkFollows="1" w:id="4"/>
        <w:t>4</w:t>
      </w:r>
      <w:r w:rsidRPr="004C704B">
        <w:t xml:space="preserve"> (</w:t>
      </w:r>
      <w:proofErr w:type="spellStart"/>
      <w:r w:rsidRPr="004C704B">
        <w:t>MiCAR</w:t>
      </w:r>
      <w:proofErr w:type="spellEnd"/>
      <w:r w:rsidRPr="004C704B">
        <w:t xml:space="preserve">) vytváří v EU harmonizovaný rámec pro </w:t>
      </w:r>
      <w:proofErr w:type="spellStart"/>
      <w:r w:rsidRPr="004C704B">
        <w:t>kryptoaktiva</w:t>
      </w:r>
      <w:proofErr w:type="spellEnd"/>
      <w:r w:rsidRPr="004C704B">
        <w:t xml:space="preserve"> tím, že rozlišuje tři hlavní kategorie, a to elektronické peněžní tokeny, které se snaží stabilizovat svou hodnotu navázáním na jedinou úřední měnu, tokeny vázané na aktiva, jejichž cílem je zachovat stabilní hodnotu navázáním na jinou hodnotu nebo právo či jejich kombinaci, včetně jedné nebo více úředních měn, a jiná </w:t>
      </w:r>
      <w:proofErr w:type="spellStart"/>
      <w:r w:rsidRPr="004C704B">
        <w:t>kryptoaktiva</w:t>
      </w:r>
      <w:proofErr w:type="spellEnd"/>
      <w:r w:rsidRPr="004C704B">
        <w:t>, čímž se rozumí digitální znázornění hodnoty nebo práva, které lze převádět a ukládat elektronicky pomocí distribuovaného registru nebo podobné technologie, a které nespadají do ostatních kategorií;</w:t>
      </w:r>
    </w:p>
    <w:p w14:paraId="0CE2B0A7" w14:textId="77777777" w:rsidR="005A6FED" w:rsidRPr="004C704B" w:rsidRDefault="005A6FED" w:rsidP="004C704B">
      <w:pPr>
        <w:pStyle w:val="NormalHanging"/>
      </w:pPr>
      <w:r w:rsidRPr="004C704B">
        <w:t>G.</w:t>
      </w:r>
      <w:r w:rsidRPr="004C704B">
        <w:tab/>
        <w:t xml:space="preserve">vzhledem k tomu, že nařízení </w:t>
      </w:r>
      <w:proofErr w:type="spellStart"/>
      <w:r w:rsidRPr="004C704B">
        <w:t>MiCA</w:t>
      </w:r>
      <w:proofErr w:type="spellEnd"/>
      <w:r w:rsidRPr="004C704B">
        <w:t xml:space="preserve"> podle svého čl. 2 odst. 4 vylučuje z oblasti působnosti </w:t>
      </w:r>
      <w:proofErr w:type="spellStart"/>
      <w:r w:rsidRPr="004C704B">
        <w:t>kryptoaktiva</w:t>
      </w:r>
      <w:proofErr w:type="spellEnd"/>
      <w:r w:rsidRPr="004C704B">
        <w:t xml:space="preserve">, která jsou podle stávajících právních předpisů EU považována za finanční nástroje, vklady, fondy, sekuritizace, pojištění nebo penzijní produkty, čímž zajišťuje, aby tato </w:t>
      </w:r>
      <w:proofErr w:type="spellStart"/>
      <w:r w:rsidRPr="004C704B">
        <w:t>kryptoaktiva</w:t>
      </w:r>
      <w:proofErr w:type="spellEnd"/>
      <w:r w:rsidRPr="004C704B">
        <w:t xml:space="preserve"> i nadále podléhala příslušným odvětvovým legislativním rámcům a odrážela model dohledu nad finančními službami EU založený na produktech;</w:t>
      </w:r>
    </w:p>
    <w:p w14:paraId="6F9FB53B" w14:textId="77777777" w:rsidR="005A6FED" w:rsidRPr="004C704B" w:rsidRDefault="005A6FED" w:rsidP="004C704B">
      <w:pPr>
        <w:pStyle w:val="NormalHanging"/>
      </w:pPr>
      <w:r w:rsidRPr="004C704B">
        <w:t>H.</w:t>
      </w:r>
      <w:r w:rsidRPr="004C704B">
        <w:tab/>
        <w:t xml:space="preserve">vzhledem k tomu, že současná administrativa USA je výrazně otevřenější vůči </w:t>
      </w:r>
      <w:proofErr w:type="spellStart"/>
      <w:r w:rsidRPr="004C704B">
        <w:t>kryptoaktivům</w:t>
      </w:r>
      <w:proofErr w:type="spellEnd"/>
      <w:r w:rsidRPr="004C704B">
        <w:t xml:space="preserve">, což vedlo k přijetí klíčových právních předpisů a k mírnějšímu přístupu k prosazování pravidel ze strany orgánů dohledu; vzhledem k tomu, že regulační přístup ve Spojených státech se stále vyvíjí a tvůrci politik a regulační orgány země místo jiných řešení obecně odkazují na „digitální aktiva“, která jsou obecně pojímána tak, že zahrnují kryptograficky digitální znázornění hodnoty nebo práv zajištěných v distribuovaném registru, včetně kryptoměn, </w:t>
      </w:r>
      <w:proofErr w:type="spellStart"/>
      <w:r w:rsidRPr="004C704B">
        <w:t>stablecoinů</w:t>
      </w:r>
      <w:proofErr w:type="spellEnd"/>
      <w:r w:rsidRPr="004C704B">
        <w:t xml:space="preserve"> a některých </w:t>
      </w:r>
      <w:proofErr w:type="spellStart"/>
      <w:r w:rsidRPr="004C704B">
        <w:t>tokenizovaných</w:t>
      </w:r>
      <w:proofErr w:type="spellEnd"/>
      <w:r w:rsidRPr="004C704B">
        <w:t xml:space="preserve"> nástrojů;</w:t>
      </w:r>
    </w:p>
    <w:p w14:paraId="5CF88BF9" w14:textId="77777777" w:rsidR="005A6FED" w:rsidRPr="004C704B" w:rsidRDefault="005A6FED" w:rsidP="004C704B">
      <w:pPr>
        <w:pStyle w:val="Normal12a"/>
        <w:ind w:left="566" w:hanging="566"/>
      </w:pPr>
      <w:r w:rsidRPr="004C704B">
        <w:rPr>
          <w:b/>
          <w:i/>
        </w:rPr>
        <w:lastRenderedPageBreak/>
        <w:t>Přehled</w:t>
      </w:r>
    </w:p>
    <w:p w14:paraId="461EACE4" w14:textId="77777777" w:rsidR="005A6FED" w:rsidRPr="004C704B" w:rsidRDefault="005A6FED" w:rsidP="004C704B">
      <w:pPr>
        <w:pStyle w:val="NormalHanging12a"/>
      </w:pPr>
      <w:r w:rsidRPr="004C704B">
        <w:t>1.</w:t>
      </w:r>
      <w:r w:rsidRPr="004C704B">
        <w:tab/>
        <w:t xml:space="preserve">podporuje dlouhodobý cíl, kterým je </w:t>
      </w:r>
      <w:proofErr w:type="spellStart"/>
      <w:r w:rsidRPr="004C704B">
        <w:t>celosystémový</w:t>
      </w:r>
      <w:proofErr w:type="spellEnd"/>
      <w:r w:rsidRPr="004C704B">
        <w:t>, na činnostech založený a technologicky neutrální přístup k regulačnímu rámci EU pro finanční služby;</w:t>
      </w:r>
    </w:p>
    <w:p w14:paraId="21DB9413" w14:textId="77777777" w:rsidR="005A6FED" w:rsidRPr="004C704B" w:rsidRDefault="005A6FED" w:rsidP="004C704B">
      <w:pPr>
        <w:pStyle w:val="NormalHanging12a"/>
      </w:pPr>
      <w:r w:rsidRPr="004C704B">
        <w:t>2.</w:t>
      </w:r>
      <w:r w:rsidRPr="004C704B">
        <w:tab/>
        <w:t>zdůrazňuje, že technologie DLT a </w:t>
      </w:r>
      <w:proofErr w:type="spellStart"/>
      <w:r w:rsidRPr="004C704B">
        <w:t>tokenizace</w:t>
      </w:r>
      <w:proofErr w:type="spellEnd"/>
      <w:r w:rsidRPr="004C704B">
        <w:t xml:space="preserve"> aktiv mají potenciál podpořit cíle Unie úspor a investic tím, že usnadní přeshraniční investice, sníží roztříštěnost trhu a umožní vznik efektivnější a inkluzivnější infrastruktury kapitálového trhu v celé Unii; zdůrazňuje zásadní úlohu interoperability;</w:t>
      </w:r>
    </w:p>
    <w:p w14:paraId="7FCC704B" w14:textId="77777777" w:rsidR="005A6FED" w:rsidRPr="004C704B" w:rsidRDefault="005A6FED" w:rsidP="004C704B">
      <w:pPr>
        <w:pStyle w:val="NormalHanging12a"/>
      </w:pPr>
      <w:r w:rsidRPr="004C704B">
        <w:t>3.</w:t>
      </w:r>
      <w:r w:rsidRPr="004C704B">
        <w:tab/>
        <w:t xml:space="preserve">zdůrazňuje, že rozmach nových technologií na poli financí představuje pro regulační a dohledový rámec nové výzvy; bere na vědomí rozmanitost digitálních aktiv a uznává, že související rizika a podnikatelský potenciál se v jednotlivých kategoriích liší; potvrzuje svůj závazek cíleně revidovat regulační rámce EU za účelem vytvoření robustních kapitálových trhů a unijní platební infrastruktury s digitálními aktivy; naléhavě vyzývá Komisi, aby posoudila nezbytnost a proveditelnost regulace půjček a výpůjček </w:t>
      </w:r>
      <w:proofErr w:type="spellStart"/>
      <w:r w:rsidRPr="004C704B">
        <w:t>kryptoaktiv</w:t>
      </w:r>
      <w:proofErr w:type="spellEnd"/>
      <w:r w:rsidRPr="004C704B">
        <w:t xml:space="preserve">, včetně tzv. </w:t>
      </w:r>
      <w:proofErr w:type="spellStart"/>
      <w:r w:rsidRPr="004C704B">
        <w:t>stakingu</w:t>
      </w:r>
      <w:proofErr w:type="spellEnd"/>
      <w:r w:rsidRPr="004C704B">
        <w:t xml:space="preserve">, nezaměnitelných tokenů a decentralizovaného financování, a to v rámci nařízení </w:t>
      </w:r>
      <w:proofErr w:type="spellStart"/>
      <w:r w:rsidRPr="004C704B">
        <w:t>MiCAR</w:t>
      </w:r>
      <w:proofErr w:type="spellEnd"/>
      <w:r w:rsidRPr="004C704B">
        <w:t>;</w:t>
      </w:r>
    </w:p>
    <w:p w14:paraId="60FCF3D1" w14:textId="77777777" w:rsidR="005A6FED" w:rsidRPr="004C704B" w:rsidRDefault="005A6FED" w:rsidP="004C704B">
      <w:pPr>
        <w:pStyle w:val="NormalHanging12a"/>
      </w:pPr>
      <w:r w:rsidRPr="004C704B">
        <w:t>4.</w:t>
      </w:r>
      <w:r w:rsidRPr="004C704B">
        <w:tab/>
        <w:t>zdůrazňuje potenciál kryptograficky zabezpečených distribuovaných registrů a podobných technologií v oblasti inovací a konektivity pro infrastrukturu finančních služeb, a to jak v rámci EU, tak pro její globální úlohu; zdůrazňuje, že předvídatelné regulační prostředí příznivé pro inovace bude mít zásadní význam pro zajištění toho, aby investice a technologický rozvoj zůstaly v EU, a pro podporu konkurenceschopnosti a důvěry ve finanční infrastrukturu denominovanou v eurech;</w:t>
      </w:r>
    </w:p>
    <w:p w14:paraId="63227B74" w14:textId="77777777" w:rsidR="005A6FED" w:rsidRPr="004C704B" w:rsidRDefault="005A6FED" w:rsidP="004C704B">
      <w:pPr>
        <w:pStyle w:val="Normal12a"/>
        <w:ind w:left="566" w:hanging="566"/>
      </w:pPr>
      <w:proofErr w:type="spellStart"/>
      <w:r w:rsidRPr="004C704B">
        <w:rPr>
          <w:b/>
          <w:i/>
        </w:rPr>
        <w:t>Kryptoaktiva</w:t>
      </w:r>
      <w:proofErr w:type="spellEnd"/>
    </w:p>
    <w:p w14:paraId="3CE70BE0" w14:textId="77777777" w:rsidR="005A6FED" w:rsidRPr="004C704B" w:rsidRDefault="005A6FED" w:rsidP="004C704B">
      <w:pPr>
        <w:pStyle w:val="NormalHanging12a"/>
      </w:pPr>
      <w:r w:rsidRPr="004C704B">
        <w:t>5.</w:t>
      </w:r>
      <w:r w:rsidRPr="004C704B">
        <w:tab/>
        <w:t xml:space="preserve">bere na vědomí, že EU byla jednou z prvních jurisdikcí, které vedle nařízení </w:t>
      </w:r>
      <w:proofErr w:type="spellStart"/>
      <w:r w:rsidRPr="004C704B">
        <w:t>MiCAR</w:t>
      </w:r>
      <w:proofErr w:type="spellEnd"/>
      <w:r w:rsidRPr="004C704B">
        <w:t xml:space="preserve"> přijaly a zavedly zvláštní režim pro </w:t>
      </w:r>
      <w:proofErr w:type="spellStart"/>
      <w:r w:rsidRPr="004C704B">
        <w:t>kryptoaktiva</w:t>
      </w:r>
      <w:proofErr w:type="spellEnd"/>
      <w:r w:rsidRPr="004C704B">
        <w:t xml:space="preserve"> a uplatňují technologii DLT ve finančním sektoru; vyzývá Komisi, aby v úzké spolupráci s orgány EBA a ESMA a Orgánem pro boj proti praní peněz a financování terorismu (AMLA), jakož i s příslušnými vnitrostátními orgány zajistila účinné prosazování nařízení </w:t>
      </w:r>
      <w:proofErr w:type="spellStart"/>
      <w:r w:rsidRPr="004C704B">
        <w:t>MiCAR</w:t>
      </w:r>
      <w:proofErr w:type="spellEnd"/>
      <w:r w:rsidRPr="004C704B">
        <w:t xml:space="preserve">; vyzývá členské státy, aby se zdržely zavádění dalších požadavků a závazků nad rámec nařízení </w:t>
      </w:r>
      <w:proofErr w:type="spellStart"/>
      <w:r w:rsidRPr="004C704B">
        <w:t>MiCA</w:t>
      </w:r>
      <w:proofErr w:type="spellEnd"/>
      <w:r w:rsidRPr="004C704B">
        <w:t xml:space="preserve"> nebo nařízení o převodu peněžních prostředků</w:t>
      </w:r>
      <w:r w:rsidRPr="004C704B">
        <w:rPr>
          <w:rStyle w:val="FootnoteReference"/>
        </w:rPr>
        <w:footnoteReference w:customMarkFollows="1" w:id="5"/>
        <w:t>5</w:t>
      </w:r>
      <w:r w:rsidRPr="004C704B">
        <w:t>;</w:t>
      </w:r>
    </w:p>
    <w:p w14:paraId="06BF5816" w14:textId="77777777" w:rsidR="005A6FED" w:rsidRPr="004C704B" w:rsidRDefault="005A6FED" w:rsidP="004C704B">
      <w:pPr>
        <w:pStyle w:val="NormalHanging12a"/>
      </w:pPr>
      <w:r w:rsidRPr="004C704B">
        <w:t>6.</w:t>
      </w:r>
      <w:r w:rsidRPr="004C704B">
        <w:tab/>
        <w:t xml:space="preserve">zdůrazňuje, že je důležité posílit datové kapacity, zejména pokud jde o vliv v odvětví kryptoměn a propojení se sektorem nebankovních finančních institucí; vyzývá Komisi, aby dále sledovala propojení </w:t>
      </w:r>
      <w:proofErr w:type="spellStart"/>
      <w:r w:rsidRPr="004C704B">
        <w:t>kryptoaktiv</w:t>
      </w:r>
      <w:proofErr w:type="spellEnd"/>
      <w:r w:rsidRPr="004C704B">
        <w:t xml:space="preserve"> s finančním systémem; konstatuje, že nezajištěná </w:t>
      </w:r>
      <w:proofErr w:type="spellStart"/>
      <w:r w:rsidRPr="004C704B">
        <w:t>kryptoaktiva</w:t>
      </w:r>
      <w:proofErr w:type="spellEnd"/>
      <w:r w:rsidRPr="004C704B">
        <w:t xml:space="preserve"> mohou být náchylná k dalším rizikům a volatilitě;</w:t>
      </w:r>
    </w:p>
    <w:p w14:paraId="75A2F0F2" w14:textId="77777777" w:rsidR="005A6FED" w:rsidRPr="004C704B" w:rsidRDefault="005A6FED" w:rsidP="004C704B">
      <w:pPr>
        <w:pStyle w:val="NormalHanging12a"/>
      </w:pPr>
      <w:r w:rsidRPr="004C704B">
        <w:t>7.</w:t>
      </w:r>
      <w:r w:rsidRPr="004C704B">
        <w:tab/>
        <w:t xml:space="preserve">vyzývá orgány EBA, ESMA, AMLA, Evropský orgán pro pojišťovnictví a zaměstnanecké penzijní pojištění, příslušné vnitrostátní orgány a dále ECB a ESRB, aby posílily dialog o dohledu nad významnými multifunkčními skupinami; zdůrazňuje, že je třeba sladit politický rámec nařízení </w:t>
      </w:r>
      <w:proofErr w:type="spellStart"/>
      <w:r w:rsidRPr="004C704B">
        <w:t>MiCA</w:t>
      </w:r>
      <w:proofErr w:type="spellEnd"/>
      <w:r w:rsidRPr="004C704B">
        <w:t xml:space="preserve"> s významnými nebankovními nástroji peněžního trhu;</w:t>
      </w:r>
    </w:p>
    <w:p w14:paraId="07027385" w14:textId="77777777" w:rsidR="005A6FED" w:rsidRPr="004C704B" w:rsidRDefault="005A6FED" w:rsidP="004C704B">
      <w:pPr>
        <w:pStyle w:val="NormalHanging12a"/>
      </w:pPr>
      <w:r w:rsidRPr="004C704B">
        <w:lastRenderedPageBreak/>
        <w:t>8.</w:t>
      </w:r>
      <w:r w:rsidRPr="004C704B">
        <w:tab/>
        <w:t>bere na vědomí, že technologie distribuovaného registru představují pro orgány finančního dohledu nové technologické a provozní prvky, včetně otázek souvisejících se zabezpečením tzv. inteligentních smluv, správou decentralizovaných sítí, kybernetickou odolností a řízením operačních rizik; vyzývá orgány dohledu, aby si osvojily dostatečnou technickou odbornost, aby tak těmto nově vznikajícím tržním infrastrukturám porozuměly a účinně je sledovaly;</w:t>
      </w:r>
    </w:p>
    <w:p w14:paraId="041675AF" w14:textId="77777777" w:rsidR="005A6FED" w:rsidRPr="004C704B" w:rsidRDefault="005A6FED" w:rsidP="004C704B">
      <w:pPr>
        <w:pStyle w:val="NormalHanging12a"/>
      </w:pPr>
      <w:r w:rsidRPr="004C704B">
        <w:t>9.</w:t>
      </w:r>
      <w:r w:rsidRPr="004C704B">
        <w:tab/>
        <w:t xml:space="preserve">je znepokojen tím, jakou úlohu hrají </w:t>
      </w:r>
      <w:proofErr w:type="spellStart"/>
      <w:r w:rsidRPr="004C704B">
        <w:t>kryptoaktiva</w:t>
      </w:r>
      <w:proofErr w:type="spellEnd"/>
      <w:r w:rsidRPr="004C704B">
        <w:t xml:space="preserve"> při obcházení předpisů a sankcí v oblasti boje proti praní peněz a financování terorismu (AML/CFT);  zdůrazňuje, že je důležité posílit nástroje dohledu, vymáhání pravidel a standardy pro dodržování předpisů s cílem řešit rizika v oblasti AML/CFT, včetně účinných norem přístupu „poznej svého klienta“ a sledování plateb; zdůrazňuje, že je důležité, aby vyšetřovací orgány využívaly technologii, která stojí za </w:t>
      </w:r>
      <w:proofErr w:type="spellStart"/>
      <w:r w:rsidRPr="004C704B">
        <w:t>kryptoaktivy</w:t>
      </w:r>
      <w:proofErr w:type="spellEnd"/>
      <w:r w:rsidRPr="004C704B">
        <w:t xml:space="preserve">, k odrazování od trestných činů, jež jsou s </w:t>
      </w:r>
      <w:proofErr w:type="spellStart"/>
      <w:r w:rsidRPr="004C704B">
        <w:t>kryptoaktivy</w:t>
      </w:r>
      <w:proofErr w:type="spellEnd"/>
      <w:r w:rsidRPr="004C704B">
        <w:t xml:space="preserve"> spojeny, a aby tyto orgány spolupracovaly při blokování odhalených nebo oznámených protiprávních transakcí;</w:t>
      </w:r>
    </w:p>
    <w:p w14:paraId="6CAD6F2C" w14:textId="77777777" w:rsidR="005A6FED" w:rsidRPr="004C704B" w:rsidRDefault="005A6FED" w:rsidP="004C704B">
      <w:pPr>
        <w:pStyle w:val="NormalHanging12a"/>
      </w:pPr>
      <w:r w:rsidRPr="004C704B">
        <w:t>10.</w:t>
      </w:r>
      <w:r w:rsidRPr="004C704B">
        <w:tab/>
        <w:t xml:space="preserve">bere na vědomí rozmach hybridních produktů kombinujících vlastnosti </w:t>
      </w:r>
      <w:proofErr w:type="spellStart"/>
      <w:r w:rsidRPr="004C704B">
        <w:t>kryptoaktiv</w:t>
      </w:r>
      <w:proofErr w:type="spellEnd"/>
      <w:r w:rsidRPr="004C704B">
        <w:t xml:space="preserve"> a tradičních finančních nástrojů, což může vést k právní nejistotě;</w:t>
      </w:r>
    </w:p>
    <w:p w14:paraId="548ED874" w14:textId="77777777" w:rsidR="005A6FED" w:rsidRPr="004C704B" w:rsidRDefault="005A6FED" w:rsidP="004C704B">
      <w:pPr>
        <w:pStyle w:val="Normal12a"/>
        <w:ind w:left="566" w:hanging="566"/>
      </w:pPr>
      <w:proofErr w:type="spellStart"/>
      <w:r w:rsidRPr="004C704B">
        <w:rPr>
          <w:b/>
          <w:i/>
        </w:rPr>
        <w:t>Tokenizace</w:t>
      </w:r>
      <w:proofErr w:type="spellEnd"/>
      <w:r w:rsidRPr="004C704B">
        <w:rPr>
          <w:b/>
          <w:i/>
        </w:rPr>
        <w:t xml:space="preserve"> finančních nástrojů</w:t>
      </w:r>
    </w:p>
    <w:p w14:paraId="0712C285" w14:textId="77777777" w:rsidR="005A6FED" w:rsidRPr="004C704B" w:rsidRDefault="005A6FED" w:rsidP="004C704B">
      <w:pPr>
        <w:pStyle w:val="NormalHanging12a"/>
      </w:pPr>
      <w:r w:rsidRPr="004C704B">
        <w:t>11.</w:t>
      </w:r>
      <w:r w:rsidRPr="004C704B">
        <w:tab/>
        <w:t>konstatuje, že 3. bod odůvodnění nařízení (EU) 2022/858 definuje „</w:t>
      </w:r>
      <w:proofErr w:type="spellStart"/>
      <w:r w:rsidRPr="004C704B">
        <w:t>tokenizaci</w:t>
      </w:r>
      <w:proofErr w:type="spellEnd"/>
      <w:r w:rsidRPr="004C704B">
        <w:t xml:space="preserve">“ finančních nástrojů jako digitální zastoupení finančních nástrojů v distribuovaném registru nebo emise tradičních tříd aktiv v </w:t>
      </w:r>
      <w:proofErr w:type="spellStart"/>
      <w:r w:rsidRPr="004C704B">
        <w:t>tokenizované</w:t>
      </w:r>
      <w:proofErr w:type="spellEnd"/>
      <w:r w:rsidRPr="004C704B">
        <w:t xml:space="preserve"> podobě, která umožní jejich emisi, uchovávání a převod v distribuovaném registru;</w:t>
      </w:r>
    </w:p>
    <w:p w14:paraId="75BD1CC3" w14:textId="77777777" w:rsidR="005A6FED" w:rsidRPr="004C704B" w:rsidRDefault="005A6FED" w:rsidP="004C704B">
      <w:pPr>
        <w:pStyle w:val="NormalHanging12a"/>
      </w:pPr>
      <w:r w:rsidRPr="004C704B">
        <w:t>12.</w:t>
      </w:r>
      <w:r w:rsidRPr="004C704B">
        <w:tab/>
        <w:t xml:space="preserve">zdůrazňuje, že </w:t>
      </w:r>
      <w:proofErr w:type="spellStart"/>
      <w:r w:rsidRPr="004C704B">
        <w:t>tokenizace</w:t>
      </w:r>
      <w:proofErr w:type="spellEnd"/>
      <w:r w:rsidRPr="004C704B">
        <w:t xml:space="preserve"> finančních aktiv sama o sobě nemění jejich právní povahu ani základní ekonomické charakteristiky; zdůrazňuje, že </w:t>
      </w:r>
      <w:proofErr w:type="spellStart"/>
      <w:r w:rsidRPr="004C704B">
        <w:t>tokenizované</w:t>
      </w:r>
      <w:proofErr w:type="spellEnd"/>
      <w:r w:rsidRPr="004C704B">
        <w:t xml:space="preserve"> finanční nástroje musí poskytovat práva, která budou rovnocenná právům spojeným s tradičními cennými papíry, aby se zabránilo regulatorní arbitráži a zajistila se ochrana investorů;</w:t>
      </w:r>
    </w:p>
    <w:p w14:paraId="73056ABC" w14:textId="77777777" w:rsidR="005A6FED" w:rsidRPr="004C704B" w:rsidRDefault="005A6FED" w:rsidP="004C704B">
      <w:pPr>
        <w:pStyle w:val="NormalHanging12a"/>
      </w:pPr>
      <w:r w:rsidRPr="004C704B">
        <w:t>13.</w:t>
      </w:r>
      <w:r w:rsidRPr="004C704B">
        <w:tab/>
        <w:t xml:space="preserve">vítá potenciální přínosy </w:t>
      </w:r>
      <w:proofErr w:type="spellStart"/>
      <w:r w:rsidRPr="004C704B">
        <w:t>tokenizace</w:t>
      </w:r>
      <w:proofErr w:type="spellEnd"/>
      <w:r w:rsidRPr="004C704B">
        <w:t xml:space="preserve"> pro obchodování s finančními aktivy, jako je zvýšená účinnost a transparentnost, nižší riziko spojené s protistranou a provozními náklady, inteligentní uzavírání smluv a lepší likvidita díky částečnému vlastnictví, přičemž konstatuje, že zranitelnost tohoto nástroje by měla být sledována;</w:t>
      </w:r>
    </w:p>
    <w:p w14:paraId="31DC9EEA" w14:textId="77777777" w:rsidR="005A6FED" w:rsidRPr="004C704B" w:rsidRDefault="005A6FED" w:rsidP="004C704B">
      <w:pPr>
        <w:pStyle w:val="NormalHanging12a"/>
      </w:pPr>
      <w:r w:rsidRPr="004C704B">
        <w:t>14.</w:t>
      </w:r>
      <w:r w:rsidRPr="004C704B">
        <w:tab/>
        <w:t xml:space="preserve">naléhavě vyzývá Komisi, aby usnadnila a podpořila </w:t>
      </w:r>
      <w:proofErr w:type="spellStart"/>
      <w:r w:rsidRPr="004C704B">
        <w:t>tokenizaci</w:t>
      </w:r>
      <w:proofErr w:type="spellEnd"/>
      <w:r w:rsidRPr="004C704B">
        <w:t xml:space="preserve"> napříč finančními službami, trvala na interoperabilitě a zabránila roztříštěnosti dodržováním norem na celém jednotném trhu a zajištěním odpovídající infrastruktury;</w:t>
      </w:r>
    </w:p>
    <w:p w14:paraId="77C95125" w14:textId="77777777" w:rsidR="005A6FED" w:rsidRPr="004C704B" w:rsidRDefault="005A6FED" w:rsidP="004C704B">
      <w:pPr>
        <w:pStyle w:val="NormalHanging12a"/>
      </w:pPr>
      <w:r w:rsidRPr="004C704B">
        <w:t>15.</w:t>
      </w:r>
      <w:r w:rsidRPr="004C704B">
        <w:tab/>
        <w:t xml:space="preserve">bere na vědomí úsilí ECB o nalezení řešení, včetně infrastruktury nabízející možnost velkoobchodního nákupu digitální měny centrální banky (CBDC), která umožňuje vypořádání hotovosti a aktiv v distribuovaném registru a doplňuje </w:t>
      </w:r>
      <w:proofErr w:type="spellStart"/>
      <w:r w:rsidRPr="004C704B">
        <w:t>tokenizované</w:t>
      </w:r>
      <w:proofErr w:type="spellEnd"/>
      <w:r w:rsidRPr="004C704B">
        <w:t xml:space="preserve"> vklady komerčních bank a </w:t>
      </w:r>
      <w:proofErr w:type="spellStart"/>
      <w:r w:rsidRPr="004C704B">
        <w:t>stablecoiny</w:t>
      </w:r>
      <w:proofErr w:type="spellEnd"/>
      <w:r w:rsidRPr="004C704B">
        <w:t>;</w:t>
      </w:r>
    </w:p>
    <w:p w14:paraId="013AE5FE" w14:textId="77777777" w:rsidR="005A6FED" w:rsidRPr="004C704B" w:rsidRDefault="005A6FED" w:rsidP="004C704B">
      <w:pPr>
        <w:pStyle w:val="NormalHanging12a"/>
      </w:pPr>
      <w:r w:rsidRPr="004C704B">
        <w:t>16.</w:t>
      </w:r>
      <w:r w:rsidRPr="004C704B">
        <w:tab/>
        <w:t xml:space="preserve">zdůrazňuje potenciál evropského </w:t>
      </w:r>
      <w:proofErr w:type="spellStart"/>
      <w:r w:rsidRPr="004C704B">
        <w:t>tokenizovaného</w:t>
      </w:r>
      <w:proofErr w:type="spellEnd"/>
      <w:r w:rsidRPr="004C704B">
        <w:t xml:space="preserve"> trhu pro globální propojenost; zdůrazňuje význam mezinárodní spolupráce pro harmonizaci kritérií, zásad a norem kategorizace; podporuje činnost Banky pro mezinárodní platby (BIS) v rámci iniciativ přeshraniční spolupráce v oblasti plateb;</w:t>
      </w:r>
    </w:p>
    <w:p w14:paraId="4B95E3F7" w14:textId="77777777" w:rsidR="005A6FED" w:rsidRPr="004C704B" w:rsidRDefault="005A6FED" w:rsidP="004C704B">
      <w:pPr>
        <w:pStyle w:val="NormalHanging12a"/>
      </w:pPr>
      <w:r w:rsidRPr="004C704B">
        <w:t>17.</w:t>
      </w:r>
      <w:r w:rsidRPr="004C704B">
        <w:tab/>
        <w:t xml:space="preserve">vítá probíhající </w:t>
      </w:r>
      <w:proofErr w:type="gramStart"/>
      <w:r w:rsidRPr="004C704B">
        <w:t>diskuzi</w:t>
      </w:r>
      <w:proofErr w:type="gramEnd"/>
      <w:r w:rsidRPr="004C704B">
        <w:t xml:space="preserve"> o pilotním režimu DLT jako součásti balíčku opatření pro integraci trhu a dohled nad ním;</w:t>
      </w:r>
    </w:p>
    <w:p w14:paraId="50575864" w14:textId="77777777" w:rsidR="005A6FED" w:rsidRPr="004C704B" w:rsidRDefault="005A6FED" w:rsidP="004C704B">
      <w:pPr>
        <w:pStyle w:val="Normal12a"/>
        <w:ind w:left="566" w:hanging="566"/>
      </w:pPr>
      <w:proofErr w:type="spellStart"/>
      <w:r w:rsidRPr="004C704B">
        <w:rPr>
          <w:b/>
          <w:i/>
        </w:rPr>
        <w:lastRenderedPageBreak/>
        <w:t>Stablecoiny</w:t>
      </w:r>
      <w:proofErr w:type="spellEnd"/>
    </w:p>
    <w:p w14:paraId="41E6DB94" w14:textId="77777777" w:rsidR="005A6FED" w:rsidRPr="004C704B" w:rsidRDefault="005A6FED" w:rsidP="004C704B">
      <w:pPr>
        <w:pStyle w:val="NormalHanging12a"/>
      </w:pPr>
      <w:r w:rsidRPr="004C704B">
        <w:t>18.</w:t>
      </w:r>
      <w:r w:rsidRPr="004C704B">
        <w:tab/>
        <w:t xml:space="preserve">konstatuje, že </w:t>
      </w:r>
      <w:proofErr w:type="spellStart"/>
      <w:r w:rsidRPr="004C704B">
        <w:t>stablecoiny</w:t>
      </w:r>
      <w:proofErr w:type="spellEnd"/>
      <w:r w:rsidRPr="004C704B">
        <w:t xml:space="preserve"> mohou podle právního rámce nařízení </w:t>
      </w:r>
      <w:proofErr w:type="spellStart"/>
      <w:r w:rsidRPr="004C704B">
        <w:t>MiCA</w:t>
      </w:r>
      <w:proofErr w:type="spellEnd"/>
      <w:r w:rsidRPr="004C704B">
        <w:t xml:space="preserve"> spadat do dvou kategorií: tokeny vázané na aktiva a elektronické peněžní tokeny;</w:t>
      </w:r>
    </w:p>
    <w:p w14:paraId="5082A225" w14:textId="77777777" w:rsidR="005A6FED" w:rsidRDefault="005A6FED" w:rsidP="004C704B">
      <w:pPr>
        <w:pStyle w:val="NormalHanging12a"/>
      </w:pPr>
      <w:r w:rsidRPr="004C704B">
        <w:t>19.</w:t>
      </w:r>
      <w:r w:rsidRPr="004C704B">
        <w:tab/>
        <w:t xml:space="preserve">konstatuje, že </w:t>
      </w:r>
      <w:proofErr w:type="spellStart"/>
      <w:r w:rsidRPr="004C704B">
        <w:t>stablecoiny</w:t>
      </w:r>
      <w:proofErr w:type="spellEnd"/>
      <w:r w:rsidRPr="004C704B">
        <w:t xml:space="preserve"> jsou formou tvorby soukromých peněz a že jejich ekonomická funkce vykazuje podobnosti s pevnými směnnými kurzy, fondy peněžního trhu a úzkými bankami; zdůrazňuje však, že nařízení </w:t>
      </w:r>
      <w:proofErr w:type="spellStart"/>
      <w:r w:rsidRPr="004C704B">
        <w:t>MiCAR</w:t>
      </w:r>
      <w:proofErr w:type="spellEnd"/>
      <w:r w:rsidRPr="004C704B">
        <w:t xml:space="preserve"> zakazuje vydavatelům elektronických peněžních tokenů a poskytovatelům služeb souvisejících s </w:t>
      </w:r>
      <w:proofErr w:type="spellStart"/>
      <w:r w:rsidRPr="004C704B">
        <w:t>kryptoaktivy</w:t>
      </w:r>
      <w:proofErr w:type="spellEnd"/>
      <w:r w:rsidRPr="004C704B">
        <w:t xml:space="preserve"> přímo či nepřímo poskytovat úroky v souvislosti s elektronickými peněžními tokeny a že </w:t>
      </w:r>
      <w:proofErr w:type="spellStart"/>
      <w:r w:rsidRPr="004C704B">
        <w:t>stablecoiny</w:t>
      </w:r>
      <w:proofErr w:type="spellEnd"/>
      <w:r w:rsidRPr="004C704B">
        <w:t xml:space="preserve"> nemají přímý přístup k centrálním bankám a jejich držitelé nejsou kryti systémy pojištění vkladů; bere na vědomí rizika uvolnění kurzu nebo devalvace </w:t>
      </w:r>
      <w:proofErr w:type="spellStart"/>
      <w:r w:rsidRPr="004C704B">
        <w:t>stablecoinů</w:t>
      </w:r>
      <w:proofErr w:type="spellEnd"/>
      <w:r w:rsidRPr="004C704B">
        <w:t xml:space="preserve"> a vynechání zprostředkovatelů v souvislosti se </w:t>
      </w:r>
      <w:proofErr w:type="spellStart"/>
      <w:r w:rsidRPr="004C704B">
        <w:t>stablecoiny</w:t>
      </w:r>
      <w:proofErr w:type="spellEnd"/>
      <w:r w:rsidRPr="004C704B">
        <w:t>;</w:t>
      </w:r>
    </w:p>
    <w:p w14:paraId="3C65FF73" w14:textId="6A97E314" w:rsidR="001424E8" w:rsidRPr="004C704B" w:rsidRDefault="001424E8" w:rsidP="004C704B">
      <w:pPr>
        <w:pStyle w:val="NormalHanging12a"/>
      </w:pPr>
      <w:r>
        <w:t>20</w:t>
      </w:r>
      <w:r w:rsidRPr="001424E8">
        <w:t>.</w:t>
      </w:r>
      <w:r w:rsidRPr="001424E8">
        <w:tab/>
        <w:t xml:space="preserve">se znepokojením bere na vědomí pokračující rychlou expanzi a dominantní postavení </w:t>
      </w:r>
      <w:proofErr w:type="spellStart"/>
      <w:r w:rsidRPr="001424E8">
        <w:t>stablecoinů</w:t>
      </w:r>
      <w:proofErr w:type="spellEnd"/>
      <w:r w:rsidRPr="001424E8">
        <w:t xml:space="preserve"> denominovaných v amerických dolarech, které by mohly oslabit měnovou suverenitu EU, zvýšit rizika pro finanční stabilitu, narušit transmisi měnové politiky a posílit vnější závislost v oblasti plateb;</w:t>
      </w:r>
    </w:p>
    <w:p w14:paraId="3E933611" w14:textId="09678D73" w:rsidR="005A6FED" w:rsidRPr="004C704B" w:rsidRDefault="005A6FED" w:rsidP="004C704B">
      <w:pPr>
        <w:pStyle w:val="NormalHanging12a"/>
      </w:pPr>
      <w:r w:rsidRPr="004C704B">
        <w:t>2</w:t>
      </w:r>
      <w:r w:rsidR="001424E8">
        <w:t>1</w:t>
      </w:r>
      <w:r w:rsidRPr="004C704B">
        <w:t>.</w:t>
      </w:r>
      <w:r w:rsidRPr="004C704B">
        <w:tab/>
        <w:t xml:space="preserve">vítá vznik elektronických peněžních tokenů denominovaných v eurech v rámci nařízení </w:t>
      </w:r>
      <w:proofErr w:type="spellStart"/>
      <w:r w:rsidRPr="004C704B">
        <w:t>MiCAR</w:t>
      </w:r>
      <w:proofErr w:type="spellEnd"/>
      <w:r w:rsidRPr="004C704B">
        <w:t xml:space="preserve"> a vybízí k jejich rozvoji na podporu inovací v oblasti plateb v Unii, konkurenceschopnosti finančních trhů EU a mezinárodní úlohy eura, a to i prostřednictvím rychlejších a levnějších přeshraničních plateb, které doplní </w:t>
      </w:r>
      <w:proofErr w:type="spellStart"/>
      <w:r w:rsidRPr="004C704B">
        <w:t>tokenizované</w:t>
      </w:r>
      <w:proofErr w:type="spellEnd"/>
      <w:r w:rsidRPr="004C704B">
        <w:t xml:space="preserve"> vklady a velkoobchodní digitální měny centrálních bank; zdůrazňuje význam harmonizovaných rámců pro řízení rizika likvidity a pro krizové řízení, včetně kaskádovitého vypořádání zpětných odkupů (</w:t>
      </w:r>
      <w:proofErr w:type="spellStart"/>
      <w:r w:rsidRPr="004C704B">
        <w:t>redemption</w:t>
      </w:r>
      <w:proofErr w:type="spellEnd"/>
      <w:r w:rsidRPr="004C704B">
        <w:t xml:space="preserve"> </w:t>
      </w:r>
      <w:proofErr w:type="spellStart"/>
      <w:r w:rsidRPr="004C704B">
        <w:t>waterfalls</w:t>
      </w:r>
      <w:proofErr w:type="spellEnd"/>
      <w:r w:rsidRPr="004C704B">
        <w:t xml:space="preserve">) a požadavků na segregaci rezerv; konstatuje, že ECB trvá na tom, že stabilní kryptoměny denominované v jiné měně než v euru mohou představovat riziko pro měnovou politiku, pokud se jejich používání rozšíří; vyjadřuje obezřetnost vůči zneužívání doložky o poskytování služeb z výlučného podnětu zákazníka (reverse </w:t>
      </w:r>
      <w:proofErr w:type="spellStart"/>
      <w:r w:rsidRPr="004C704B">
        <w:t>solicitation</w:t>
      </w:r>
      <w:proofErr w:type="spellEnd"/>
      <w:r w:rsidRPr="004C704B">
        <w:t>);</w:t>
      </w:r>
    </w:p>
    <w:p w14:paraId="308DEEBD" w14:textId="64AA2135" w:rsidR="005A6FED" w:rsidRPr="004C704B" w:rsidRDefault="005A6FED" w:rsidP="004C704B">
      <w:pPr>
        <w:pStyle w:val="NormalHanging12a"/>
      </w:pPr>
      <w:r w:rsidRPr="004C704B">
        <w:t>2</w:t>
      </w:r>
      <w:r w:rsidR="001424E8">
        <w:t>2</w:t>
      </w:r>
      <w:r w:rsidRPr="004C704B">
        <w:t>.</w:t>
      </w:r>
      <w:r w:rsidRPr="004C704B">
        <w:tab/>
        <w:t xml:space="preserve">bere na vědomí potřebu právní jistoty v unijním právu, pokud jde o možnost vícenásobného vydávání </w:t>
      </w:r>
      <w:proofErr w:type="spellStart"/>
      <w:r w:rsidRPr="004C704B">
        <w:t>stablecoinů</w:t>
      </w:r>
      <w:proofErr w:type="spellEnd"/>
      <w:r w:rsidRPr="004C704B">
        <w:t xml:space="preserve"> subjektem z EU a subjektem ze země mimo EU, kdy by byly digitální </w:t>
      </w:r>
      <w:proofErr w:type="spellStart"/>
      <w:r w:rsidRPr="004C704B">
        <w:t>stablecoiny</w:t>
      </w:r>
      <w:proofErr w:type="spellEnd"/>
      <w:r w:rsidRPr="004C704B">
        <w:t xml:space="preserve"> vydávané oběma subjekty plně zastupitelné a nerozlišitelné; připomíná, že rada ESRB varovala před vícečetnými emisemi, které by mohly vytvořit cestu pro růst rizik; zdůrazňuje, že je třeba zajistit, aby fungování těchto systémů v EU bylo založeno na právní jistotě a pevném regulačním rámci, který poskytne silné obezřetnostní záruky, spolehlivé dohody o spolupráci a odolné protokoly pro řešení krizí; zdůrazňuje, že je důležité podporovat mezinárodní koordinaci v oblasti regulace globálních stabilních kryptoměn a dohledu nad nimi s cílem vypracovat mezinárodní normy;</w:t>
      </w:r>
    </w:p>
    <w:p w14:paraId="500C83DA" w14:textId="6DC8E370" w:rsidR="005A6FED" w:rsidRPr="004C704B" w:rsidRDefault="005A6FED" w:rsidP="004C704B">
      <w:pPr>
        <w:pStyle w:val="NormalHanging12a"/>
      </w:pPr>
      <w:r w:rsidRPr="004C704B">
        <w:lastRenderedPageBreak/>
        <w:t>2</w:t>
      </w:r>
      <w:r w:rsidR="001424E8">
        <w:t>3</w:t>
      </w:r>
      <w:r w:rsidRPr="004C704B">
        <w:t>.</w:t>
      </w:r>
      <w:r w:rsidRPr="004C704B">
        <w:tab/>
        <w:t>vítá předběžnou dohodu o návrzích směrnice</w:t>
      </w:r>
      <w:r w:rsidRPr="004C704B">
        <w:rPr>
          <w:rStyle w:val="FootnoteReference"/>
        </w:rPr>
        <w:footnoteReference w:customMarkFollows="1" w:id="6"/>
        <w:t>6</w:t>
      </w:r>
      <w:r w:rsidRPr="004C704B">
        <w:t xml:space="preserve"> a nařízení</w:t>
      </w:r>
      <w:r w:rsidRPr="004C704B">
        <w:rPr>
          <w:rStyle w:val="FootnoteReference"/>
        </w:rPr>
        <w:footnoteReference w:customMarkFollows="1" w:id="7"/>
        <w:t>7</w:t>
      </w:r>
      <w:r w:rsidRPr="004C704B">
        <w:t xml:space="preserve"> o platebních službách a zjednodušené povolovací řešení pro poskytovatele služeb souvisejících s </w:t>
      </w:r>
      <w:proofErr w:type="spellStart"/>
      <w:r w:rsidRPr="004C704B">
        <w:t>kryptoaktivy</w:t>
      </w:r>
      <w:proofErr w:type="spellEnd"/>
      <w:r w:rsidRPr="004C704B">
        <w:t xml:space="preserve">, kteří již mají povolení podle nařízení </w:t>
      </w:r>
      <w:proofErr w:type="spellStart"/>
      <w:r w:rsidRPr="004C704B">
        <w:t>MiCAR</w:t>
      </w:r>
      <w:proofErr w:type="spellEnd"/>
      <w:r w:rsidRPr="004C704B">
        <w:t>, aby se zabránilo zbytečnému překrývání právních předpisů, s tím, že toto řešení by podléhalo zjednodušenému postupu, přičemž by byla zachována žádoucí kontrola rizik a poskytovány by byly pouze služby uvedené v žádosti;</w:t>
      </w:r>
    </w:p>
    <w:p w14:paraId="0B2B2F12" w14:textId="77777777" w:rsidR="005A6FED" w:rsidRPr="004C704B" w:rsidRDefault="005A6FED" w:rsidP="004C704B">
      <w:pPr>
        <w:pStyle w:val="Normal12a"/>
        <w:ind w:left="566" w:hanging="566"/>
      </w:pPr>
      <w:r w:rsidRPr="004C704B">
        <w:rPr>
          <w:b/>
          <w:i/>
        </w:rPr>
        <w:t>Průřezové prvky</w:t>
      </w:r>
    </w:p>
    <w:p w14:paraId="12B97618" w14:textId="4ECA4330" w:rsidR="005A6FED" w:rsidRPr="004C704B" w:rsidRDefault="005A6FED" w:rsidP="004C704B">
      <w:pPr>
        <w:pStyle w:val="NormalHanging12a"/>
      </w:pPr>
      <w:r w:rsidRPr="004C704B">
        <w:t>2</w:t>
      </w:r>
      <w:r w:rsidR="001424E8">
        <w:t>4</w:t>
      </w:r>
      <w:r w:rsidRPr="004C704B">
        <w:t>.</w:t>
      </w:r>
      <w:r w:rsidRPr="004C704B">
        <w:tab/>
        <w:t>zdůrazňuje, že interoperabilita má zásadní význam v oblasti digitálních financí a vyžaduje například přenosnou identitu a ověřitelné certifikáty jako základní složky infrastruktury trhu napříč sítěmi; zdůrazňuje, že přístupy založené na identifikátoru právnické osoby/ověřitelném identifikátoru právnické osoby by měly být posuzovány jako nástroje na úrovni infrastruktury; vyzývá Komisi, aby spolupracovala s evropskými a mezinárodními normalizačními organizacemi na vypracování společných technických norem a protokolů pro digitální aktiva, inteligentní smlouvy a digitální identity;</w:t>
      </w:r>
    </w:p>
    <w:p w14:paraId="6FF4452B" w14:textId="408059E3" w:rsidR="005A6FED" w:rsidRPr="004C704B" w:rsidRDefault="005A6FED" w:rsidP="004C704B">
      <w:pPr>
        <w:pStyle w:val="NormalHanging12a"/>
      </w:pPr>
      <w:r w:rsidRPr="004C704B">
        <w:t>2</w:t>
      </w:r>
      <w:r w:rsidR="001424E8">
        <w:t>5</w:t>
      </w:r>
      <w:r w:rsidRPr="004C704B">
        <w:t>.</w:t>
      </w:r>
      <w:r w:rsidRPr="004C704B">
        <w:tab/>
        <w:t xml:space="preserve">vítá probíhající </w:t>
      </w:r>
      <w:proofErr w:type="gramStart"/>
      <w:r w:rsidRPr="004C704B">
        <w:t>diskuzi</w:t>
      </w:r>
      <w:proofErr w:type="gramEnd"/>
      <w:r w:rsidRPr="004C704B">
        <w:t xml:space="preserve"> o digitálním euru, včetně příprav na jeho maloobchodní i velkoobchodní použití, a podporuje probíhající krátkodobé (</w:t>
      </w:r>
      <w:proofErr w:type="spellStart"/>
      <w:r w:rsidRPr="004C704B">
        <w:t>Pontes</w:t>
      </w:r>
      <w:proofErr w:type="spellEnd"/>
      <w:r w:rsidRPr="004C704B">
        <w:t>) a dlouhodobé (Appia) projekty DLT pro velkoobchodní vypořádání peněžních prostředků centrální banky; vyzývá Komisi a ECB, aby zajistily, že budoucí řešení digitálního eura budou navržena tak, aby usnadňovala interoperabilitu s infrastrukturami DLT a zajišťovala doplňkovost s hotovostí;</w:t>
      </w:r>
    </w:p>
    <w:p w14:paraId="090E6348" w14:textId="17051DF4" w:rsidR="005A6FED" w:rsidRPr="004C704B" w:rsidRDefault="005A6FED" w:rsidP="004C704B">
      <w:pPr>
        <w:pStyle w:val="NormalHanging12a"/>
      </w:pPr>
      <w:r w:rsidRPr="004C704B">
        <w:t>2</w:t>
      </w:r>
      <w:r w:rsidR="001424E8">
        <w:t>6</w:t>
      </w:r>
      <w:r w:rsidRPr="004C704B">
        <w:t>.</w:t>
      </w:r>
      <w:r w:rsidRPr="004C704B">
        <w:tab/>
        <w:t xml:space="preserve">vyjadřuje politování nad závislostí EU na poskytovatelích služeb z </w:t>
      </w:r>
      <w:proofErr w:type="spellStart"/>
      <w:r w:rsidRPr="004C704B">
        <w:t>mimounijních</w:t>
      </w:r>
      <w:proofErr w:type="spellEnd"/>
      <w:r w:rsidRPr="004C704B">
        <w:t xml:space="preserve"> zemí, pokud jde o infrastrukturu DLT; zdůrazňuje, že nakládání administrativy USA s digitálními aktivy by mělo být obezřetně sledováno;</w:t>
      </w:r>
    </w:p>
    <w:p w14:paraId="080380ED" w14:textId="3A5ACDDE" w:rsidR="005A6FED" w:rsidRPr="004C704B" w:rsidRDefault="005A6FED" w:rsidP="004C704B">
      <w:pPr>
        <w:pStyle w:val="NormalHanging12a"/>
      </w:pPr>
      <w:r w:rsidRPr="004C704B">
        <w:t>2</w:t>
      </w:r>
      <w:r w:rsidR="001424E8">
        <w:t>7</w:t>
      </w:r>
      <w:r w:rsidRPr="004C704B">
        <w:t>.</w:t>
      </w:r>
      <w:r w:rsidRPr="004C704B">
        <w:tab/>
        <w:t xml:space="preserve">bere na vědomí probíhající </w:t>
      </w:r>
      <w:proofErr w:type="gramStart"/>
      <w:r w:rsidRPr="004C704B">
        <w:t>diskuze</w:t>
      </w:r>
      <w:proofErr w:type="gramEnd"/>
      <w:r w:rsidRPr="004C704B">
        <w:t xml:space="preserve"> o dohledu nad poskytovateli služeb souvisejících s </w:t>
      </w:r>
      <w:proofErr w:type="spellStart"/>
      <w:r w:rsidRPr="004C704B">
        <w:t>kryptoaktivy</w:t>
      </w:r>
      <w:proofErr w:type="spellEnd"/>
      <w:r w:rsidRPr="004C704B">
        <w:t>, pokud jde o úlohu orgánu ESMA v rámci balíčku opatření pro integraci trhu a dohled nad ním;</w:t>
      </w:r>
    </w:p>
    <w:p w14:paraId="30285632" w14:textId="77777777" w:rsidR="004C704B" w:rsidRPr="004C704B" w:rsidRDefault="004C704B" w:rsidP="004C704B">
      <w:pPr>
        <w:pStyle w:val="NormalCenter12a"/>
        <w:ind w:left="566" w:hanging="566"/>
      </w:pPr>
      <w:r w:rsidRPr="004C704B">
        <w:t>°</w:t>
      </w:r>
    </w:p>
    <w:p w14:paraId="3F3D90B0" w14:textId="77777777" w:rsidR="004C704B" w:rsidRPr="004C704B" w:rsidRDefault="004C704B" w:rsidP="004C704B">
      <w:pPr>
        <w:pStyle w:val="NormalCenter12a"/>
        <w:ind w:left="566" w:hanging="566"/>
      </w:pPr>
      <w:r w:rsidRPr="004C704B">
        <w:t>°     °</w:t>
      </w:r>
    </w:p>
    <w:p w14:paraId="07C67406" w14:textId="48988847" w:rsidR="00FE61A6" w:rsidRPr="004C704B" w:rsidRDefault="005A6FED" w:rsidP="004C704B">
      <w:pPr>
        <w:pStyle w:val="NormalHanging12a"/>
      </w:pPr>
      <w:r w:rsidRPr="004C704B">
        <w:t>2</w:t>
      </w:r>
      <w:r w:rsidR="001424E8">
        <w:t>8</w:t>
      </w:r>
      <w:r w:rsidRPr="004C704B">
        <w:t>.</w:t>
      </w:r>
      <w:r w:rsidRPr="004C704B">
        <w:tab/>
        <w:t>pověřuje svou předsedkyni, aby předala toto usnesení Radě a Komisi.</w:t>
      </w:r>
    </w:p>
    <w:p w14:paraId="1B7F202C" w14:textId="35F32B2B" w:rsidR="00E365E1" w:rsidRPr="004C704B" w:rsidRDefault="00E365E1" w:rsidP="005B3807"/>
    <w:sectPr w:rsidR="00E365E1" w:rsidRPr="004C704B" w:rsidSect="00FE61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6D391" w14:textId="77777777" w:rsidR="005B3807" w:rsidRPr="00FE61A6" w:rsidRDefault="005B3807">
      <w:r w:rsidRPr="00FE61A6">
        <w:separator/>
      </w:r>
    </w:p>
  </w:endnote>
  <w:endnote w:type="continuationSeparator" w:id="0">
    <w:p w14:paraId="069EFC37" w14:textId="77777777" w:rsidR="005B3807" w:rsidRPr="00FE61A6" w:rsidRDefault="005B3807">
      <w:r w:rsidRPr="00FE61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EA3ED" w14:textId="77777777" w:rsidR="00064002" w:rsidRPr="00FE61A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3DBA9" w14:textId="77777777" w:rsidR="00064002" w:rsidRPr="00FE61A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0B99E" w14:textId="77777777" w:rsidR="00064002" w:rsidRPr="00FE61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DFE8D" w14:textId="77777777" w:rsidR="005B3807" w:rsidRPr="00FE61A6" w:rsidRDefault="005B3807">
      <w:r w:rsidRPr="00FE61A6">
        <w:separator/>
      </w:r>
    </w:p>
  </w:footnote>
  <w:footnote w:type="continuationSeparator" w:id="0">
    <w:p w14:paraId="4E444896" w14:textId="77777777" w:rsidR="005B3807" w:rsidRPr="00FE61A6" w:rsidRDefault="005B3807">
      <w:r w:rsidRPr="00FE61A6">
        <w:continuationSeparator/>
      </w:r>
    </w:p>
  </w:footnote>
  <w:footnote w:id="1">
    <w:p w14:paraId="1BD4CF24" w14:textId="3354C4A7" w:rsidR="005A6FED" w:rsidRPr="00FE61A6" w:rsidRDefault="005A6FED" w:rsidP="00FE61A6">
      <w:pPr>
        <w:pStyle w:val="FootnoteText"/>
        <w:ind w:left="567" w:hanging="567"/>
        <w:rPr>
          <w:sz w:val="24"/>
          <w:lang w:val="cs-CZ"/>
        </w:rPr>
      </w:pPr>
      <w:r w:rsidRPr="00FE61A6">
        <w:rPr>
          <w:rStyle w:val="FootnoteReference"/>
          <w:sz w:val="24"/>
          <w:lang w:val="cs-CZ"/>
        </w:rPr>
        <w:t>1</w:t>
      </w:r>
      <w:r w:rsidR="00FE61A6" w:rsidRPr="00FE61A6">
        <w:rPr>
          <w:sz w:val="24"/>
          <w:lang w:val="cs-CZ"/>
        </w:rPr>
        <w:t xml:space="preserve"> </w:t>
      </w:r>
      <w:r w:rsidR="00FE61A6" w:rsidRPr="00FE61A6">
        <w:rPr>
          <w:sz w:val="24"/>
          <w:lang w:val="cs-CZ"/>
        </w:rPr>
        <w:tab/>
      </w:r>
      <w:r w:rsidRPr="00FE61A6">
        <w:rPr>
          <w:sz w:val="24"/>
          <w:lang w:val="cs-CZ"/>
        </w:rPr>
        <w:t xml:space="preserve">Mezinárodní měnový fond, </w:t>
      </w:r>
      <w:proofErr w:type="spellStart"/>
      <w:r w:rsidRPr="00FE61A6">
        <w:rPr>
          <w:sz w:val="24"/>
          <w:lang w:val="cs-CZ"/>
        </w:rPr>
        <w:t>Stablecoins</w:t>
      </w:r>
      <w:proofErr w:type="spellEnd"/>
      <w:r w:rsidRPr="00FE61A6">
        <w:rPr>
          <w:sz w:val="24"/>
          <w:lang w:val="cs-CZ"/>
        </w:rPr>
        <w:t xml:space="preserve"> and </w:t>
      </w:r>
      <w:proofErr w:type="spellStart"/>
      <w:r w:rsidRPr="00FE61A6">
        <w:rPr>
          <w:sz w:val="24"/>
          <w:lang w:val="cs-CZ"/>
        </w:rPr>
        <w:t>the</w:t>
      </w:r>
      <w:proofErr w:type="spellEnd"/>
      <w:r w:rsidRPr="00FE61A6">
        <w:rPr>
          <w:sz w:val="24"/>
          <w:lang w:val="cs-CZ"/>
        </w:rPr>
        <w:t xml:space="preserve"> </w:t>
      </w:r>
      <w:proofErr w:type="spellStart"/>
      <w:r w:rsidRPr="00FE61A6">
        <w:rPr>
          <w:sz w:val="24"/>
          <w:lang w:val="cs-CZ"/>
        </w:rPr>
        <w:t>future</w:t>
      </w:r>
      <w:proofErr w:type="spellEnd"/>
      <w:r w:rsidRPr="00FE61A6">
        <w:rPr>
          <w:sz w:val="24"/>
          <w:lang w:val="cs-CZ"/>
        </w:rPr>
        <w:t xml:space="preserve"> </w:t>
      </w:r>
      <w:proofErr w:type="spellStart"/>
      <w:r w:rsidRPr="00FE61A6">
        <w:rPr>
          <w:sz w:val="24"/>
          <w:lang w:val="cs-CZ"/>
        </w:rPr>
        <w:t>of</w:t>
      </w:r>
      <w:proofErr w:type="spellEnd"/>
      <w:r w:rsidRPr="00FE61A6">
        <w:rPr>
          <w:sz w:val="24"/>
          <w:lang w:val="cs-CZ"/>
        </w:rPr>
        <w:t xml:space="preserve"> finance, Finance &amp; Development, svazek 62, vydání 3, 3. září 2025, Mezinárodní měnový fond, Washington, </w:t>
      </w:r>
      <w:hyperlink r:id="rId1" w:tgtFrame="https://doi.org/10.5089/9798400297649.022" w:history="1">
        <w:r w:rsidRPr="00FE61A6">
          <w:rPr>
            <w:rStyle w:val="Hyperlink"/>
            <w:sz w:val="24"/>
            <w:lang w:val="cs-CZ"/>
          </w:rPr>
          <w:t>https://doi.org/10.5089/9798400297649.022</w:t>
        </w:r>
      </w:hyperlink>
      <w:r w:rsidRPr="00FE61A6">
        <w:rPr>
          <w:sz w:val="24"/>
          <w:lang w:val="cs-CZ"/>
        </w:rPr>
        <w:t>.</w:t>
      </w:r>
    </w:p>
  </w:footnote>
  <w:footnote w:id="2">
    <w:p w14:paraId="4E1B6182" w14:textId="23638062" w:rsidR="005A6FED" w:rsidRPr="00FE61A6" w:rsidRDefault="005A6FED" w:rsidP="00FE61A6">
      <w:pPr>
        <w:pStyle w:val="FootnoteText"/>
        <w:ind w:left="567" w:hanging="567"/>
        <w:rPr>
          <w:sz w:val="24"/>
          <w:lang w:val="cs-CZ"/>
        </w:rPr>
      </w:pPr>
      <w:r w:rsidRPr="00FE61A6">
        <w:rPr>
          <w:rStyle w:val="FootnoteReference"/>
          <w:sz w:val="24"/>
          <w:lang w:val="cs-CZ"/>
        </w:rPr>
        <w:t>2</w:t>
      </w:r>
      <w:r w:rsidR="00FE61A6" w:rsidRPr="00FE61A6">
        <w:rPr>
          <w:sz w:val="24"/>
          <w:lang w:val="cs-CZ"/>
        </w:rPr>
        <w:t xml:space="preserve"> </w:t>
      </w:r>
      <w:r w:rsidR="00FE61A6" w:rsidRPr="00FE61A6">
        <w:rPr>
          <w:sz w:val="24"/>
          <w:lang w:val="cs-CZ"/>
        </w:rPr>
        <w:tab/>
      </w:r>
      <w:r w:rsidRPr="00FE61A6">
        <w:rPr>
          <w:sz w:val="24"/>
          <w:lang w:val="cs-CZ"/>
        </w:rPr>
        <w:t xml:space="preserve">OECD Business and Finance </w:t>
      </w:r>
      <w:proofErr w:type="spellStart"/>
      <w:r w:rsidRPr="00FE61A6">
        <w:rPr>
          <w:sz w:val="24"/>
          <w:lang w:val="cs-CZ"/>
        </w:rPr>
        <w:t>Policy</w:t>
      </w:r>
      <w:proofErr w:type="spellEnd"/>
      <w:r w:rsidRPr="00FE61A6">
        <w:rPr>
          <w:sz w:val="24"/>
          <w:lang w:val="cs-CZ"/>
        </w:rPr>
        <w:t xml:space="preserve"> </w:t>
      </w:r>
      <w:proofErr w:type="spellStart"/>
      <w:r w:rsidRPr="00FE61A6">
        <w:rPr>
          <w:sz w:val="24"/>
          <w:lang w:val="cs-CZ"/>
        </w:rPr>
        <w:t>Papers</w:t>
      </w:r>
      <w:proofErr w:type="spellEnd"/>
      <w:r w:rsidRPr="00FE61A6">
        <w:rPr>
          <w:sz w:val="24"/>
          <w:lang w:val="cs-CZ"/>
        </w:rPr>
        <w:t>, č. 75.</w:t>
      </w:r>
    </w:p>
  </w:footnote>
  <w:footnote w:id="3">
    <w:p w14:paraId="0B78925E" w14:textId="24527FA0" w:rsidR="005A6FED" w:rsidRPr="00B31DF1" w:rsidRDefault="005A6FED" w:rsidP="00FE61A6">
      <w:pPr>
        <w:pStyle w:val="FootnoteText"/>
        <w:ind w:left="567" w:hanging="567"/>
        <w:rPr>
          <w:sz w:val="24"/>
          <w:lang w:val="cs-CZ"/>
        </w:rPr>
      </w:pPr>
      <w:r w:rsidRPr="00FE61A6">
        <w:rPr>
          <w:rStyle w:val="FootnoteReference"/>
          <w:sz w:val="24"/>
          <w:lang w:val="cs-CZ"/>
        </w:rPr>
        <w:t>3</w:t>
      </w:r>
      <w:r w:rsidR="00FE61A6" w:rsidRPr="00FE61A6">
        <w:rPr>
          <w:sz w:val="24"/>
          <w:lang w:val="cs-CZ"/>
        </w:rPr>
        <w:t xml:space="preserve"> </w:t>
      </w:r>
      <w:r w:rsidR="00FE61A6" w:rsidRPr="00FE61A6">
        <w:rPr>
          <w:sz w:val="24"/>
          <w:lang w:val="cs-CZ"/>
        </w:rPr>
        <w:tab/>
      </w:r>
      <w:r w:rsidRPr="00FE61A6">
        <w:rPr>
          <w:sz w:val="24"/>
          <w:lang w:val="cs-CZ"/>
        </w:rPr>
        <w:t>Nařízení Evropského parlamentu a Rady (EU) 2022/858 ze dne 30. května 2022 o pilotním režimu pro tržní infrastruktury založené na technologii sdíleného registru a o změně nařízení (EU) č. 600/2014 a (EU) č. 909/2014 a směrnice 2014/65/EU (</w:t>
      </w:r>
      <w:proofErr w:type="spellStart"/>
      <w:r w:rsidRPr="00FE61A6">
        <w:rPr>
          <w:sz w:val="24"/>
          <w:lang w:val="cs-CZ"/>
        </w:rPr>
        <w:t>Úř</w:t>
      </w:r>
      <w:proofErr w:type="spellEnd"/>
      <w:r w:rsidRPr="00FE61A6">
        <w:rPr>
          <w:sz w:val="24"/>
          <w:lang w:val="cs-CZ"/>
        </w:rPr>
        <w:t>. </w:t>
      </w:r>
      <w:proofErr w:type="spellStart"/>
      <w:r w:rsidRPr="00FE61A6">
        <w:rPr>
          <w:sz w:val="24"/>
          <w:lang w:val="cs-CZ"/>
        </w:rPr>
        <w:t>věst</w:t>
      </w:r>
      <w:proofErr w:type="spellEnd"/>
      <w:r w:rsidRPr="00FE61A6">
        <w:rPr>
          <w:sz w:val="24"/>
          <w:lang w:val="cs-CZ"/>
        </w:rPr>
        <w:t>. L 151, 2.6.2022, s. </w:t>
      </w:r>
      <w:r w:rsidRPr="00FE61A6">
        <w:rPr>
          <w:sz w:val="24"/>
          <w:lang w:val="cs-CZ"/>
        </w:rPr>
        <w:t xml:space="preserve">1, ELI: </w:t>
      </w:r>
      <w:hyperlink r:id="rId2" w:tgtFrame="http://data.europa.eu/eli/reg/2022/858/oj" w:history="1">
        <w:r w:rsidRPr="00FE61A6">
          <w:rPr>
            <w:rStyle w:val="Hyperlink"/>
            <w:sz w:val="24"/>
            <w:lang w:val="cs-CZ"/>
          </w:rPr>
          <w:t>http://data.europa.eu/eli/reg/2022/858/oj</w:t>
        </w:r>
      </w:hyperlink>
      <w:r w:rsidR="00B31DF1">
        <w:t>).</w:t>
      </w:r>
    </w:p>
  </w:footnote>
  <w:footnote w:id="4">
    <w:p w14:paraId="2B93E755" w14:textId="19934FEF" w:rsidR="005A6FED" w:rsidRPr="00FE61A6" w:rsidRDefault="005A6FED" w:rsidP="00FE61A6">
      <w:pPr>
        <w:pStyle w:val="FootnoteText"/>
        <w:ind w:left="567" w:hanging="567"/>
        <w:rPr>
          <w:sz w:val="24"/>
          <w:lang w:val="cs-CZ"/>
        </w:rPr>
      </w:pPr>
      <w:r w:rsidRPr="00FE61A6">
        <w:rPr>
          <w:rStyle w:val="FootnoteReference"/>
          <w:sz w:val="24"/>
          <w:lang w:val="cs-CZ"/>
        </w:rPr>
        <w:t>4</w:t>
      </w:r>
      <w:r w:rsidR="00FE61A6" w:rsidRPr="00FE61A6">
        <w:rPr>
          <w:sz w:val="24"/>
          <w:lang w:val="cs-CZ"/>
        </w:rPr>
        <w:t xml:space="preserve"> </w:t>
      </w:r>
      <w:r w:rsidR="00FE61A6" w:rsidRPr="00FE61A6">
        <w:rPr>
          <w:sz w:val="24"/>
          <w:lang w:val="cs-CZ"/>
        </w:rPr>
        <w:tab/>
      </w:r>
      <w:r w:rsidRPr="00FE61A6">
        <w:rPr>
          <w:sz w:val="24"/>
          <w:lang w:val="cs-CZ"/>
        </w:rPr>
        <w:t xml:space="preserve">Nařízení Evropského parlamentu a Rady (EU) 2023/1114 ze dne 31. května 2023 o trzích </w:t>
      </w:r>
      <w:proofErr w:type="spellStart"/>
      <w:r w:rsidRPr="00FE61A6">
        <w:rPr>
          <w:sz w:val="24"/>
          <w:lang w:val="cs-CZ"/>
        </w:rPr>
        <w:t>kryptoaktiv</w:t>
      </w:r>
      <w:proofErr w:type="spellEnd"/>
      <w:r w:rsidRPr="00FE61A6">
        <w:rPr>
          <w:sz w:val="24"/>
          <w:lang w:val="cs-CZ"/>
        </w:rPr>
        <w:t xml:space="preserve"> a o změně nařízení (EU) č. 1093/2010 a (EU) č. 1095/2010 a směrnic 2013/36/EU a (EU) 2019/1937 (</w:t>
      </w:r>
      <w:proofErr w:type="spellStart"/>
      <w:r w:rsidRPr="00FE61A6">
        <w:rPr>
          <w:sz w:val="24"/>
          <w:lang w:val="cs-CZ"/>
        </w:rPr>
        <w:t>Úř</w:t>
      </w:r>
      <w:proofErr w:type="spellEnd"/>
      <w:r w:rsidRPr="00FE61A6">
        <w:rPr>
          <w:sz w:val="24"/>
          <w:lang w:val="cs-CZ"/>
        </w:rPr>
        <w:t>. </w:t>
      </w:r>
      <w:proofErr w:type="spellStart"/>
      <w:r w:rsidRPr="00FE61A6">
        <w:rPr>
          <w:sz w:val="24"/>
          <w:lang w:val="cs-CZ"/>
        </w:rPr>
        <w:t>věst</w:t>
      </w:r>
      <w:proofErr w:type="spellEnd"/>
      <w:r w:rsidRPr="00FE61A6">
        <w:rPr>
          <w:sz w:val="24"/>
          <w:lang w:val="cs-CZ"/>
        </w:rPr>
        <w:t xml:space="preserve">. L 150, 9.6.2023, s. 40, ELI: </w:t>
      </w:r>
      <w:hyperlink r:id="rId3" w:tgtFrame="http://data.europa.eu/eli/reg/2023/1114/oj" w:history="1">
        <w:r w:rsidRPr="00FE61A6">
          <w:rPr>
            <w:rStyle w:val="Hyperlink"/>
            <w:sz w:val="24"/>
            <w:lang w:val="cs-CZ"/>
          </w:rPr>
          <w:t>http://data.europa.eu/eli/reg/2023/1114/oj</w:t>
        </w:r>
      </w:hyperlink>
      <w:r w:rsidRPr="00FE61A6">
        <w:rPr>
          <w:sz w:val="24"/>
          <w:lang w:val="cs-CZ"/>
        </w:rPr>
        <w:t>).</w:t>
      </w:r>
    </w:p>
  </w:footnote>
  <w:footnote w:id="5">
    <w:p w14:paraId="641E70C8" w14:textId="55A6FFD6" w:rsidR="005A6FED" w:rsidRPr="00FE61A6" w:rsidRDefault="005A6FED" w:rsidP="00FE61A6">
      <w:pPr>
        <w:pStyle w:val="FootnoteText"/>
        <w:ind w:left="567" w:hanging="567"/>
        <w:rPr>
          <w:sz w:val="24"/>
          <w:lang w:val="cs-CZ"/>
        </w:rPr>
      </w:pPr>
      <w:r w:rsidRPr="00FE61A6">
        <w:rPr>
          <w:rStyle w:val="FootnoteReference"/>
          <w:sz w:val="24"/>
          <w:lang w:val="cs-CZ"/>
        </w:rPr>
        <w:t>5</w:t>
      </w:r>
      <w:r w:rsidR="00FE61A6" w:rsidRPr="00FE61A6">
        <w:rPr>
          <w:sz w:val="24"/>
          <w:lang w:val="cs-CZ"/>
        </w:rPr>
        <w:t xml:space="preserve"> </w:t>
      </w:r>
      <w:r w:rsidR="00FE61A6" w:rsidRPr="00FE61A6">
        <w:rPr>
          <w:sz w:val="24"/>
          <w:lang w:val="cs-CZ"/>
        </w:rPr>
        <w:tab/>
      </w:r>
      <w:r w:rsidRPr="00FE61A6">
        <w:rPr>
          <w:sz w:val="24"/>
          <w:lang w:val="cs-CZ"/>
        </w:rPr>
        <w:t xml:space="preserve">Nařízení Evropského parlamentu a Rady (EU) 2023/1113 ze dne 31. května 2023 o informacích doprovázejících převody peněžních prostředků a některých </w:t>
      </w:r>
      <w:proofErr w:type="spellStart"/>
      <w:r w:rsidRPr="00FE61A6">
        <w:rPr>
          <w:sz w:val="24"/>
          <w:lang w:val="cs-CZ"/>
        </w:rPr>
        <w:t>kryptoaktiv</w:t>
      </w:r>
      <w:proofErr w:type="spellEnd"/>
      <w:r w:rsidRPr="00FE61A6">
        <w:rPr>
          <w:sz w:val="24"/>
          <w:lang w:val="cs-CZ"/>
        </w:rPr>
        <w:t xml:space="preserve"> a o změně směrnice (EU) 2015/849 (</w:t>
      </w:r>
      <w:proofErr w:type="spellStart"/>
      <w:r w:rsidRPr="00FE61A6">
        <w:rPr>
          <w:sz w:val="24"/>
          <w:lang w:val="cs-CZ"/>
        </w:rPr>
        <w:t>Úř</w:t>
      </w:r>
      <w:proofErr w:type="spellEnd"/>
      <w:r w:rsidRPr="00FE61A6">
        <w:rPr>
          <w:sz w:val="24"/>
          <w:lang w:val="cs-CZ"/>
        </w:rPr>
        <w:t>. </w:t>
      </w:r>
      <w:proofErr w:type="spellStart"/>
      <w:r w:rsidRPr="00FE61A6">
        <w:rPr>
          <w:sz w:val="24"/>
          <w:lang w:val="cs-CZ"/>
        </w:rPr>
        <w:t>věst</w:t>
      </w:r>
      <w:proofErr w:type="spellEnd"/>
      <w:r w:rsidRPr="00FE61A6">
        <w:rPr>
          <w:sz w:val="24"/>
          <w:lang w:val="cs-CZ"/>
        </w:rPr>
        <w:t xml:space="preserve">. L 150, 9.6.2023, s. 1, ELI: </w:t>
      </w:r>
      <w:hyperlink r:id="rId4" w:tgtFrame="http://data.europa.eu/eli/reg/2023/1113/oj" w:history="1">
        <w:r w:rsidRPr="00FE61A6">
          <w:rPr>
            <w:rStyle w:val="Hyperlink"/>
            <w:sz w:val="24"/>
            <w:lang w:val="cs-CZ"/>
          </w:rPr>
          <w:t>http://data.europa.eu/eli/reg/2023/1113/oj</w:t>
        </w:r>
      </w:hyperlink>
      <w:r w:rsidRPr="00FE61A6">
        <w:rPr>
          <w:sz w:val="24"/>
          <w:lang w:val="cs-CZ"/>
        </w:rPr>
        <w:t>).</w:t>
      </w:r>
    </w:p>
  </w:footnote>
  <w:footnote w:id="6">
    <w:p w14:paraId="7ED99EBD" w14:textId="0C87EE37" w:rsidR="005A6FED" w:rsidRPr="00FE61A6" w:rsidRDefault="005A6FED" w:rsidP="00FE61A6">
      <w:pPr>
        <w:pStyle w:val="FootnoteText"/>
        <w:ind w:left="567" w:hanging="567"/>
        <w:rPr>
          <w:sz w:val="24"/>
          <w:lang w:val="cs-CZ"/>
        </w:rPr>
      </w:pPr>
      <w:r w:rsidRPr="00FE61A6">
        <w:rPr>
          <w:rStyle w:val="FootnoteReference"/>
          <w:sz w:val="24"/>
          <w:lang w:val="cs-CZ"/>
        </w:rPr>
        <w:t>6</w:t>
      </w:r>
      <w:r w:rsidR="00FE61A6" w:rsidRPr="00FE61A6">
        <w:rPr>
          <w:sz w:val="24"/>
          <w:lang w:val="cs-CZ"/>
        </w:rPr>
        <w:t xml:space="preserve"> </w:t>
      </w:r>
      <w:r w:rsidR="00FE61A6" w:rsidRPr="00FE61A6">
        <w:rPr>
          <w:sz w:val="24"/>
          <w:lang w:val="cs-CZ"/>
        </w:rPr>
        <w:tab/>
      </w:r>
      <w:r w:rsidRPr="00FE61A6">
        <w:rPr>
          <w:sz w:val="24"/>
          <w:lang w:val="cs-CZ"/>
        </w:rPr>
        <w:t>Návrh směrnice Evropského parlamentu a Rady o platebních službách a službách elektronických peněz na vnitřním trhu, kterou se mění směrnice 98/26/ES a zrušují směrnice (EU) 2015/2366 a 2009/110/ES, který předložila Komise dne 28. června 2023 (COM(2023)0366).</w:t>
      </w:r>
    </w:p>
  </w:footnote>
  <w:footnote w:id="7">
    <w:p w14:paraId="7DABC30D" w14:textId="7266BD96" w:rsidR="005A6FED" w:rsidRPr="00FE61A6" w:rsidRDefault="005A6FED" w:rsidP="00FE61A6">
      <w:pPr>
        <w:pStyle w:val="FootnoteText"/>
        <w:ind w:left="567" w:hanging="567"/>
        <w:rPr>
          <w:sz w:val="24"/>
          <w:lang w:val="cs-CZ"/>
        </w:rPr>
      </w:pPr>
      <w:r w:rsidRPr="00FE61A6">
        <w:rPr>
          <w:rStyle w:val="FootnoteReference"/>
          <w:sz w:val="24"/>
          <w:lang w:val="cs-CZ"/>
        </w:rPr>
        <w:t>7</w:t>
      </w:r>
      <w:r w:rsidR="00FE61A6" w:rsidRPr="00FE61A6">
        <w:rPr>
          <w:sz w:val="24"/>
          <w:lang w:val="cs-CZ"/>
        </w:rPr>
        <w:t xml:space="preserve"> </w:t>
      </w:r>
      <w:r w:rsidR="00FE61A6" w:rsidRPr="00FE61A6">
        <w:rPr>
          <w:sz w:val="24"/>
          <w:lang w:val="cs-CZ"/>
        </w:rPr>
        <w:tab/>
      </w:r>
      <w:r w:rsidRPr="00FE61A6">
        <w:rPr>
          <w:sz w:val="24"/>
          <w:lang w:val="cs-CZ"/>
        </w:rPr>
        <w:t>Návrh nařízení Evropského parlamentu a Rady o platebních službách na vnitřním trhu a o změně nařízení (EU) č. 1093/2010, který předložila Komise dne 28. června 2023 (</w:t>
      </w:r>
      <w:r w:rsidRPr="00BE1AF1">
        <w:rPr>
          <w:sz w:val="24"/>
          <w:lang w:val="cs-CZ"/>
        </w:rPr>
        <w:t>COM(</w:t>
      </w:r>
      <w:r w:rsidR="00BA0A44" w:rsidRPr="00BE1AF1">
        <w:rPr>
          <w:sz w:val="24"/>
          <w:lang w:val="cs-CZ"/>
        </w:rPr>
        <w:t>202</w:t>
      </w:r>
      <w:r w:rsidR="00BE1AF1" w:rsidRPr="0070507B">
        <w:rPr>
          <w:sz w:val="24"/>
          <w:lang w:val="cs-CZ"/>
        </w:rPr>
        <w:t>3</w:t>
      </w:r>
      <w:r w:rsidR="00BA0A44" w:rsidRPr="00BE1AF1">
        <w:rPr>
          <w:sz w:val="24"/>
          <w:lang w:val="cs-CZ"/>
        </w:rPr>
        <w:t>)</w:t>
      </w:r>
      <w:r w:rsidRPr="00BE1AF1">
        <w:rPr>
          <w:sz w:val="24"/>
          <w:lang w:val="cs-CZ"/>
        </w:rPr>
        <w:t>0367</w:t>
      </w:r>
      <w:r w:rsidRPr="00FE61A6">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298A5" w14:textId="77777777" w:rsidR="00064002" w:rsidRPr="00FE61A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C1539" w14:textId="77777777" w:rsidR="00064002" w:rsidRPr="00FE61A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04F41" w14:textId="77777777" w:rsidR="00064002" w:rsidRPr="00FE61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2144261">
    <w:abstractNumId w:val="9"/>
  </w:num>
  <w:num w:numId="2" w16cid:durableId="1861436111">
    <w:abstractNumId w:val="9"/>
  </w:num>
  <w:num w:numId="3" w16cid:durableId="721827434">
    <w:abstractNumId w:val="7"/>
  </w:num>
  <w:num w:numId="4" w16cid:durableId="757096115">
    <w:abstractNumId w:val="7"/>
  </w:num>
  <w:num w:numId="5" w16cid:durableId="1189375255">
    <w:abstractNumId w:val="6"/>
  </w:num>
  <w:num w:numId="6" w16cid:durableId="1356620085">
    <w:abstractNumId w:val="6"/>
  </w:num>
  <w:num w:numId="7" w16cid:durableId="2084643551">
    <w:abstractNumId w:val="5"/>
  </w:num>
  <w:num w:numId="8" w16cid:durableId="1648168116">
    <w:abstractNumId w:val="5"/>
  </w:num>
  <w:num w:numId="9" w16cid:durableId="1586263231">
    <w:abstractNumId w:val="4"/>
  </w:num>
  <w:num w:numId="10" w16cid:durableId="330065181">
    <w:abstractNumId w:val="4"/>
  </w:num>
  <w:num w:numId="11" w16cid:durableId="1480999295">
    <w:abstractNumId w:val="8"/>
  </w:num>
  <w:num w:numId="12" w16cid:durableId="1809010676">
    <w:abstractNumId w:val="8"/>
  </w:num>
  <w:num w:numId="13" w16cid:durableId="423840939">
    <w:abstractNumId w:val="3"/>
  </w:num>
  <w:num w:numId="14" w16cid:durableId="627781510">
    <w:abstractNumId w:val="3"/>
  </w:num>
  <w:num w:numId="15" w16cid:durableId="1829664367">
    <w:abstractNumId w:val="2"/>
  </w:num>
  <w:num w:numId="16" w16cid:durableId="1515219145">
    <w:abstractNumId w:val="2"/>
  </w:num>
  <w:num w:numId="17" w16cid:durableId="126316888">
    <w:abstractNumId w:val="1"/>
  </w:num>
  <w:num w:numId="18" w16cid:durableId="1347556157">
    <w:abstractNumId w:val="1"/>
  </w:num>
  <w:num w:numId="19" w16cid:durableId="582879134">
    <w:abstractNumId w:val="0"/>
  </w:num>
  <w:num w:numId="20" w16cid:durableId="1310359346">
    <w:abstractNumId w:val="0"/>
  </w:num>
  <w:num w:numId="21" w16cid:durableId="228273844">
    <w:abstractNumId w:val="9"/>
  </w:num>
  <w:num w:numId="22" w16cid:durableId="376784768">
    <w:abstractNumId w:val="7"/>
  </w:num>
  <w:num w:numId="23" w16cid:durableId="74910500">
    <w:abstractNumId w:val="6"/>
  </w:num>
  <w:num w:numId="24" w16cid:durableId="1667702796">
    <w:abstractNumId w:val="5"/>
  </w:num>
  <w:num w:numId="25" w16cid:durableId="267859295">
    <w:abstractNumId w:val="4"/>
  </w:num>
  <w:num w:numId="26" w16cid:durableId="1217546092">
    <w:abstractNumId w:val="8"/>
  </w:num>
  <w:num w:numId="27" w16cid:durableId="1793547531">
    <w:abstractNumId w:val="3"/>
  </w:num>
  <w:num w:numId="28" w16cid:durableId="1333878221">
    <w:abstractNumId w:val="2"/>
  </w:num>
  <w:num w:numId="29" w16cid:durableId="1550989808">
    <w:abstractNumId w:val="1"/>
  </w:num>
  <w:num w:numId="30" w16cid:durableId="1244342988">
    <w:abstractNumId w:val="0"/>
  </w:num>
  <w:num w:numId="31" w16cid:durableId="1098872416">
    <w:abstractNumId w:val="9"/>
  </w:num>
  <w:num w:numId="32" w16cid:durableId="597254734">
    <w:abstractNumId w:val="7"/>
  </w:num>
  <w:num w:numId="33" w16cid:durableId="1292057612">
    <w:abstractNumId w:val="6"/>
  </w:num>
  <w:num w:numId="34" w16cid:durableId="939534778">
    <w:abstractNumId w:val="5"/>
  </w:num>
  <w:num w:numId="35" w16cid:durableId="980230549">
    <w:abstractNumId w:val="4"/>
  </w:num>
  <w:num w:numId="36" w16cid:durableId="1564874429">
    <w:abstractNumId w:val="8"/>
  </w:num>
  <w:num w:numId="37" w16cid:durableId="1836148671">
    <w:abstractNumId w:val="3"/>
  </w:num>
  <w:num w:numId="38" w16cid:durableId="211429636">
    <w:abstractNumId w:val="2"/>
  </w:num>
  <w:num w:numId="39" w16cid:durableId="1333684303">
    <w:abstractNumId w:val="1"/>
  </w:num>
  <w:num w:numId="40" w16cid:durableId="1098915696">
    <w:abstractNumId w:val="0"/>
  </w:num>
  <w:num w:numId="41" w16cid:durableId="546188893">
    <w:abstractNumId w:val="10"/>
  </w:num>
  <w:num w:numId="42" w16cid:durableId="1413695626">
    <w:abstractNumId w:val="10"/>
  </w:num>
  <w:num w:numId="43" w16cid:durableId="819347573">
    <w:abstractNumId w:val="10"/>
  </w:num>
  <w:num w:numId="44" w16cid:durableId="520027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6/2026"/>
    <w:docVar w:name="dvlangue" w:val="CS"/>
    <w:docVar w:name="dvnumam" w:val="0"/>
    <w:docVar w:name="dvpe" w:val="784.381"/>
    <w:docVar w:name="dvrapporteur" w:val="Zpravodaj: "/>
    <w:docVar w:name="dvtitre" w:val="Usnesení Evropského parlamentu ze dne 7. července 2026 o digitálních aktivech – výzvy pro konkurenceschopnost a integritu finančního sytému EU(2025/2208(INI))"/>
  </w:docVars>
  <w:rsids>
    <w:rsidRoot w:val="005B3807"/>
    <w:rsid w:val="00002272"/>
    <w:rsid w:val="00064002"/>
    <w:rsid w:val="000677B9"/>
    <w:rsid w:val="000831BA"/>
    <w:rsid w:val="000A42CC"/>
    <w:rsid w:val="000E7DD9"/>
    <w:rsid w:val="0010095E"/>
    <w:rsid w:val="00125B37"/>
    <w:rsid w:val="001424E8"/>
    <w:rsid w:val="00187494"/>
    <w:rsid w:val="001F32AE"/>
    <w:rsid w:val="0024755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704B"/>
    <w:rsid w:val="0050519A"/>
    <w:rsid w:val="005072A1"/>
    <w:rsid w:val="00514517"/>
    <w:rsid w:val="00545827"/>
    <w:rsid w:val="00560270"/>
    <w:rsid w:val="005A6FED"/>
    <w:rsid w:val="005B3807"/>
    <w:rsid w:val="005C2568"/>
    <w:rsid w:val="005F1B17"/>
    <w:rsid w:val="006037C0"/>
    <w:rsid w:val="006631B6"/>
    <w:rsid w:val="00680577"/>
    <w:rsid w:val="006C2BC2"/>
    <w:rsid w:val="006F74FA"/>
    <w:rsid w:val="0070507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40DB"/>
    <w:rsid w:val="008D0CC4"/>
    <w:rsid w:val="008E1BD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1DF1"/>
    <w:rsid w:val="00B5555D"/>
    <w:rsid w:val="00B558F0"/>
    <w:rsid w:val="00BA0A44"/>
    <w:rsid w:val="00BA0E6E"/>
    <w:rsid w:val="00BD48FE"/>
    <w:rsid w:val="00BD7BD8"/>
    <w:rsid w:val="00BE1AF1"/>
    <w:rsid w:val="00BE6ADC"/>
    <w:rsid w:val="00C05BFE"/>
    <w:rsid w:val="00C23CD4"/>
    <w:rsid w:val="00C61C0C"/>
    <w:rsid w:val="00C941CB"/>
    <w:rsid w:val="00CC2357"/>
    <w:rsid w:val="00CF071A"/>
    <w:rsid w:val="00CF7F19"/>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61A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B97F73"/>
  <w15:chartTrackingRefBased/>
  <w15:docId w15:val="{B5CAD01D-780F-41CB-8250-33AC1E583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A6FED"/>
    <w:pPr>
      <w:widowControl/>
      <w:spacing w:after="240"/>
    </w:pPr>
    <w:rPr>
      <w:szCs w:val="24"/>
      <w:lang w:eastAsia="en-US"/>
    </w:rPr>
  </w:style>
  <w:style w:type="paragraph" w:customStyle="1" w:styleId="NormalHanging12a">
    <w:name w:val="NormalHanging12a"/>
    <w:basedOn w:val="Normal"/>
    <w:rsid w:val="005A6FED"/>
    <w:pPr>
      <w:widowControl/>
      <w:spacing w:after="240"/>
      <w:ind w:left="566" w:hanging="566"/>
    </w:pPr>
    <w:rPr>
      <w:szCs w:val="24"/>
      <w:lang w:eastAsia="en-US"/>
    </w:rPr>
  </w:style>
  <w:style w:type="paragraph" w:customStyle="1" w:styleId="Normal12">
    <w:name w:val="Normal12"/>
    <w:basedOn w:val="Normal"/>
    <w:rsid w:val="005A6FED"/>
    <w:pPr>
      <w:spacing w:after="240"/>
    </w:pPr>
    <w:rPr>
      <w:szCs w:val="24"/>
      <w:lang w:eastAsia="en-US"/>
    </w:rPr>
  </w:style>
  <w:style w:type="paragraph" w:customStyle="1" w:styleId="NormalHanging">
    <w:name w:val="NormalHanging"/>
    <w:basedOn w:val="Normal"/>
    <w:rsid w:val="005A6FED"/>
    <w:pPr>
      <w:spacing w:after="240"/>
      <w:ind w:left="566" w:hanging="566"/>
    </w:pPr>
    <w:rPr>
      <w:szCs w:val="24"/>
      <w:lang w:eastAsia="en-US"/>
    </w:rPr>
  </w:style>
  <w:style w:type="paragraph" w:customStyle="1" w:styleId="NormalCenter12a">
    <w:name w:val="NormalCenter12a"/>
    <w:basedOn w:val="Normal"/>
    <w:rsid w:val="005A6FED"/>
    <w:pPr>
      <w:widowControl/>
      <w:spacing w:after="240"/>
      <w:jc w:val="center"/>
    </w:pPr>
    <w:rPr>
      <w:szCs w:val="24"/>
      <w:lang w:eastAsia="en-US"/>
    </w:rPr>
  </w:style>
  <w:style w:type="character" w:styleId="Hyperlink">
    <w:name w:val="Hyperlink"/>
    <w:basedOn w:val="DefaultParagraphFont"/>
    <w:rsid w:val="005A6FED"/>
    <w:rPr>
      <w:color w:val="0000FF"/>
      <w:u w:val="single"/>
    </w:rPr>
  </w:style>
  <w:style w:type="paragraph" w:styleId="Revision">
    <w:name w:val="Revision"/>
    <w:hidden/>
    <w:uiPriority w:val="99"/>
    <w:semiHidden/>
    <w:rsid w:val="004C704B"/>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1114/oj" TargetMode="External"/><Relationship Id="rId2" Type="http://schemas.openxmlformats.org/officeDocument/2006/relationships/hyperlink" Target="http://data.europa.eu/eli/reg/2022/858/oj" TargetMode="External"/><Relationship Id="rId1" Type="http://schemas.openxmlformats.org/officeDocument/2006/relationships/hyperlink" Target="https://doi.org/10.5089/9798400297649.022" TargetMode="External"/><Relationship Id="rId4" Type="http://schemas.openxmlformats.org/officeDocument/2006/relationships/hyperlink" Target="http://data.europa.eu/eli/reg/2023/11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2431</Words>
  <Characters>15389</Characters>
  <Application>Microsoft Office Word</Application>
  <DocSecurity>0</DocSecurity>
  <Lines>128</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KONOPKOVA Jindra</cp:lastModifiedBy>
  <cp:revision>2</cp:revision>
  <cp:lastPrinted>2004-11-19T15:42:00Z</cp:lastPrinted>
  <dcterms:created xsi:type="dcterms:W3CDTF">2026-07-07T12:58:00Z</dcterms:created>
  <dcterms:modified xsi:type="dcterms:W3CDTF">2026-07-07T12:58:00Z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A10-0186/2026</vt:lpwstr>
  </property>
  <property fmtid="{D5CDD505-2E9C-101B-9397-08002B2CF9AE}" pid="4" name="&lt;Type&gt;">
    <vt:lpwstr>RR</vt:lpwstr>
  </property>
</Properties>
</file>