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96B" w14:paraId="7DC9BA5C" w14:textId="77777777" w:rsidTr="0010095E">
        <w:trPr>
          <w:trHeight w:hRule="exact" w:val="1418"/>
        </w:trPr>
        <w:tc>
          <w:tcPr>
            <w:tcW w:w="6804" w:type="dxa"/>
            <w:shd w:val="clear" w:color="auto" w:fill="auto"/>
            <w:vAlign w:val="center"/>
          </w:tcPr>
          <w:p w14:paraId="5AB6D59F" w14:textId="77777777" w:rsidR="00751A4A" w:rsidRPr="00DC196B" w:rsidRDefault="00AD514C" w:rsidP="0010095E">
            <w:pPr>
              <w:pStyle w:val="EPName"/>
            </w:pPr>
            <w:r w:rsidRPr="00DC196B">
              <w:t>Europa-Parlamentet</w:t>
            </w:r>
          </w:p>
          <w:p w14:paraId="332E26E1" w14:textId="77777777" w:rsidR="00751A4A" w:rsidRPr="00DC196B" w:rsidRDefault="005F1B17" w:rsidP="005F1B17">
            <w:pPr>
              <w:pStyle w:val="EPTerm"/>
              <w:rPr>
                <w:rStyle w:val="HideTWBExt"/>
                <w:noProof w:val="0"/>
                <w:vanish w:val="0"/>
                <w:color w:val="auto"/>
              </w:rPr>
            </w:pPr>
            <w:r w:rsidRPr="00DC196B">
              <w:t>2024</w:t>
            </w:r>
            <w:r w:rsidR="00817416" w:rsidRPr="00DC196B">
              <w:t>-202</w:t>
            </w:r>
            <w:r w:rsidRPr="00DC196B">
              <w:t>9</w:t>
            </w:r>
          </w:p>
        </w:tc>
        <w:tc>
          <w:tcPr>
            <w:tcW w:w="2268" w:type="dxa"/>
            <w:shd w:val="clear" w:color="auto" w:fill="auto"/>
          </w:tcPr>
          <w:p w14:paraId="0C9651B8" w14:textId="77777777" w:rsidR="00751A4A" w:rsidRPr="00DC196B" w:rsidRDefault="00187494" w:rsidP="0010095E">
            <w:pPr>
              <w:pStyle w:val="EPLogo"/>
            </w:pPr>
            <w:r w:rsidRPr="00DC196B">
              <w:rPr>
                <w:noProof/>
                <w:lang w:eastAsia="ja-JP"/>
              </w:rPr>
              <w:drawing>
                <wp:inline distT="0" distB="0" distL="0" distR="0" wp14:anchorId="1E1B5397" wp14:editId="19627A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FF564E" w14:textId="77777777" w:rsidR="00D058B8" w:rsidRPr="00DC196B" w:rsidRDefault="00D058B8" w:rsidP="004C5D52">
      <w:pPr>
        <w:pStyle w:val="LineTop"/>
      </w:pPr>
    </w:p>
    <w:p w14:paraId="649EC3FA" w14:textId="77777777" w:rsidR="00680577" w:rsidRPr="00DC196B" w:rsidRDefault="00AD514C" w:rsidP="00680577">
      <w:pPr>
        <w:pStyle w:val="EPBodyTA1"/>
      </w:pPr>
      <w:r w:rsidRPr="00DC196B">
        <w:t>VEDTAGNE TEKSTER</w:t>
      </w:r>
    </w:p>
    <w:p w14:paraId="39D13F43" w14:textId="77777777" w:rsidR="00D058B8" w:rsidRPr="00DC196B" w:rsidRDefault="00D058B8" w:rsidP="00D058B8">
      <w:pPr>
        <w:pStyle w:val="LineBottom"/>
      </w:pPr>
    </w:p>
    <w:p w14:paraId="2B74C755" w14:textId="5616ABB4" w:rsidR="00AD514C" w:rsidRPr="00DC196B" w:rsidRDefault="00AD514C" w:rsidP="00AD514C">
      <w:pPr>
        <w:pStyle w:val="ATHeading1"/>
      </w:pPr>
      <w:bookmarkStart w:id="0" w:name="TANumber"/>
      <w:r w:rsidRPr="00DC196B">
        <w:t>P10_TA(2026)0</w:t>
      </w:r>
      <w:bookmarkEnd w:id="0"/>
      <w:r w:rsidR="00833DA7">
        <w:t>251</w:t>
      </w:r>
    </w:p>
    <w:p w14:paraId="3A0FC120" w14:textId="45DA5AAE" w:rsidR="00AD514C" w:rsidRPr="00DC196B" w:rsidRDefault="00101101" w:rsidP="00101101">
      <w:pPr>
        <w:pStyle w:val="ATHeading2"/>
      </w:pPr>
      <w:r>
        <w:t>Digitale aktiver – udfordringer for konkurrenceevnen og integriteten i Den Europæiske Unions finansielle system</w:t>
      </w:r>
    </w:p>
    <w:p w14:paraId="0970B9C7" w14:textId="77777777" w:rsidR="00AD514C" w:rsidRPr="00DC196B" w:rsidRDefault="00AD514C" w:rsidP="00AD514C">
      <w:pPr>
        <w:rPr>
          <w:i/>
          <w:vanish/>
        </w:rPr>
      </w:pPr>
      <w:r w:rsidRPr="00DC196B">
        <w:rPr>
          <w:i/>
        </w:rPr>
        <w:fldChar w:fldCharType="begin"/>
      </w:r>
      <w:r w:rsidRPr="00DC196B">
        <w:rPr>
          <w:i/>
        </w:rPr>
        <w:instrText xml:space="preserve"> TC"(</w:instrText>
      </w:r>
      <w:bookmarkStart w:id="1" w:name="DocNumber"/>
      <w:r w:rsidRPr="00DC196B">
        <w:rPr>
          <w:i/>
        </w:rPr>
        <w:instrText>A10-0186/2026</w:instrText>
      </w:r>
      <w:bookmarkEnd w:id="1"/>
      <w:r w:rsidRPr="00DC196B">
        <w:rPr>
          <w:i/>
        </w:rPr>
        <w:instrText xml:space="preserve"> - Ordfører: Johan Van Overtveldt)"\l3 \n&gt; \* MERGEFORMAT </w:instrText>
      </w:r>
      <w:r w:rsidRPr="00DC196B">
        <w:rPr>
          <w:i/>
        </w:rPr>
        <w:fldChar w:fldCharType="end"/>
      </w:r>
    </w:p>
    <w:p w14:paraId="4493AFE7" w14:textId="77777777" w:rsidR="00AD514C" w:rsidRPr="00DC196B" w:rsidRDefault="00AD514C" w:rsidP="00AD514C">
      <w:pPr>
        <w:rPr>
          <w:vanish/>
        </w:rPr>
      </w:pPr>
      <w:bookmarkStart w:id="2" w:name="Commission"/>
      <w:r w:rsidRPr="00DC196B">
        <w:rPr>
          <w:vanish/>
        </w:rPr>
        <w:t>Økonomi- og Valutaudvalget</w:t>
      </w:r>
      <w:bookmarkEnd w:id="2"/>
    </w:p>
    <w:p w14:paraId="70D01BFD" w14:textId="77777777" w:rsidR="00AD514C" w:rsidRPr="00DC196B" w:rsidRDefault="00AD514C" w:rsidP="00AD514C">
      <w:pPr>
        <w:rPr>
          <w:vanish/>
        </w:rPr>
      </w:pPr>
      <w:bookmarkStart w:id="3" w:name="PE"/>
      <w:r w:rsidRPr="00DC196B">
        <w:rPr>
          <w:vanish/>
        </w:rPr>
        <w:t>PE784.381</w:t>
      </w:r>
      <w:bookmarkEnd w:id="3"/>
    </w:p>
    <w:p w14:paraId="7ACEA866" w14:textId="616B9EBE" w:rsidR="00AD514C" w:rsidRPr="00DC196B" w:rsidRDefault="00AD514C" w:rsidP="00AD514C">
      <w:pPr>
        <w:pStyle w:val="ATHeading3"/>
      </w:pPr>
      <w:bookmarkStart w:id="4" w:name="Sujet"/>
      <w:r w:rsidRPr="00DC196B">
        <w:t xml:space="preserve">Europa-Parlamentets beslutning af </w:t>
      </w:r>
      <w:r w:rsidR="001A3A0E">
        <w:t>7</w:t>
      </w:r>
      <w:r w:rsidRPr="00DC196B">
        <w:t>.</w:t>
      </w:r>
      <w:r w:rsidR="00564C6D">
        <w:t xml:space="preserve"> juli</w:t>
      </w:r>
      <w:r w:rsidRPr="00DC196B">
        <w:t xml:space="preserve"> 2026 om digitale aktiver – udfordringer for konkurrenceevnen og integriteten i Den Europæiske Unions finansielle system</w:t>
      </w:r>
      <w:bookmarkEnd w:id="4"/>
      <w:r w:rsidRPr="00DC196B">
        <w:t xml:space="preserve"> </w:t>
      </w:r>
      <w:bookmarkStart w:id="5" w:name="References"/>
      <w:r w:rsidRPr="00DC196B">
        <w:t>(2025/2208(INI))</w:t>
      </w:r>
      <w:bookmarkEnd w:id="5"/>
    </w:p>
    <w:p w14:paraId="06A4709F" w14:textId="77777777" w:rsidR="00634136" w:rsidRPr="00DC196B" w:rsidRDefault="00634136" w:rsidP="00634136">
      <w:pPr>
        <w:pStyle w:val="Normal12"/>
      </w:pPr>
      <w:r w:rsidRPr="00DC196B">
        <w:t>Europa-Parlamentet,</w:t>
      </w:r>
    </w:p>
    <w:p w14:paraId="6D812F71" w14:textId="77777777" w:rsidR="00634136" w:rsidRPr="00DC196B" w:rsidRDefault="00634136" w:rsidP="00634136">
      <w:pPr>
        <w:pStyle w:val="NormalHanging"/>
      </w:pPr>
      <w:r w:rsidRPr="00DC196B">
        <w:t>–</w:t>
      </w:r>
      <w:r w:rsidRPr="00DC196B">
        <w:tab/>
        <w:t>der henviser til Den Europæiske Centralbanks (</w:t>
      </w:r>
      <w:proofErr w:type="spellStart"/>
      <w:r w:rsidRPr="00DC196B">
        <w:t>ECB's</w:t>
      </w:r>
      <w:proofErr w:type="spellEnd"/>
      <w:r w:rsidRPr="00DC196B">
        <w:t xml:space="preserve">) Financial </w:t>
      </w:r>
      <w:proofErr w:type="spellStart"/>
      <w:r w:rsidRPr="00DC196B">
        <w:t>Stability</w:t>
      </w:r>
      <w:proofErr w:type="spellEnd"/>
      <w:r w:rsidRPr="00DC196B">
        <w:t xml:space="preserve"> Review (revision af den finansielle stabilitet) fra november 2025,</w:t>
      </w:r>
    </w:p>
    <w:p w14:paraId="1005FE49" w14:textId="77777777" w:rsidR="00634136" w:rsidRPr="00DC196B" w:rsidRDefault="00634136" w:rsidP="00634136">
      <w:pPr>
        <w:pStyle w:val="NormalHanging"/>
      </w:pPr>
      <w:r w:rsidRPr="00DC196B">
        <w:t>–</w:t>
      </w:r>
      <w:r w:rsidRPr="00DC196B">
        <w:tab/>
        <w:t xml:space="preserve">der henviser til </w:t>
      </w:r>
      <w:proofErr w:type="spellStart"/>
      <w:r w:rsidRPr="00DC196B">
        <w:t>ECB's</w:t>
      </w:r>
      <w:proofErr w:type="spellEnd"/>
      <w:r w:rsidRPr="00DC196B">
        <w:t xml:space="preserve"> arbejdsdokument nr. 3199 af 3. marts 2026 med titlen "</w:t>
      </w:r>
      <w:proofErr w:type="spellStart"/>
      <w:r w:rsidRPr="00DC196B">
        <w:t>Stablecoins</w:t>
      </w:r>
      <w:proofErr w:type="spellEnd"/>
      <w:r w:rsidRPr="00DC196B">
        <w:t xml:space="preserve"> and </w:t>
      </w:r>
      <w:proofErr w:type="spellStart"/>
      <w:r w:rsidRPr="00DC196B">
        <w:t>monetary</w:t>
      </w:r>
      <w:proofErr w:type="spellEnd"/>
      <w:r w:rsidRPr="00DC196B">
        <w:t xml:space="preserve"> policy transmission" (</w:t>
      </w:r>
      <w:proofErr w:type="spellStart"/>
      <w:r w:rsidRPr="00DC196B">
        <w:t>stablecoins</w:t>
      </w:r>
      <w:proofErr w:type="spellEnd"/>
      <w:r w:rsidRPr="00DC196B">
        <w:t xml:space="preserve"> og pengepolitisk transmission),</w:t>
      </w:r>
    </w:p>
    <w:p w14:paraId="50F8F04A" w14:textId="77777777" w:rsidR="00634136" w:rsidRPr="00DC196B" w:rsidRDefault="00634136" w:rsidP="00634136">
      <w:pPr>
        <w:pStyle w:val="NormalHanging"/>
      </w:pPr>
      <w:r w:rsidRPr="00DC196B">
        <w:t>–</w:t>
      </w:r>
      <w:r w:rsidRPr="00DC196B">
        <w:tab/>
        <w:t xml:space="preserve">der henviser til henstilling af 25. september 2025 fra Det Europæiske Udvalg for Systemiske Risici (ESRB) om </w:t>
      </w:r>
      <w:proofErr w:type="spellStart"/>
      <w:r w:rsidRPr="00DC196B">
        <w:t>stablecoin</w:t>
      </w:r>
      <w:proofErr w:type="spellEnd"/>
      <w:r w:rsidRPr="00DC196B">
        <w:t>-ordninger med flere udstedere fra tredjelande,</w:t>
      </w:r>
    </w:p>
    <w:p w14:paraId="79272271" w14:textId="77777777" w:rsidR="00634136" w:rsidRPr="00DC196B" w:rsidRDefault="00634136" w:rsidP="00634136">
      <w:pPr>
        <w:pStyle w:val="NormalHanging"/>
      </w:pPr>
      <w:r w:rsidRPr="00DC196B">
        <w:t>–</w:t>
      </w:r>
      <w:r w:rsidRPr="00DC196B">
        <w:tab/>
        <w:t xml:space="preserve">der henviser til </w:t>
      </w:r>
      <w:proofErr w:type="spellStart"/>
      <w:r w:rsidRPr="00DC196B">
        <w:t>ESRB's</w:t>
      </w:r>
      <w:proofErr w:type="spellEnd"/>
      <w:r w:rsidRPr="00DC196B">
        <w:t xml:space="preserve"> rapport fra oktober 2025 med titlen "</w:t>
      </w:r>
      <w:proofErr w:type="spellStart"/>
      <w:r w:rsidRPr="00DC196B">
        <w:t>Crypto</w:t>
      </w:r>
      <w:proofErr w:type="spellEnd"/>
      <w:r w:rsidRPr="00DC196B">
        <w:t xml:space="preserve">-assets and </w:t>
      </w:r>
      <w:proofErr w:type="spellStart"/>
      <w:r w:rsidRPr="00DC196B">
        <w:t>decentralised</w:t>
      </w:r>
      <w:proofErr w:type="spellEnd"/>
      <w:r w:rsidRPr="00DC196B">
        <w:t xml:space="preserve"> </w:t>
      </w:r>
      <w:proofErr w:type="spellStart"/>
      <w:r w:rsidRPr="00DC196B">
        <w:t>finance</w:t>
      </w:r>
      <w:proofErr w:type="spellEnd"/>
      <w:r w:rsidRPr="00DC196B">
        <w:t xml:space="preserve"> – Report on </w:t>
      </w:r>
      <w:proofErr w:type="spellStart"/>
      <w:r w:rsidRPr="00DC196B">
        <w:t>stablecoins</w:t>
      </w:r>
      <w:proofErr w:type="spellEnd"/>
      <w:r w:rsidRPr="00DC196B">
        <w:t xml:space="preserve">, </w:t>
      </w:r>
      <w:proofErr w:type="spellStart"/>
      <w:r w:rsidRPr="00DC196B">
        <w:t>crypto-investment</w:t>
      </w:r>
      <w:proofErr w:type="spellEnd"/>
      <w:r w:rsidRPr="00DC196B">
        <w:t xml:space="preserve"> products and </w:t>
      </w:r>
      <w:proofErr w:type="spellStart"/>
      <w:r w:rsidRPr="00DC196B">
        <w:t>multi-function</w:t>
      </w:r>
      <w:proofErr w:type="spellEnd"/>
      <w:r w:rsidRPr="00DC196B">
        <w:t xml:space="preserve"> </w:t>
      </w:r>
      <w:proofErr w:type="spellStart"/>
      <w:r w:rsidRPr="00DC196B">
        <w:t>groups</w:t>
      </w:r>
      <w:proofErr w:type="spellEnd"/>
      <w:r w:rsidRPr="00DC196B">
        <w:t>" (</w:t>
      </w:r>
      <w:proofErr w:type="spellStart"/>
      <w:r w:rsidRPr="00DC196B">
        <w:t>kryptoaktiver</w:t>
      </w:r>
      <w:proofErr w:type="spellEnd"/>
      <w:r w:rsidRPr="00DC196B">
        <w:t xml:space="preserve"> og decentraliseret finansiering – rapport om </w:t>
      </w:r>
      <w:proofErr w:type="spellStart"/>
      <w:r w:rsidRPr="00DC196B">
        <w:t>stablecoins</w:t>
      </w:r>
      <w:proofErr w:type="spellEnd"/>
      <w:r w:rsidRPr="00DC196B">
        <w:t xml:space="preserve">, </w:t>
      </w:r>
      <w:proofErr w:type="spellStart"/>
      <w:r w:rsidRPr="00DC196B">
        <w:t>kryptoinvesteringsprodukter</w:t>
      </w:r>
      <w:proofErr w:type="spellEnd"/>
      <w:r w:rsidRPr="00DC196B">
        <w:t xml:space="preserve"> og multifunktionsgrupper),</w:t>
      </w:r>
    </w:p>
    <w:p w14:paraId="6D6147E7" w14:textId="77777777" w:rsidR="00634136" w:rsidRPr="00DC196B" w:rsidRDefault="00634136" w:rsidP="00634136">
      <w:pPr>
        <w:pStyle w:val="NormalHanging"/>
      </w:pPr>
      <w:r w:rsidRPr="00DC196B">
        <w:t>–</w:t>
      </w:r>
      <w:r w:rsidRPr="00DC196B">
        <w:tab/>
        <w:t>der henviser til Den Europæiske Værdipapir- og Markedstilsynsmyndigheds (</w:t>
      </w:r>
      <w:proofErr w:type="spellStart"/>
      <w:r w:rsidRPr="00DC196B">
        <w:t>ESMA's</w:t>
      </w:r>
      <w:proofErr w:type="spellEnd"/>
      <w:r w:rsidRPr="00DC196B">
        <w:t xml:space="preserve">) retningslinjer af 19. marts 2025 om betingelserne og kriterierne for kvalificering af </w:t>
      </w:r>
      <w:proofErr w:type="spellStart"/>
      <w:r w:rsidRPr="00DC196B">
        <w:t>kryptoaktiver</w:t>
      </w:r>
      <w:proofErr w:type="spellEnd"/>
      <w:r w:rsidRPr="00DC196B">
        <w:t xml:space="preserve"> som finansielle instrumenter,</w:t>
      </w:r>
    </w:p>
    <w:p w14:paraId="481056B0" w14:textId="77777777" w:rsidR="00634136" w:rsidRPr="00DC196B" w:rsidRDefault="00634136" w:rsidP="00634136">
      <w:pPr>
        <w:pStyle w:val="NormalHanging"/>
      </w:pPr>
      <w:r w:rsidRPr="00DC196B">
        <w:t>–</w:t>
      </w:r>
      <w:r w:rsidRPr="00DC196B">
        <w:tab/>
        <w:t xml:space="preserve">der henviser til rapporten fra Den Europæiske Banktilsynsmyndighed (EBA) fra december 2024 med titlen "Report on </w:t>
      </w:r>
      <w:proofErr w:type="spellStart"/>
      <w:r w:rsidRPr="00DC196B">
        <w:t>tokenised</w:t>
      </w:r>
      <w:proofErr w:type="spellEnd"/>
      <w:r w:rsidRPr="00DC196B">
        <w:t xml:space="preserve"> </w:t>
      </w:r>
      <w:proofErr w:type="spellStart"/>
      <w:r w:rsidRPr="00DC196B">
        <w:t>deposits</w:t>
      </w:r>
      <w:proofErr w:type="spellEnd"/>
      <w:r w:rsidRPr="00DC196B">
        <w:t xml:space="preserve">" (rapport om </w:t>
      </w:r>
      <w:proofErr w:type="spellStart"/>
      <w:r w:rsidRPr="00DC196B">
        <w:t>tokeniserede</w:t>
      </w:r>
      <w:proofErr w:type="spellEnd"/>
      <w:r w:rsidRPr="00DC196B">
        <w:t xml:space="preserve"> indskud),</w:t>
      </w:r>
    </w:p>
    <w:p w14:paraId="35DA7BD3" w14:textId="77777777" w:rsidR="00634136" w:rsidRPr="00DC196B" w:rsidRDefault="00634136" w:rsidP="00634136">
      <w:pPr>
        <w:pStyle w:val="NormalHanging"/>
      </w:pPr>
      <w:r w:rsidRPr="00DC196B">
        <w:t>–</w:t>
      </w:r>
      <w:r w:rsidRPr="00DC196B">
        <w:tab/>
        <w:t xml:space="preserve">der henviser til </w:t>
      </w:r>
      <w:proofErr w:type="spellStart"/>
      <w:r w:rsidRPr="00DC196B">
        <w:t>EBA's</w:t>
      </w:r>
      <w:proofErr w:type="spellEnd"/>
      <w:r w:rsidRPr="00DC196B">
        <w:t xml:space="preserve"> rapport fra oktober 2025 med titlen "Report on tackling ML/TF </w:t>
      </w:r>
      <w:proofErr w:type="spellStart"/>
      <w:r w:rsidRPr="00DC196B">
        <w:t>risks</w:t>
      </w:r>
      <w:proofErr w:type="spellEnd"/>
      <w:r w:rsidRPr="00DC196B">
        <w:t xml:space="preserve"> in </w:t>
      </w:r>
      <w:proofErr w:type="spellStart"/>
      <w:r w:rsidRPr="00DC196B">
        <w:t>crypto</w:t>
      </w:r>
      <w:proofErr w:type="spellEnd"/>
      <w:r w:rsidRPr="00DC196B">
        <w:t xml:space="preserve">-asset services </w:t>
      </w:r>
      <w:proofErr w:type="spellStart"/>
      <w:r w:rsidRPr="00DC196B">
        <w:t>through</w:t>
      </w:r>
      <w:proofErr w:type="spellEnd"/>
      <w:r w:rsidRPr="00DC196B">
        <w:t xml:space="preserve"> supervision – </w:t>
      </w:r>
      <w:proofErr w:type="spellStart"/>
      <w:r w:rsidRPr="00DC196B">
        <w:t>Lessons</w:t>
      </w:r>
      <w:proofErr w:type="spellEnd"/>
      <w:r w:rsidRPr="00DC196B">
        <w:t xml:space="preserve"> </w:t>
      </w:r>
      <w:proofErr w:type="spellStart"/>
      <w:r w:rsidRPr="00DC196B">
        <w:t>learned</w:t>
      </w:r>
      <w:proofErr w:type="spellEnd"/>
      <w:r w:rsidRPr="00DC196B">
        <w:t xml:space="preserve"> from recent cases" (rapport om håndtering af risici ved hvidvask af penge og finansiering af terrorisme i forbindelse med </w:t>
      </w:r>
      <w:proofErr w:type="spellStart"/>
      <w:r w:rsidRPr="00DC196B">
        <w:t>kryptoaktivtjenester</w:t>
      </w:r>
      <w:proofErr w:type="spellEnd"/>
      <w:r w:rsidRPr="00DC196B">
        <w:t xml:space="preserve"> gennem tilsyn – erfaringer fra nylige sager),</w:t>
      </w:r>
    </w:p>
    <w:p w14:paraId="19CD17FC" w14:textId="430F5902" w:rsidR="00634136" w:rsidRPr="00DC196B" w:rsidRDefault="00634136" w:rsidP="00634136">
      <w:pPr>
        <w:pStyle w:val="NormalHanging"/>
      </w:pPr>
      <w:r w:rsidRPr="00DC196B">
        <w:t>–</w:t>
      </w:r>
      <w:r w:rsidRPr="00DC196B">
        <w:tab/>
        <w:t xml:space="preserve">der henviser til udgaven fra september 2025 af Finance &amp; Development-avisen fra Den </w:t>
      </w:r>
      <w:r w:rsidRPr="00DC196B">
        <w:lastRenderedPageBreak/>
        <w:t>Internationale Valutafond med titlen "</w:t>
      </w:r>
      <w:proofErr w:type="spellStart"/>
      <w:r w:rsidRPr="00DC196B">
        <w:t>Stablecoins</w:t>
      </w:r>
      <w:proofErr w:type="spellEnd"/>
      <w:r w:rsidRPr="00DC196B">
        <w:t xml:space="preserve"> and the future of </w:t>
      </w:r>
      <w:proofErr w:type="spellStart"/>
      <w:r w:rsidRPr="00DC196B">
        <w:t>finance</w:t>
      </w:r>
      <w:proofErr w:type="spellEnd"/>
      <w:r w:rsidRPr="00DC196B">
        <w:t>" (</w:t>
      </w:r>
      <w:proofErr w:type="spellStart"/>
      <w:r w:rsidRPr="00DC196B">
        <w:t>stablecoins</w:t>
      </w:r>
      <w:proofErr w:type="spellEnd"/>
      <w:r w:rsidRPr="00DC196B">
        <w:t xml:space="preserve"> og fremtiden i den finansielle sektor)</w:t>
      </w:r>
      <w:r w:rsidR="001A3A0E">
        <w:rPr>
          <w:rStyle w:val="FootnoteReference"/>
        </w:rPr>
        <w:footnoteReference w:id="1"/>
      </w:r>
      <w:r w:rsidRPr="00DC196B">
        <w:t>,</w:t>
      </w:r>
    </w:p>
    <w:p w14:paraId="6C1DD937" w14:textId="77777777" w:rsidR="00634136" w:rsidRPr="00DC196B" w:rsidRDefault="00634136" w:rsidP="00634136">
      <w:pPr>
        <w:pStyle w:val="NormalHanging"/>
      </w:pPr>
      <w:r w:rsidRPr="00DC196B">
        <w:t>–</w:t>
      </w:r>
      <w:r w:rsidRPr="00DC196B">
        <w:tab/>
        <w:t>der henviser til rapporten fra november 2025 fra Den Internationale Børstilsynsorganisation med titlen "</w:t>
      </w:r>
      <w:proofErr w:type="spellStart"/>
      <w:r w:rsidRPr="00DC196B">
        <w:t>tokenisation</w:t>
      </w:r>
      <w:proofErr w:type="spellEnd"/>
      <w:r w:rsidRPr="00DC196B">
        <w:t xml:space="preserve"> of </w:t>
      </w:r>
      <w:proofErr w:type="spellStart"/>
      <w:r w:rsidRPr="00DC196B">
        <w:t>financial</w:t>
      </w:r>
      <w:proofErr w:type="spellEnd"/>
      <w:r w:rsidRPr="00DC196B">
        <w:t xml:space="preserve"> assets" (</w:t>
      </w:r>
      <w:proofErr w:type="spellStart"/>
      <w:r w:rsidRPr="00DC196B">
        <w:t>tokenisering</w:t>
      </w:r>
      <w:proofErr w:type="spellEnd"/>
      <w:r w:rsidRPr="00DC196B">
        <w:t xml:space="preserve"> af finansielle aktiver),</w:t>
      </w:r>
    </w:p>
    <w:p w14:paraId="5022F570" w14:textId="77777777" w:rsidR="00634136" w:rsidRPr="00DC196B" w:rsidRDefault="00634136" w:rsidP="00634136">
      <w:pPr>
        <w:pStyle w:val="NormalHanging"/>
      </w:pPr>
      <w:r w:rsidRPr="00DC196B">
        <w:t>–</w:t>
      </w:r>
      <w:r w:rsidRPr="00DC196B">
        <w:tab/>
        <w:t>der henviser til den økonomiske årsberetning fra Banken for Internationale Betalinger (BIS) fra juni 2025,</w:t>
      </w:r>
    </w:p>
    <w:p w14:paraId="682E973C" w14:textId="77777777" w:rsidR="00634136" w:rsidRPr="00DC196B" w:rsidRDefault="00634136" w:rsidP="00634136">
      <w:pPr>
        <w:pStyle w:val="NormalHanging"/>
      </w:pPr>
      <w:r w:rsidRPr="00DC196B">
        <w:t>–</w:t>
      </w:r>
      <w:r w:rsidRPr="00DC196B">
        <w:tab/>
        <w:t>der henviser til rapporten af 16. oktober 2025 fra Rådet for Finansiel Stabilitet (FSB) med titlen "</w:t>
      </w:r>
      <w:proofErr w:type="spellStart"/>
      <w:r w:rsidRPr="00DC196B">
        <w:t>Thematic</w:t>
      </w:r>
      <w:proofErr w:type="spellEnd"/>
      <w:r w:rsidRPr="00DC196B">
        <w:t xml:space="preserve"> Review on FSB Global </w:t>
      </w:r>
      <w:proofErr w:type="spellStart"/>
      <w:r w:rsidRPr="00DC196B">
        <w:t>Regulatory</w:t>
      </w:r>
      <w:proofErr w:type="spellEnd"/>
      <w:r w:rsidRPr="00DC196B">
        <w:t xml:space="preserve"> Framework for </w:t>
      </w:r>
      <w:proofErr w:type="spellStart"/>
      <w:r w:rsidRPr="00DC196B">
        <w:t>Crypto</w:t>
      </w:r>
      <w:proofErr w:type="spellEnd"/>
      <w:r w:rsidRPr="00DC196B">
        <w:t xml:space="preserve">-asset </w:t>
      </w:r>
      <w:proofErr w:type="spellStart"/>
      <w:r w:rsidRPr="00DC196B">
        <w:t>Activities</w:t>
      </w:r>
      <w:proofErr w:type="spellEnd"/>
      <w:r w:rsidRPr="00DC196B">
        <w:t xml:space="preserve">" (tematisk gennemgang af </w:t>
      </w:r>
      <w:proofErr w:type="spellStart"/>
      <w:r w:rsidRPr="00DC196B">
        <w:t>FSB's</w:t>
      </w:r>
      <w:proofErr w:type="spellEnd"/>
      <w:r w:rsidRPr="00DC196B">
        <w:t xml:space="preserve"> globale lovgivningsmæssige ramme for </w:t>
      </w:r>
      <w:proofErr w:type="spellStart"/>
      <w:r w:rsidRPr="00DC196B">
        <w:t>kryptoaktivaktiviteter</w:t>
      </w:r>
      <w:proofErr w:type="spellEnd"/>
      <w:r w:rsidRPr="00DC196B">
        <w:t>),</w:t>
      </w:r>
    </w:p>
    <w:p w14:paraId="5E6CD8EC" w14:textId="77777777" w:rsidR="00634136" w:rsidRPr="00DC196B" w:rsidRDefault="00634136" w:rsidP="00634136">
      <w:pPr>
        <w:pStyle w:val="NormalHanging"/>
      </w:pPr>
      <w:r w:rsidRPr="00DC196B">
        <w:t>–</w:t>
      </w:r>
      <w:r w:rsidRPr="00DC196B">
        <w:tab/>
        <w:t xml:space="preserve">der henviser til </w:t>
      </w:r>
      <w:proofErr w:type="spellStart"/>
      <w:r w:rsidRPr="00DC196B">
        <w:t>FSB's</w:t>
      </w:r>
      <w:proofErr w:type="spellEnd"/>
      <w:r w:rsidRPr="00DC196B">
        <w:t xml:space="preserve"> statusrapport af 22. oktober 2024 med titlen "G20 </w:t>
      </w:r>
      <w:proofErr w:type="spellStart"/>
      <w:r w:rsidRPr="00DC196B">
        <w:t>Crypto</w:t>
      </w:r>
      <w:proofErr w:type="spellEnd"/>
      <w:r w:rsidRPr="00DC196B">
        <w:t xml:space="preserve">-asset Policy </w:t>
      </w:r>
      <w:proofErr w:type="spellStart"/>
      <w:r w:rsidRPr="00DC196B">
        <w:t>Implementation</w:t>
      </w:r>
      <w:proofErr w:type="spellEnd"/>
      <w:r w:rsidRPr="00DC196B">
        <w:t xml:space="preserve"> </w:t>
      </w:r>
      <w:proofErr w:type="spellStart"/>
      <w:r w:rsidRPr="00DC196B">
        <w:t>Roadmap</w:t>
      </w:r>
      <w:proofErr w:type="spellEnd"/>
      <w:r w:rsidRPr="00DC196B">
        <w:t xml:space="preserve">" (G20's køreplan for gennemførelse af politikken for </w:t>
      </w:r>
      <w:proofErr w:type="spellStart"/>
      <w:r w:rsidRPr="00DC196B">
        <w:t>kryptoaktiver</w:t>
      </w:r>
      <w:proofErr w:type="spellEnd"/>
      <w:r w:rsidRPr="00DC196B">
        <w:t>),</w:t>
      </w:r>
    </w:p>
    <w:p w14:paraId="10CAC6CE" w14:textId="77777777" w:rsidR="00634136" w:rsidRPr="00DC196B" w:rsidRDefault="00634136" w:rsidP="00634136">
      <w:pPr>
        <w:pStyle w:val="NormalHanging"/>
      </w:pPr>
      <w:r w:rsidRPr="00DC196B">
        <w:t>–</w:t>
      </w:r>
      <w:r w:rsidRPr="00DC196B">
        <w:tab/>
        <w:t xml:space="preserve">der henviser til </w:t>
      </w:r>
      <w:proofErr w:type="spellStart"/>
      <w:r w:rsidRPr="00DC196B">
        <w:t>FSB's</w:t>
      </w:r>
      <w:proofErr w:type="spellEnd"/>
      <w:r w:rsidRPr="00DC196B">
        <w:t xml:space="preserve"> statusrapport af 22. oktober 2024 med titlen "The </w:t>
      </w:r>
      <w:proofErr w:type="spellStart"/>
      <w:r w:rsidRPr="00DC196B">
        <w:t>financial</w:t>
      </w:r>
      <w:proofErr w:type="spellEnd"/>
      <w:r w:rsidRPr="00DC196B">
        <w:t xml:space="preserve"> </w:t>
      </w:r>
      <w:proofErr w:type="spellStart"/>
      <w:r w:rsidRPr="00DC196B">
        <w:t>stability</w:t>
      </w:r>
      <w:proofErr w:type="spellEnd"/>
      <w:r w:rsidRPr="00DC196B">
        <w:t xml:space="preserve"> </w:t>
      </w:r>
      <w:proofErr w:type="spellStart"/>
      <w:r w:rsidRPr="00DC196B">
        <w:t>implications</w:t>
      </w:r>
      <w:proofErr w:type="spellEnd"/>
      <w:r w:rsidRPr="00DC196B">
        <w:t xml:space="preserve"> of </w:t>
      </w:r>
      <w:proofErr w:type="spellStart"/>
      <w:r w:rsidRPr="00DC196B">
        <w:t>tokenisation</w:t>
      </w:r>
      <w:proofErr w:type="spellEnd"/>
      <w:r w:rsidRPr="00DC196B">
        <w:t xml:space="preserve">" (konsekvenserne af </w:t>
      </w:r>
      <w:proofErr w:type="spellStart"/>
      <w:r w:rsidRPr="00DC196B">
        <w:t>tokenisering</w:t>
      </w:r>
      <w:proofErr w:type="spellEnd"/>
      <w:r w:rsidRPr="00DC196B">
        <w:t xml:space="preserve"> for den finansielle stabilitet),</w:t>
      </w:r>
    </w:p>
    <w:p w14:paraId="4E3983FC" w14:textId="77777777" w:rsidR="00634136" w:rsidRPr="00DC196B" w:rsidRDefault="00634136" w:rsidP="00634136">
      <w:pPr>
        <w:pStyle w:val="NormalHanging"/>
      </w:pPr>
      <w:r w:rsidRPr="00DC196B">
        <w:t>–</w:t>
      </w:r>
      <w:r w:rsidRPr="00DC196B">
        <w:tab/>
        <w:t>der henviser til Bank of Englands høringsdokument af 10. november 2025 med titlen "</w:t>
      </w:r>
      <w:proofErr w:type="spellStart"/>
      <w:r w:rsidRPr="00DC196B">
        <w:t>Proposed</w:t>
      </w:r>
      <w:proofErr w:type="spellEnd"/>
      <w:r w:rsidRPr="00DC196B">
        <w:t xml:space="preserve"> </w:t>
      </w:r>
      <w:proofErr w:type="spellStart"/>
      <w:r w:rsidRPr="00DC196B">
        <w:t>regulatory</w:t>
      </w:r>
      <w:proofErr w:type="spellEnd"/>
      <w:r w:rsidRPr="00DC196B">
        <w:t xml:space="preserve"> regime for sterling-</w:t>
      </w:r>
      <w:proofErr w:type="spellStart"/>
      <w:r w:rsidRPr="00DC196B">
        <w:t>denominated</w:t>
      </w:r>
      <w:proofErr w:type="spellEnd"/>
      <w:r w:rsidRPr="00DC196B">
        <w:t xml:space="preserve"> </w:t>
      </w:r>
      <w:proofErr w:type="spellStart"/>
      <w:r w:rsidRPr="00DC196B">
        <w:t>systemic</w:t>
      </w:r>
      <w:proofErr w:type="spellEnd"/>
      <w:r w:rsidRPr="00DC196B">
        <w:t xml:space="preserve"> </w:t>
      </w:r>
      <w:proofErr w:type="spellStart"/>
      <w:r w:rsidRPr="00DC196B">
        <w:t>stablecoins</w:t>
      </w:r>
      <w:proofErr w:type="spellEnd"/>
      <w:r w:rsidRPr="00DC196B">
        <w:t xml:space="preserve">" (foreslået reguleringsordning for systemiske </w:t>
      </w:r>
      <w:proofErr w:type="spellStart"/>
      <w:r w:rsidRPr="00DC196B">
        <w:t>stablecoins</w:t>
      </w:r>
      <w:proofErr w:type="spellEnd"/>
      <w:r w:rsidRPr="00DC196B">
        <w:t xml:space="preserve">, der er </w:t>
      </w:r>
      <w:proofErr w:type="spellStart"/>
      <w:r w:rsidRPr="00DC196B">
        <w:t>denomineret</w:t>
      </w:r>
      <w:proofErr w:type="spellEnd"/>
      <w:r w:rsidRPr="00DC196B">
        <w:t xml:space="preserve"> i britiske pund),</w:t>
      </w:r>
    </w:p>
    <w:p w14:paraId="0F892867" w14:textId="77777777" w:rsidR="00634136" w:rsidRPr="00DC196B" w:rsidRDefault="00634136" w:rsidP="00634136">
      <w:pPr>
        <w:pStyle w:val="NormalHanging"/>
      </w:pPr>
      <w:r w:rsidRPr="00DC196B">
        <w:t>–</w:t>
      </w:r>
      <w:r w:rsidRPr="00DC196B">
        <w:tab/>
        <w:t xml:space="preserve">der henviser til briefingen fra november 2025 fra Enheden for Kontrol med den Økonomiske Styring og ØMU'en med titlen "Digital assets: EU </w:t>
      </w:r>
      <w:proofErr w:type="spellStart"/>
      <w:r w:rsidRPr="00DC196B">
        <w:t>regulatory</w:t>
      </w:r>
      <w:proofErr w:type="spellEnd"/>
      <w:r w:rsidRPr="00DC196B">
        <w:t xml:space="preserve"> framework, </w:t>
      </w:r>
      <w:proofErr w:type="spellStart"/>
      <w:r w:rsidRPr="00DC196B">
        <w:t>market</w:t>
      </w:r>
      <w:proofErr w:type="spellEnd"/>
      <w:r w:rsidRPr="00DC196B">
        <w:t xml:space="preserve"> </w:t>
      </w:r>
      <w:proofErr w:type="spellStart"/>
      <w:r w:rsidRPr="00DC196B">
        <w:t>uptake</w:t>
      </w:r>
      <w:proofErr w:type="spellEnd"/>
      <w:r w:rsidRPr="00DC196B">
        <w:t xml:space="preserve">, </w:t>
      </w:r>
      <w:proofErr w:type="spellStart"/>
      <w:r w:rsidRPr="00DC196B">
        <w:t>risks</w:t>
      </w:r>
      <w:proofErr w:type="spellEnd"/>
      <w:r w:rsidRPr="00DC196B">
        <w:t xml:space="preserve"> and </w:t>
      </w:r>
      <w:proofErr w:type="spellStart"/>
      <w:r w:rsidRPr="00DC196B">
        <w:t>challenges</w:t>
      </w:r>
      <w:proofErr w:type="spellEnd"/>
      <w:r w:rsidRPr="00DC196B">
        <w:t>" (digitale aktiver: EU's lovgivningsmæssige ramme, markedsudbredelse, risici og udfordringer),</w:t>
      </w:r>
    </w:p>
    <w:p w14:paraId="1BDFA055" w14:textId="3DBA45F4" w:rsidR="00634136" w:rsidRPr="00DC196B" w:rsidRDefault="00634136" w:rsidP="00634136">
      <w:pPr>
        <w:pStyle w:val="NormalHanging"/>
      </w:pPr>
      <w:r w:rsidRPr="00DC196B">
        <w:t>–</w:t>
      </w:r>
      <w:r w:rsidRPr="00DC196B">
        <w:tab/>
        <w:t>der henviser til det politiske oplæg fra Organisationen for Økonomisk Samarbejde og Udvikling (OECD) af 9. januar 2025 med titlen "</w:t>
      </w:r>
      <w:proofErr w:type="spellStart"/>
      <w:r w:rsidRPr="00DC196B">
        <w:t>tokenisation</w:t>
      </w:r>
      <w:proofErr w:type="spellEnd"/>
      <w:r w:rsidRPr="00DC196B">
        <w:t xml:space="preserve"> of assets and </w:t>
      </w:r>
      <w:proofErr w:type="spellStart"/>
      <w:r w:rsidRPr="00DC196B">
        <w:t>distributed</w:t>
      </w:r>
      <w:proofErr w:type="spellEnd"/>
      <w:r w:rsidRPr="00DC196B">
        <w:t xml:space="preserve"> </w:t>
      </w:r>
      <w:proofErr w:type="spellStart"/>
      <w:r w:rsidRPr="00DC196B">
        <w:t>ledger</w:t>
      </w:r>
      <w:proofErr w:type="spellEnd"/>
      <w:r w:rsidRPr="00DC196B">
        <w:t xml:space="preserve"> </w:t>
      </w:r>
      <w:proofErr w:type="spellStart"/>
      <w:r w:rsidRPr="00DC196B">
        <w:t>technologies</w:t>
      </w:r>
      <w:proofErr w:type="spellEnd"/>
      <w:r w:rsidRPr="00DC196B">
        <w:t xml:space="preserve"> in </w:t>
      </w:r>
      <w:proofErr w:type="spellStart"/>
      <w:r w:rsidRPr="00DC196B">
        <w:t>financial</w:t>
      </w:r>
      <w:proofErr w:type="spellEnd"/>
      <w:r w:rsidRPr="00DC196B">
        <w:t xml:space="preserve"> </w:t>
      </w:r>
      <w:proofErr w:type="spellStart"/>
      <w:r w:rsidRPr="00DC196B">
        <w:t>markets</w:t>
      </w:r>
      <w:proofErr w:type="spellEnd"/>
      <w:r w:rsidRPr="00DC196B">
        <w:t xml:space="preserve"> – Potential </w:t>
      </w:r>
      <w:proofErr w:type="spellStart"/>
      <w:r w:rsidRPr="00DC196B">
        <w:t>obstacles</w:t>
      </w:r>
      <w:proofErr w:type="spellEnd"/>
      <w:r w:rsidRPr="00DC196B">
        <w:t xml:space="preserve"> to </w:t>
      </w:r>
      <w:proofErr w:type="spellStart"/>
      <w:r w:rsidRPr="00DC196B">
        <w:t>market</w:t>
      </w:r>
      <w:proofErr w:type="spellEnd"/>
      <w:r w:rsidRPr="00DC196B">
        <w:t xml:space="preserve"> </w:t>
      </w:r>
      <w:proofErr w:type="spellStart"/>
      <w:r w:rsidRPr="00DC196B">
        <w:t>development</w:t>
      </w:r>
      <w:proofErr w:type="spellEnd"/>
      <w:r w:rsidRPr="00DC196B">
        <w:t xml:space="preserve"> and policy </w:t>
      </w:r>
      <w:proofErr w:type="spellStart"/>
      <w:r w:rsidRPr="00DC196B">
        <w:t>implications</w:t>
      </w:r>
      <w:proofErr w:type="spellEnd"/>
      <w:r w:rsidRPr="00DC196B">
        <w:t>" (</w:t>
      </w:r>
      <w:proofErr w:type="spellStart"/>
      <w:r w:rsidRPr="00DC196B">
        <w:t>tokenisering</w:t>
      </w:r>
      <w:proofErr w:type="spellEnd"/>
      <w:r w:rsidRPr="00DC196B">
        <w:t xml:space="preserve"> af aktiver og </w:t>
      </w:r>
      <w:proofErr w:type="spellStart"/>
      <w:r w:rsidRPr="00DC196B">
        <w:t>distributed</w:t>
      </w:r>
      <w:proofErr w:type="spellEnd"/>
      <w:r w:rsidRPr="00DC196B">
        <w:t xml:space="preserve"> </w:t>
      </w:r>
      <w:proofErr w:type="spellStart"/>
      <w:r w:rsidRPr="00DC196B">
        <w:t>ledger</w:t>
      </w:r>
      <w:proofErr w:type="spellEnd"/>
      <w:r w:rsidRPr="00DC196B">
        <w:t>-teknologier på de finansielle markeder – potentielle hindringer for markedsudvikling og politiske konsekvenser)</w:t>
      </w:r>
      <w:r w:rsidR="001A3A0E">
        <w:rPr>
          <w:rStyle w:val="FootnoteReference"/>
        </w:rPr>
        <w:footnoteReference w:id="2"/>
      </w:r>
      <w:r w:rsidRPr="00DC196B">
        <w:t>,</w:t>
      </w:r>
    </w:p>
    <w:p w14:paraId="6D169719" w14:textId="77777777" w:rsidR="00634136" w:rsidRPr="00DC196B" w:rsidRDefault="00634136" w:rsidP="00634136">
      <w:pPr>
        <w:pStyle w:val="NormalHanging"/>
      </w:pPr>
      <w:r w:rsidRPr="00DC196B">
        <w:t>–</w:t>
      </w:r>
      <w:r w:rsidRPr="00DC196B">
        <w:tab/>
        <w:t>der henviser til forretningsordenens artikel 55,</w:t>
      </w:r>
    </w:p>
    <w:p w14:paraId="16AF7918" w14:textId="77777777" w:rsidR="00634136" w:rsidRPr="00DC196B" w:rsidRDefault="00634136" w:rsidP="00634136">
      <w:pPr>
        <w:pStyle w:val="NormalHanging"/>
      </w:pPr>
      <w:r w:rsidRPr="00DC196B">
        <w:t>–</w:t>
      </w:r>
      <w:r w:rsidRPr="00DC196B">
        <w:tab/>
        <w:t>der henviser til betænkning fra Økonomi- og Valutaudvalget (A10-0186/2026),</w:t>
      </w:r>
    </w:p>
    <w:p w14:paraId="64C54D7B" w14:textId="77777777" w:rsidR="00634136" w:rsidRPr="00DC196B" w:rsidRDefault="00634136" w:rsidP="00634136">
      <w:pPr>
        <w:pStyle w:val="NormalHanging"/>
      </w:pPr>
      <w:r w:rsidRPr="00DC196B">
        <w:t>A.</w:t>
      </w:r>
      <w:r w:rsidRPr="00DC196B">
        <w:tab/>
        <w:t xml:space="preserve">der henviser til, at det fremgår af </w:t>
      </w:r>
      <w:proofErr w:type="spellStart"/>
      <w:r w:rsidRPr="00DC196B">
        <w:t>ECB's</w:t>
      </w:r>
      <w:proofErr w:type="spellEnd"/>
      <w:r w:rsidRPr="00DC196B">
        <w:t xml:space="preserve"> undersøgelse af forbrugerforventninger fra november 2024, at gennemsnitligt 9,7 % af respondenterne i undersøgelsen eller en person i deres husstand ejede </w:t>
      </w:r>
      <w:proofErr w:type="spellStart"/>
      <w:r w:rsidRPr="00DC196B">
        <w:t>kryptoaktiver</w:t>
      </w:r>
      <w:proofErr w:type="spellEnd"/>
      <w:r w:rsidRPr="00DC196B">
        <w:t xml:space="preserve">, hvoraf 54 % indberettede beholdninger til en værdi af under 1 000 EUR, og 91 % indberettede beholdninger til en værdi af under </w:t>
      </w:r>
      <w:r w:rsidRPr="00DC196B">
        <w:lastRenderedPageBreak/>
        <w:t>20 000 EUR;</w:t>
      </w:r>
    </w:p>
    <w:p w14:paraId="003A57A1" w14:textId="77777777" w:rsidR="00634136" w:rsidRPr="00DC196B" w:rsidRDefault="00634136" w:rsidP="00634136">
      <w:pPr>
        <w:pStyle w:val="NormalHanging"/>
      </w:pPr>
      <w:r w:rsidRPr="00DC196B">
        <w:t>B.</w:t>
      </w:r>
      <w:r w:rsidRPr="00DC196B">
        <w:tab/>
        <w:t xml:space="preserve">der henviser til, at den samlede globale markedskapitalisering af </w:t>
      </w:r>
      <w:proofErr w:type="spellStart"/>
      <w:r w:rsidRPr="00DC196B">
        <w:t>kryptoaktiver</w:t>
      </w:r>
      <w:proofErr w:type="spellEnd"/>
      <w:r w:rsidRPr="00DC196B">
        <w:t xml:space="preserve"> ifølge private datakilder var på 2,03 bio. EUR den 10. februar 2026 med en markedsandel på 12,9 % eller 261 mia. EUR for </w:t>
      </w:r>
      <w:proofErr w:type="spellStart"/>
      <w:r w:rsidRPr="00DC196B">
        <w:t>stablecoins</w:t>
      </w:r>
      <w:proofErr w:type="spellEnd"/>
      <w:r w:rsidRPr="00DC196B">
        <w:t xml:space="preserve">; der henviser til, at markedsforventningerne ifølge </w:t>
      </w:r>
      <w:proofErr w:type="spellStart"/>
      <w:r w:rsidRPr="00DC196B">
        <w:t>ECB's</w:t>
      </w:r>
      <w:proofErr w:type="spellEnd"/>
      <w:r w:rsidRPr="00DC196B">
        <w:t xml:space="preserve"> arbejdsdokument nr. 3199 tyder på en robust vækst i udstedelsen af </w:t>
      </w:r>
      <w:proofErr w:type="spellStart"/>
      <w:r w:rsidRPr="00DC196B">
        <w:t>stablecoins</w:t>
      </w:r>
      <w:proofErr w:type="spellEnd"/>
      <w:r w:rsidRPr="00DC196B">
        <w:t>;</w:t>
      </w:r>
    </w:p>
    <w:p w14:paraId="59407D33" w14:textId="77777777" w:rsidR="00634136" w:rsidRPr="00DC196B" w:rsidRDefault="00634136" w:rsidP="00634136">
      <w:pPr>
        <w:pStyle w:val="NormalHanging"/>
      </w:pPr>
      <w:r w:rsidRPr="00DC196B">
        <w:t>C.</w:t>
      </w:r>
      <w:r w:rsidRPr="00DC196B">
        <w:tab/>
        <w:t xml:space="preserve">der henviser til, at </w:t>
      </w:r>
      <w:proofErr w:type="spellStart"/>
      <w:r w:rsidRPr="00DC196B">
        <w:t>tokeniserede</w:t>
      </w:r>
      <w:proofErr w:type="spellEnd"/>
      <w:r w:rsidRPr="00DC196B">
        <w:t xml:space="preserve"> aktiver i februar 2026 udgjorde ca. 1 % af de globale digitale aktiver, hvilket er en andel, der er hastigt voksende (baseret på ikkeharmoniserede private datakilder);</w:t>
      </w:r>
    </w:p>
    <w:p w14:paraId="1A0FF2D6" w14:textId="77777777" w:rsidR="00634136" w:rsidRPr="00DC196B" w:rsidRDefault="00634136" w:rsidP="00634136">
      <w:pPr>
        <w:pStyle w:val="NormalHanging"/>
      </w:pPr>
      <w:r w:rsidRPr="00DC196B">
        <w:t>D.</w:t>
      </w:r>
      <w:r w:rsidRPr="00DC196B">
        <w:tab/>
        <w:t xml:space="preserve">der henviser til, at den globale </w:t>
      </w:r>
      <w:proofErr w:type="spellStart"/>
      <w:r w:rsidRPr="00DC196B">
        <w:t>kryptoarbejdsstyrke</w:t>
      </w:r>
      <w:proofErr w:type="spellEnd"/>
      <w:r w:rsidRPr="00DC196B">
        <w:t xml:space="preserve"> i 2025 var på over 1,6 millioner fagfolk, hvoraf EU huser en stor, men faldende andel (på grundlag af private datakilder);</w:t>
      </w:r>
    </w:p>
    <w:p w14:paraId="70E3AD6B" w14:textId="764B33C5" w:rsidR="00634136" w:rsidRPr="00DC196B" w:rsidRDefault="00634136" w:rsidP="00634136">
      <w:pPr>
        <w:pStyle w:val="NormalHanging"/>
      </w:pPr>
      <w:r w:rsidRPr="00DC196B">
        <w:t>E.</w:t>
      </w:r>
      <w:r w:rsidRPr="00DC196B">
        <w:tab/>
        <w:t>der henviser til, at artikel 2, stk. 1, i forordning (EU) 2022/858</w:t>
      </w:r>
      <w:r w:rsidR="001A3A0E">
        <w:rPr>
          <w:rStyle w:val="FootnoteReference"/>
        </w:rPr>
        <w:footnoteReference w:id="3"/>
      </w:r>
      <w:r w:rsidRPr="00DC196B">
        <w:t xml:space="preserve"> definerer "</w:t>
      </w:r>
      <w:proofErr w:type="spellStart"/>
      <w:r w:rsidRPr="00DC196B">
        <w:t>distributed</w:t>
      </w:r>
      <w:proofErr w:type="spellEnd"/>
      <w:r w:rsidRPr="00DC196B">
        <w:t> </w:t>
      </w:r>
      <w:proofErr w:type="spellStart"/>
      <w:r w:rsidRPr="00DC196B">
        <w:t>ledger</w:t>
      </w:r>
      <w:proofErr w:type="spellEnd"/>
      <w:r w:rsidRPr="00DC196B">
        <w:t xml:space="preserve">-teknologi" eller "DLT" som "en teknologi, der muliggør drift og brug af </w:t>
      </w:r>
      <w:proofErr w:type="spellStart"/>
      <w:r w:rsidRPr="00DC196B">
        <w:t>distributed</w:t>
      </w:r>
      <w:proofErr w:type="spellEnd"/>
      <w:r w:rsidRPr="00DC196B">
        <w:t> </w:t>
      </w:r>
      <w:proofErr w:type="spellStart"/>
      <w:r w:rsidRPr="00DC196B">
        <w:t>ledgers</w:t>
      </w:r>
      <w:proofErr w:type="spellEnd"/>
      <w:r w:rsidRPr="00DC196B">
        <w:t>"; der henviser til, at artikel 2, stk. 2, definerer en "</w:t>
      </w:r>
      <w:proofErr w:type="spellStart"/>
      <w:r w:rsidRPr="00DC196B">
        <w:t>distributed</w:t>
      </w:r>
      <w:proofErr w:type="spellEnd"/>
      <w:r w:rsidRPr="00DC196B">
        <w:t> </w:t>
      </w:r>
      <w:proofErr w:type="spellStart"/>
      <w:r w:rsidRPr="00DC196B">
        <w:t>ledger</w:t>
      </w:r>
      <w:proofErr w:type="spellEnd"/>
      <w:r w:rsidRPr="00DC196B">
        <w:t>" som "et informationsregister, der registrerer transaktioner, og som deles og synkroniseres mellem et sæt af DLT-</w:t>
      </w:r>
      <w:proofErr w:type="spellStart"/>
      <w:r w:rsidRPr="00DC196B">
        <w:t>netknudepunkter</w:t>
      </w:r>
      <w:proofErr w:type="spellEnd"/>
      <w:r w:rsidRPr="00DC196B">
        <w:t xml:space="preserve"> ved hjælp af en konsensusmekanisme";</w:t>
      </w:r>
    </w:p>
    <w:p w14:paraId="6980CC1E" w14:textId="5B3C9FF3" w:rsidR="00634136" w:rsidRPr="00DC196B" w:rsidRDefault="00634136" w:rsidP="00634136">
      <w:pPr>
        <w:pStyle w:val="NormalHanging"/>
      </w:pPr>
      <w:r w:rsidRPr="00DC196B">
        <w:t>F.</w:t>
      </w:r>
      <w:r w:rsidRPr="00DC196B">
        <w:tab/>
        <w:t xml:space="preserve">der henviser til, at forordning (EU) 2023/1114 om markeder for </w:t>
      </w:r>
      <w:proofErr w:type="spellStart"/>
      <w:r w:rsidRPr="00DC196B">
        <w:t>kryptoaktiver</w:t>
      </w:r>
      <w:proofErr w:type="spellEnd"/>
      <w:r w:rsidR="001A3A0E">
        <w:rPr>
          <w:rStyle w:val="FootnoteReference"/>
        </w:rPr>
        <w:footnoteReference w:id="4"/>
      </w:r>
      <w:r w:rsidRPr="00DC196B">
        <w:t xml:space="preserve"> (</w:t>
      </w:r>
      <w:proofErr w:type="spellStart"/>
      <w:r w:rsidRPr="00DC196B">
        <w:t>MiCA</w:t>
      </w:r>
      <w:proofErr w:type="spellEnd"/>
      <w:r w:rsidRPr="00DC196B">
        <w:t xml:space="preserve">-forordningen) fastlægger en harmoniseret ramme i EU for </w:t>
      </w:r>
      <w:proofErr w:type="spellStart"/>
      <w:r w:rsidRPr="00DC196B">
        <w:t>kryptoaktiver</w:t>
      </w:r>
      <w:proofErr w:type="spellEnd"/>
      <w:r w:rsidRPr="00DC196B">
        <w:t xml:space="preserve"> ved at skelne mellem tre hovedkategorier, nemlig elektroniske </w:t>
      </w:r>
      <w:proofErr w:type="spellStart"/>
      <w:r w:rsidRPr="00DC196B">
        <w:t>pengetokens</w:t>
      </w:r>
      <w:proofErr w:type="spellEnd"/>
      <w:r w:rsidRPr="00DC196B">
        <w:t xml:space="preserve">, som søger at stabilisere deres værdi ved kun at henvise til én officiel valuta, aktivbaserede </w:t>
      </w:r>
      <w:proofErr w:type="spellStart"/>
      <w:r w:rsidRPr="00DC196B">
        <w:t>tokens</w:t>
      </w:r>
      <w:proofErr w:type="spellEnd"/>
      <w:r w:rsidRPr="00DC196B">
        <w:t xml:space="preserve">, som har til formål at stabilisere deres værdi ved at henvise til en anden værdi eller rettighed eller en kombination heraf, herunder en eller flere officielle valutaer, og andre </w:t>
      </w:r>
      <w:proofErr w:type="spellStart"/>
      <w:r w:rsidRPr="00DC196B">
        <w:t>kryptoaktiver</w:t>
      </w:r>
      <w:proofErr w:type="spellEnd"/>
      <w:r w:rsidRPr="00DC196B">
        <w:t xml:space="preserve">, dvs. en digital gengivelse af en værdi eller af en rettighed, som kan overføres og lagres elektronisk ved hjælp af </w:t>
      </w:r>
      <w:proofErr w:type="spellStart"/>
      <w:r w:rsidRPr="00DC196B">
        <w:t>distributed</w:t>
      </w:r>
      <w:proofErr w:type="spellEnd"/>
      <w:r w:rsidRPr="00DC196B">
        <w:t> </w:t>
      </w:r>
      <w:proofErr w:type="spellStart"/>
      <w:r w:rsidRPr="00DC196B">
        <w:t>ledger</w:t>
      </w:r>
      <w:proofErr w:type="spellEnd"/>
      <w:r w:rsidRPr="00DC196B">
        <w:t>-teknologi eller lignende teknologi, og som ikke falder ind under de andre kategorier;</w:t>
      </w:r>
    </w:p>
    <w:p w14:paraId="0D238A9F" w14:textId="77777777" w:rsidR="00634136" w:rsidRPr="00DC196B" w:rsidRDefault="00634136" w:rsidP="00634136">
      <w:pPr>
        <w:pStyle w:val="NormalHanging"/>
      </w:pPr>
      <w:r w:rsidRPr="00DC196B">
        <w:t>G.</w:t>
      </w:r>
      <w:r w:rsidRPr="00DC196B">
        <w:tab/>
        <w:t xml:space="preserve">der henviser til, at </w:t>
      </w:r>
      <w:proofErr w:type="spellStart"/>
      <w:r w:rsidRPr="00DC196B">
        <w:t>MiCA</w:t>
      </w:r>
      <w:proofErr w:type="spellEnd"/>
      <w:r w:rsidRPr="00DC196B">
        <w:t xml:space="preserve">-forordningen i henhold til artikel 2, stk. 4, ikke finder anvendelse på </w:t>
      </w:r>
      <w:proofErr w:type="spellStart"/>
      <w:r w:rsidRPr="00DC196B">
        <w:t>kryptoaktiver</w:t>
      </w:r>
      <w:proofErr w:type="spellEnd"/>
      <w:r w:rsidRPr="00DC196B">
        <w:t xml:space="preserve">, der betragtes som finansielle instrumenter, indskud, midler, </w:t>
      </w:r>
      <w:proofErr w:type="spellStart"/>
      <w:r w:rsidRPr="00DC196B">
        <w:t>securitiseringer</w:t>
      </w:r>
      <w:proofErr w:type="spellEnd"/>
      <w:r w:rsidRPr="00DC196B">
        <w:t xml:space="preserve">, forsikringsprodukter eller pensionsprodukter i henhold til gældende EU-ret, hvilket sikrer, at sådanne </w:t>
      </w:r>
      <w:proofErr w:type="spellStart"/>
      <w:r w:rsidRPr="00DC196B">
        <w:t>kryptoaktiver</w:t>
      </w:r>
      <w:proofErr w:type="spellEnd"/>
      <w:r w:rsidRPr="00DC196B">
        <w:t xml:space="preserve"> fortsat er omfattet af de relevante sektorspecifikke lovgivningsmæssige rammer og afspejler den produktbaserede tilsynsmodel i EU's lovgivning om finansielle tjenesteydelser;</w:t>
      </w:r>
    </w:p>
    <w:p w14:paraId="2789A292" w14:textId="77777777" w:rsidR="00634136" w:rsidRPr="00DC196B" w:rsidRDefault="00634136" w:rsidP="00634136">
      <w:pPr>
        <w:pStyle w:val="NormalHanging"/>
      </w:pPr>
      <w:r w:rsidRPr="00DC196B">
        <w:t>H.</w:t>
      </w:r>
      <w:r w:rsidRPr="00DC196B">
        <w:tab/>
        <w:t xml:space="preserve">der henviser til, at den nye amerikanske regering er betydeligt mere åben over for </w:t>
      </w:r>
      <w:proofErr w:type="spellStart"/>
      <w:r w:rsidRPr="00DC196B">
        <w:t>kryptoaktiver</w:t>
      </w:r>
      <w:proofErr w:type="spellEnd"/>
      <w:r w:rsidRPr="00DC196B">
        <w:t xml:space="preserve">, hvilket har ført til vedtagelse af central lovgivning og en mere lempelig tilgang til tilsynsmyndighedernes håndhævelse; der henviser til, at den </w:t>
      </w:r>
      <w:r w:rsidRPr="00DC196B">
        <w:lastRenderedPageBreak/>
        <w:t xml:space="preserve">lovgivningsmæssige tilgang i USA fortsat er under udvikling, og at de politiske beslutningstagere og lovgivere i USA i stedet generelt henviser til "digitale aktiver", der almindeligvis forstås som omfattende kryptografisk digital gengivelse af værdi eller rettigheder, der er sikret i en </w:t>
      </w:r>
      <w:proofErr w:type="spellStart"/>
      <w:r w:rsidRPr="00DC196B">
        <w:t>distributed</w:t>
      </w:r>
      <w:proofErr w:type="spellEnd"/>
      <w:r w:rsidRPr="00DC196B">
        <w:t> </w:t>
      </w:r>
      <w:proofErr w:type="spellStart"/>
      <w:r w:rsidRPr="00DC196B">
        <w:t>ledger</w:t>
      </w:r>
      <w:proofErr w:type="spellEnd"/>
      <w:r w:rsidRPr="00DC196B">
        <w:t xml:space="preserve">, herunder </w:t>
      </w:r>
      <w:proofErr w:type="spellStart"/>
      <w:r w:rsidRPr="00DC196B">
        <w:t>kryptovalutaer</w:t>
      </w:r>
      <w:proofErr w:type="spellEnd"/>
      <w:r w:rsidRPr="00DC196B">
        <w:t xml:space="preserve">, </w:t>
      </w:r>
      <w:proofErr w:type="spellStart"/>
      <w:r w:rsidRPr="00DC196B">
        <w:t>stablecoins</w:t>
      </w:r>
      <w:proofErr w:type="spellEnd"/>
      <w:r w:rsidRPr="00DC196B">
        <w:t xml:space="preserve"> og visse </w:t>
      </w:r>
      <w:proofErr w:type="spellStart"/>
      <w:r w:rsidRPr="00DC196B">
        <w:t>tokeniserede</w:t>
      </w:r>
      <w:proofErr w:type="spellEnd"/>
      <w:r w:rsidRPr="00DC196B">
        <w:t xml:space="preserve"> instrumenter;</w:t>
      </w:r>
    </w:p>
    <w:p w14:paraId="662E8657" w14:textId="77777777" w:rsidR="00634136" w:rsidRPr="00DC196B" w:rsidRDefault="00634136" w:rsidP="00634136">
      <w:pPr>
        <w:pStyle w:val="Normal12a"/>
      </w:pPr>
      <w:r w:rsidRPr="00DC196B">
        <w:rPr>
          <w:b/>
          <w:i/>
        </w:rPr>
        <w:t>Overblik</w:t>
      </w:r>
    </w:p>
    <w:p w14:paraId="21E4A680" w14:textId="77777777" w:rsidR="00634136" w:rsidRPr="00DC196B" w:rsidRDefault="00634136" w:rsidP="00634136">
      <w:pPr>
        <w:pStyle w:val="NormalHanging12a"/>
      </w:pPr>
      <w:r w:rsidRPr="00DC196B">
        <w:t>1.</w:t>
      </w:r>
      <w:r w:rsidRPr="00DC196B">
        <w:tab/>
        <w:t>støtter det langsigtede mål om en systemdækkende, aktivitetsbaseret og teknologineutral tilgang til EU's lovgivningsmæssige ramme for finansielle tjenesteydelser;</w:t>
      </w:r>
    </w:p>
    <w:p w14:paraId="5BD44FBE" w14:textId="77777777" w:rsidR="00634136" w:rsidRPr="00DC196B" w:rsidRDefault="00634136" w:rsidP="00634136">
      <w:pPr>
        <w:pStyle w:val="NormalHanging12a"/>
      </w:pPr>
      <w:r w:rsidRPr="00DC196B">
        <w:t>2.</w:t>
      </w:r>
      <w:r w:rsidRPr="00DC196B">
        <w:tab/>
        <w:t xml:space="preserve">understreger, at DLT og </w:t>
      </w:r>
      <w:proofErr w:type="spellStart"/>
      <w:r w:rsidRPr="00DC196B">
        <w:t>aktivtokenisering</w:t>
      </w:r>
      <w:proofErr w:type="spellEnd"/>
      <w:r w:rsidRPr="00DC196B">
        <w:t xml:space="preserve"> har potentiale til at støtte målene for opsparings- og investeringsunionen ved at lette grænseoverskridende investeringer, mindske markedsfragmenteringen og muliggøre en mere effektiv og </w:t>
      </w:r>
      <w:proofErr w:type="gramStart"/>
      <w:r w:rsidRPr="00DC196B">
        <w:t>inklusiv</w:t>
      </w:r>
      <w:proofErr w:type="gramEnd"/>
      <w:r w:rsidRPr="00DC196B">
        <w:t xml:space="preserve"> kapitalmarkedsinfrastruktur i hele EU; understreger den afgørende rolle, som </w:t>
      </w:r>
      <w:proofErr w:type="spellStart"/>
      <w:r w:rsidRPr="00DC196B">
        <w:t>interoperabilitet</w:t>
      </w:r>
      <w:proofErr w:type="spellEnd"/>
      <w:r w:rsidRPr="00DC196B">
        <w:t xml:space="preserve"> spiller;</w:t>
      </w:r>
    </w:p>
    <w:p w14:paraId="7B0424A8" w14:textId="77777777" w:rsidR="00634136" w:rsidRPr="00DC196B" w:rsidRDefault="00634136" w:rsidP="00634136">
      <w:pPr>
        <w:pStyle w:val="NormalHanging12a"/>
      </w:pPr>
      <w:r w:rsidRPr="00DC196B">
        <w:t>3.</w:t>
      </w:r>
      <w:r w:rsidRPr="00DC196B">
        <w:tab/>
        <w:t xml:space="preserve">understreger, at fremkomsten af nye teknologier inden for finans skaber nye udfordringer for regulerings- og tilsynsrammen; bemærker mangfoldigheden blandt digitale aktiver og anerkender, at de dermed forbundne risici og forretningspotentialet varierer fra den ene kategori til den anden; bekræfter sit tilsagn om en målrettet revision af EU's lovgivningsmæssige rammer med henblik på at udvikle robuste kapitalmarkeder og robust betalingsinfrastruktur i EU, der muliggør digitale aktiver; opfordrer indtrængende Kommissionen til at vurdere nødvendigheden og gennemførligheden af at regulere långivning og låntagning i </w:t>
      </w:r>
      <w:proofErr w:type="spellStart"/>
      <w:r w:rsidRPr="00DC196B">
        <w:t>kryptoaktiver</w:t>
      </w:r>
      <w:proofErr w:type="spellEnd"/>
      <w:r w:rsidRPr="00DC196B">
        <w:t xml:space="preserve">, herunder </w:t>
      </w:r>
      <w:proofErr w:type="spellStart"/>
      <w:r w:rsidRPr="00DC196B">
        <w:t>staking</w:t>
      </w:r>
      <w:proofErr w:type="spellEnd"/>
      <w:r w:rsidRPr="00DC196B">
        <w:t xml:space="preserve">, ikke-fungible </w:t>
      </w:r>
      <w:proofErr w:type="spellStart"/>
      <w:r w:rsidRPr="00DC196B">
        <w:t>tokens</w:t>
      </w:r>
      <w:proofErr w:type="spellEnd"/>
      <w:r w:rsidRPr="00DC196B">
        <w:t xml:space="preserve"> og decentraliseret finansiering, under </w:t>
      </w:r>
      <w:proofErr w:type="spellStart"/>
      <w:r w:rsidRPr="00DC196B">
        <w:t>MiCA</w:t>
      </w:r>
      <w:proofErr w:type="spellEnd"/>
      <w:r w:rsidRPr="00DC196B">
        <w:t>-forordningen;</w:t>
      </w:r>
    </w:p>
    <w:p w14:paraId="68FF2BCD" w14:textId="77777777" w:rsidR="00634136" w:rsidRPr="00DC196B" w:rsidRDefault="00634136" w:rsidP="00634136">
      <w:pPr>
        <w:pStyle w:val="NormalHanging12a"/>
      </w:pPr>
      <w:r w:rsidRPr="00DC196B">
        <w:t>4.</w:t>
      </w:r>
      <w:r w:rsidRPr="00DC196B">
        <w:tab/>
        <w:t xml:space="preserve">understreger den potentielle innovations- og </w:t>
      </w:r>
      <w:proofErr w:type="spellStart"/>
      <w:r w:rsidRPr="00DC196B">
        <w:t>konnektivitetskapacitet</w:t>
      </w:r>
      <w:proofErr w:type="spellEnd"/>
      <w:r w:rsidRPr="00DC196B">
        <w:t xml:space="preserve"> i kryptografisk sikrede </w:t>
      </w:r>
      <w:proofErr w:type="spellStart"/>
      <w:r w:rsidRPr="00DC196B">
        <w:t>distributed</w:t>
      </w:r>
      <w:proofErr w:type="spellEnd"/>
      <w:r w:rsidRPr="00DC196B">
        <w:t> </w:t>
      </w:r>
      <w:proofErr w:type="spellStart"/>
      <w:r w:rsidRPr="00DC196B">
        <w:t>ledgers</w:t>
      </w:r>
      <w:proofErr w:type="spellEnd"/>
      <w:r w:rsidRPr="00DC196B">
        <w:t xml:space="preserve"> og lignende teknologier til infrastruktur for finansielle tjenesteydelser, både inden for EU og for EU's globale rolle; understreger, at forudsigelige og innovationsvenlige lovgivningsmæssige rammer vil være afgørende for at sikre, at investeringer og teknologisk udvikling forbliver inden for EU, og for at fremme konkurrenceevnen og styrke tilliden til finansielle infrastrukturer, der er </w:t>
      </w:r>
      <w:proofErr w:type="spellStart"/>
      <w:r w:rsidRPr="00DC196B">
        <w:t>denomineret</w:t>
      </w:r>
      <w:proofErr w:type="spellEnd"/>
      <w:r w:rsidRPr="00DC196B">
        <w:t xml:space="preserve"> i euro;</w:t>
      </w:r>
    </w:p>
    <w:p w14:paraId="20405188" w14:textId="77777777" w:rsidR="00634136" w:rsidRPr="00DC196B" w:rsidRDefault="00634136" w:rsidP="00634136">
      <w:pPr>
        <w:pStyle w:val="Normal12a"/>
      </w:pPr>
      <w:proofErr w:type="spellStart"/>
      <w:r w:rsidRPr="00DC196B">
        <w:rPr>
          <w:b/>
          <w:i/>
        </w:rPr>
        <w:t>Kryptoaktiver</w:t>
      </w:r>
      <w:proofErr w:type="spellEnd"/>
    </w:p>
    <w:p w14:paraId="5E84A41F" w14:textId="66348C89" w:rsidR="00634136" w:rsidRPr="00DC196B" w:rsidRDefault="00634136" w:rsidP="00634136">
      <w:pPr>
        <w:pStyle w:val="NormalHanging12a"/>
      </w:pPr>
      <w:r w:rsidRPr="00DC196B">
        <w:t>5.</w:t>
      </w:r>
      <w:r w:rsidRPr="00DC196B">
        <w:tab/>
        <w:t xml:space="preserve">anerkender, at EU var blandt de første jurisdiktioner til at vedtage og gennemføre en særlig ordning for </w:t>
      </w:r>
      <w:proofErr w:type="spellStart"/>
      <w:r w:rsidRPr="00DC196B">
        <w:t>kryptoaktiver</w:t>
      </w:r>
      <w:proofErr w:type="spellEnd"/>
      <w:r w:rsidRPr="00DC196B">
        <w:t xml:space="preserve"> med </w:t>
      </w:r>
      <w:proofErr w:type="spellStart"/>
      <w:r w:rsidRPr="00DC196B">
        <w:t>MiCA</w:t>
      </w:r>
      <w:proofErr w:type="spellEnd"/>
      <w:r w:rsidRPr="00DC196B">
        <w:t xml:space="preserve">-forordningen, og til at anvende DLT-teknologi i den finansielle sektor; opfordrer Kommissionen til i tæt samarbejde med EBA, ESMA, Myndigheden for Bekæmpelse af Hvidvask af Penge og Finansiering af Terrorisme (AMLA) og de nationale kompetente myndigheder at sikre en effektiv håndhævelse af </w:t>
      </w:r>
      <w:proofErr w:type="spellStart"/>
      <w:r w:rsidRPr="00DC196B">
        <w:t>MiCA</w:t>
      </w:r>
      <w:proofErr w:type="spellEnd"/>
      <w:r w:rsidRPr="00DC196B">
        <w:t xml:space="preserve">-forordningen; opfordrer medlemsstaterne til at afstå fra at indføre yderligere krav og forpligtelser ud over rammerne for </w:t>
      </w:r>
      <w:proofErr w:type="spellStart"/>
      <w:r w:rsidRPr="00DC196B">
        <w:t>MiCA</w:t>
      </w:r>
      <w:proofErr w:type="spellEnd"/>
      <w:r w:rsidRPr="00DC196B">
        <w:t>-forordningen eller forordningen om pengeoverførsler</w:t>
      </w:r>
      <w:r w:rsidR="001A3A0E">
        <w:rPr>
          <w:rStyle w:val="FootnoteReference"/>
        </w:rPr>
        <w:footnoteReference w:id="5"/>
      </w:r>
      <w:r w:rsidRPr="00DC196B">
        <w:t>;</w:t>
      </w:r>
    </w:p>
    <w:p w14:paraId="219931AC" w14:textId="77777777" w:rsidR="00634136" w:rsidRPr="00DC196B" w:rsidRDefault="00634136" w:rsidP="00634136">
      <w:pPr>
        <w:pStyle w:val="NormalHanging12a"/>
      </w:pPr>
      <w:r w:rsidRPr="00DC196B">
        <w:lastRenderedPageBreak/>
        <w:t>6.</w:t>
      </w:r>
      <w:r w:rsidRPr="00DC196B">
        <w:tab/>
        <w:t xml:space="preserve">understreger betydningen af at styrke datakapaciteten, navnlig med hensyn til gearing i </w:t>
      </w:r>
      <w:proofErr w:type="spellStart"/>
      <w:r w:rsidRPr="00DC196B">
        <w:t>kryptoindustrien</w:t>
      </w:r>
      <w:proofErr w:type="spellEnd"/>
      <w:r w:rsidRPr="00DC196B">
        <w:t xml:space="preserve"> og indbyrdes forbindelser med sektoren for finansielle institutioner uden for banksektoren; opfordrer indtrængende Kommissionen til yderligere at overvåge </w:t>
      </w:r>
      <w:proofErr w:type="spellStart"/>
      <w:r w:rsidRPr="00DC196B">
        <w:t>kryptoaktivers</w:t>
      </w:r>
      <w:proofErr w:type="spellEnd"/>
      <w:r w:rsidRPr="00DC196B">
        <w:t xml:space="preserve"> indbyrdes forbundethed med det finansielle system; bemærker, at </w:t>
      </w:r>
      <w:proofErr w:type="spellStart"/>
      <w:r w:rsidRPr="00DC196B">
        <w:t>kryptoaktiver</w:t>
      </w:r>
      <w:proofErr w:type="spellEnd"/>
      <w:r w:rsidRPr="00DC196B">
        <w:t xml:space="preserve"> uden sikkerhed kan være udsat for yderligere risici og </w:t>
      </w:r>
      <w:proofErr w:type="spellStart"/>
      <w:r w:rsidRPr="00DC196B">
        <w:t>volatilitet</w:t>
      </w:r>
      <w:proofErr w:type="spellEnd"/>
      <w:r w:rsidRPr="00DC196B">
        <w:t>;</w:t>
      </w:r>
    </w:p>
    <w:p w14:paraId="0D13695B" w14:textId="77777777" w:rsidR="00634136" w:rsidRPr="00DC196B" w:rsidRDefault="00634136" w:rsidP="00634136">
      <w:pPr>
        <w:pStyle w:val="NormalHanging12a"/>
      </w:pPr>
      <w:r w:rsidRPr="00DC196B">
        <w:t>7.</w:t>
      </w:r>
      <w:r w:rsidRPr="00DC196B">
        <w:tab/>
        <w:t>opfordrer EBA, ESMA, AMLA, Den Europæiske Tilsynsmyndighed for Forsikrings- og Arbejdsmarkedspensionsordninger, de nationale kompetente myndigheder, ECB og ESRB til at styrke den tilsynsmæssige dialog om væsentlige multifunktionsgrupper (</w:t>
      </w:r>
      <w:proofErr w:type="spellStart"/>
      <w:r w:rsidRPr="00DC196B">
        <w:t>MFG'er</w:t>
      </w:r>
      <w:proofErr w:type="spellEnd"/>
      <w:r w:rsidRPr="00DC196B">
        <w:t xml:space="preserve">); understreger behovet for at tilpasse </w:t>
      </w:r>
      <w:proofErr w:type="spellStart"/>
      <w:r w:rsidRPr="00DC196B">
        <w:t>MiCA</w:t>
      </w:r>
      <w:proofErr w:type="spellEnd"/>
      <w:r w:rsidRPr="00DC196B">
        <w:t xml:space="preserve">-forordningens politikramme for væsentlige </w:t>
      </w:r>
      <w:proofErr w:type="spellStart"/>
      <w:r w:rsidRPr="00DC196B">
        <w:t>MFG'er</w:t>
      </w:r>
      <w:proofErr w:type="spellEnd"/>
      <w:r w:rsidRPr="00DC196B">
        <w:t>, der ikke er banker;</w:t>
      </w:r>
    </w:p>
    <w:p w14:paraId="3CBD81AE" w14:textId="77777777" w:rsidR="00634136" w:rsidRPr="00DC196B" w:rsidRDefault="00634136" w:rsidP="00634136">
      <w:pPr>
        <w:pStyle w:val="NormalHanging12a"/>
      </w:pPr>
      <w:r w:rsidRPr="00DC196B">
        <w:t>8.</w:t>
      </w:r>
      <w:r w:rsidRPr="00DC196B">
        <w:tab/>
        <w:t xml:space="preserve">anerkender, at </w:t>
      </w:r>
      <w:proofErr w:type="spellStart"/>
      <w:r w:rsidRPr="00DC196B">
        <w:t>distributed</w:t>
      </w:r>
      <w:proofErr w:type="spellEnd"/>
      <w:r w:rsidRPr="00DC196B">
        <w:t xml:space="preserve"> </w:t>
      </w:r>
      <w:proofErr w:type="spellStart"/>
      <w:r w:rsidRPr="00DC196B">
        <w:t>ledger</w:t>
      </w:r>
      <w:proofErr w:type="spellEnd"/>
      <w:r w:rsidRPr="00DC196B">
        <w:t xml:space="preserve">-teknologier indfører nye teknologiske og operationelle overvejelser for finansielle tilsynsmyndigheder, herunder spørgsmål vedrørende intelligent kontraktsikkerhed, forvaltning af decentraliserede netværk, </w:t>
      </w:r>
      <w:proofErr w:type="spellStart"/>
      <w:r w:rsidRPr="00DC196B">
        <w:t>cyberrobusthed</w:t>
      </w:r>
      <w:proofErr w:type="spellEnd"/>
      <w:r w:rsidRPr="00DC196B">
        <w:t xml:space="preserve"> og styring af operationelle risici; opfordrer tilsynsmyndighederne til at udvikle tilstrækkelig teknisk ekspertise til at forstå og overvåge disse nye markedsinfrastrukturer effektivt;</w:t>
      </w:r>
    </w:p>
    <w:p w14:paraId="4D24BDD6" w14:textId="77777777" w:rsidR="00634136" w:rsidRPr="00DC196B" w:rsidRDefault="00634136" w:rsidP="00634136">
      <w:pPr>
        <w:pStyle w:val="NormalHanging12a"/>
      </w:pPr>
      <w:r w:rsidRPr="00DC196B">
        <w:t>9.</w:t>
      </w:r>
      <w:r w:rsidRPr="00DC196B">
        <w:tab/>
        <w:t xml:space="preserve">udtrykker bekymring over den rolle, som </w:t>
      </w:r>
      <w:proofErr w:type="spellStart"/>
      <w:r w:rsidRPr="00DC196B">
        <w:t>kryptoaktiver</w:t>
      </w:r>
      <w:proofErr w:type="spellEnd"/>
      <w:r w:rsidRPr="00DC196B">
        <w:t xml:space="preserve"> spiller med hensyn til at omgå forordninger og sanktioner om bekæmpelse af hvidvask af penge og finansiering af terrorisme; understreger betydningen af at styrke tilsynsværktøjer, håndhævelse og overholdelsesstandarder for at imødegå risici forbundet med bekæmpelse af hvidvask af penge og bekæmpelse af finansiering af terrorisme, herunder effektive "kend din kunde"-standarder og overvågning af betalinger; understreger, at det er vigtigt for efterforskningsmyndighederne at anvende teknologien bag </w:t>
      </w:r>
      <w:proofErr w:type="spellStart"/>
      <w:r w:rsidRPr="00DC196B">
        <w:t>kryptoaktiver</w:t>
      </w:r>
      <w:proofErr w:type="spellEnd"/>
      <w:r w:rsidRPr="00DC196B">
        <w:t xml:space="preserve"> til at modvirke </w:t>
      </w:r>
      <w:proofErr w:type="spellStart"/>
      <w:r w:rsidRPr="00DC196B">
        <w:t>kryptokriminalitet</w:t>
      </w:r>
      <w:proofErr w:type="spellEnd"/>
      <w:r w:rsidRPr="00DC196B">
        <w:t xml:space="preserve"> og at samarbejde med hinanden om at blokere opdagede eller indberettede ulovlige transaktioner;</w:t>
      </w:r>
    </w:p>
    <w:p w14:paraId="15939B7A" w14:textId="77777777" w:rsidR="00634136" w:rsidRPr="00DC196B" w:rsidRDefault="00634136" w:rsidP="00634136">
      <w:pPr>
        <w:pStyle w:val="NormalHanging12a"/>
      </w:pPr>
      <w:r w:rsidRPr="00DC196B">
        <w:t>10.</w:t>
      </w:r>
      <w:r w:rsidRPr="00DC196B">
        <w:tab/>
        <w:t xml:space="preserve">bemærker fremkomsten af hybride produkter, der kombinerer funktioner i </w:t>
      </w:r>
      <w:proofErr w:type="spellStart"/>
      <w:r w:rsidRPr="00DC196B">
        <w:t>kryptoaktiver</w:t>
      </w:r>
      <w:proofErr w:type="spellEnd"/>
      <w:r w:rsidRPr="00DC196B">
        <w:t xml:space="preserve"> og traditionelle finansielle instrumenter, kan skabe </w:t>
      </w:r>
      <w:proofErr w:type="spellStart"/>
      <w:r w:rsidRPr="00DC196B">
        <w:t>retsusikkerhed</w:t>
      </w:r>
      <w:proofErr w:type="spellEnd"/>
      <w:r w:rsidRPr="00DC196B">
        <w:t>;</w:t>
      </w:r>
    </w:p>
    <w:p w14:paraId="5AC05DE7" w14:textId="77777777" w:rsidR="00634136" w:rsidRPr="00DC196B" w:rsidRDefault="00634136" w:rsidP="00634136">
      <w:pPr>
        <w:pStyle w:val="Normal12a"/>
      </w:pPr>
      <w:proofErr w:type="spellStart"/>
      <w:r w:rsidRPr="00DC196B">
        <w:rPr>
          <w:b/>
          <w:i/>
        </w:rPr>
        <w:t>Tokenisering</w:t>
      </w:r>
      <w:proofErr w:type="spellEnd"/>
      <w:r w:rsidRPr="00DC196B">
        <w:rPr>
          <w:b/>
          <w:i/>
        </w:rPr>
        <w:t xml:space="preserve"> af finansielle instrumenter</w:t>
      </w:r>
    </w:p>
    <w:p w14:paraId="20DF44CE" w14:textId="77777777" w:rsidR="00634136" w:rsidRPr="00DC196B" w:rsidRDefault="00634136" w:rsidP="00634136">
      <w:pPr>
        <w:pStyle w:val="NormalHanging12a"/>
      </w:pPr>
      <w:r w:rsidRPr="00DC196B">
        <w:t>11.</w:t>
      </w:r>
      <w:r w:rsidRPr="00DC196B">
        <w:tab/>
        <w:t>bemærker, at betragtning 3 i forordning (EU) 2022/858 definerer "</w:t>
      </w:r>
      <w:proofErr w:type="spellStart"/>
      <w:r w:rsidRPr="00DC196B">
        <w:t>tokenisering</w:t>
      </w:r>
      <w:proofErr w:type="spellEnd"/>
      <w:r w:rsidRPr="00DC196B">
        <w:t xml:space="preserve">" af finansielle instrumenter som den digitale repræsentation af finansielle instrumenter i </w:t>
      </w:r>
      <w:proofErr w:type="spellStart"/>
      <w:r w:rsidRPr="00DC196B">
        <w:t>distributed</w:t>
      </w:r>
      <w:proofErr w:type="spellEnd"/>
      <w:r w:rsidRPr="00DC196B">
        <w:t> </w:t>
      </w:r>
      <w:proofErr w:type="spellStart"/>
      <w:r w:rsidRPr="00DC196B">
        <w:t>ledgers</w:t>
      </w:r>
      <w:proofErr w:type="spellEnd"/>
      <w:r w:rsidRPr="00DC196B">
        <w:t xml:space="preserve"> eller udstedelsen af traditionelle aktivklasser i </w:t>
      </w:r>
      <w:proofErr w:type="spellStart"/>
      <w:r w:rsidRPr="00DC196B">
        <w:t>tokeniseret</w:t>
      </w:r>
      <w:proofErr w:type="spellEnd"/>
      <w:r w:rsidRPr="00DC196B">
        <w:t xml:space="preserve"> form, </w:t>
      </w:r>
      <w:proofErr w:type="gramStart"/>
      <w:r w:rsidRPr="00DC196B">
        <w:t>således at</w:t>
      </w:r>
      <w:proofErr w:type="gramEnd"/>
      <w:r w:rsidRPr="00DC196B">
        <w:t xml:space="preserve"> de kan udstedes, lagres og overføres i en </w:t>
      </w:r>
      <w:proofErr w:type="spellStart"/>
      <w:r w:rsidRPr="00DC196B">
        <w:t>distributed</w:t>
      </w:r>
      <w:proofErr w:type="spellEnd"/>
      <w:r w:rsidRPr="00DC196B">
        <w:t> </w:t>
      </w:r>
      <w:proofErr w:type="spellStart"/>
      <w:r w:rsidRPr="00DC196B">
        <w:t>ledger</w:t>
      </w:r>
      <w:proofErr w:type="spellEnd"/>
      <w:r w:rsidRPr="00DC196B">
        <w:t>;</w:t>
      </w:r>
    </w:p>
    <w:p w14:paraId="305F5D2B" w14:textId="77777777" w:rsidR="00634136" w:rsidRPr="00DC196B" w:rsidRDefault="00634136" w:rsidP="00634136">
      <w:pPr>
        <w:pStyle w:val="NormalHanging12a"/>
      </w:pPr>
      <w:r w:rsidRPr="00DC196B">
        <w:t>12.</w:t>
      </w:r>
      <w:r w:rsidRPr="00DC196B">
        <w:tab/>
        <w:t xml:space="preserve">understreger, at </w:t>
      </w:r>
      <w:proofErr w:type="spellStart"/>
      <w:r w:rsidRPr="00DC196B">
        <w:t>tokeniseringen</w:t>
      </w:r>
      <w:proofErr w:type="spellEnd"/>
      <w:r w:rsidRPr="00DC196B">
        <w:t xml:space="preserve"> af finansielle aktiver ikke i sig selv ændrer disse aktivers juridiske karakter eller centrale økonomiske karakteristika; understreger, at </w:t>
      </w:r>
      <w:proofErr w:type="spellStart"/>
      <w:r w:rsidRPr="00DC196B">
        <w:t>tokeniserede</w:t>
      </w:r>
      <w:proofErr w:type="spellEnd"/>
      <w:r w:rsidRPr="00DC196B">
        <w:t xml:space="preserve"> finansielle instrumenter skal give rettigheder svarende til dem, der er knyttet til traditionelle værdipapirer, for at forhindre regelarbitrage og sikre investorbeskyttelse;</w:t>
      </w:r>
    </w:p>
    <w:p w14:paraId="5585F54A" w14:textId="77777777" w:rsidR="00634136" w:rsidRPr="00DC196B" w:rsidRDefault="00634136" w:rsidP="00634136">
      <w:pPr>
        <w:pStyle w:val="NormalHanging12a"/>
      </w:pPr>
      <w:r w:rsidRPr="00DC196B">
        <w:t>13.</w:t>
      </w:r>
      <w:r w:rsidRPr="00DC196B">
        <w:tab/>
        <w:t xml:space="preserve">glæder sig over de potentielle fordele ved </w:t>
      </w:r>
      <w:proofErr w:type="spellStart"/>
      <w:r w:rsidRPr="00DC196B">
        <w:t>tokenisering</w:t>
      </w:r>
      <w:proofErr w:type="spellEnd"/>
      <w:r w:rsidRPr="00DC196B">
        <w:t xml:space="preserve"> for handel med finansielle aktiver såsom øget effektivitet og gennemsigtighed, reducerede modpartsrisici og driftsomkostninger, intelligente kontrakter og forbedret likviditet gennem fraktioneret ejerskab, men bemærker samtidig, at dens sårbarheder bør overvåges;</w:t>
      </w:r>
    </w:p>
    <w:p w14:paraId="0F1FFA58" w14:textId="77777777" w:rsidR="00634136" w:rsidRPr="00DC196B" w:rsidRDefault="00634136" w:rsidP="00634136">
      <w:pPr>
        <w:pStyle w:val="NormalHanging12a"/>
      </w:pPr>
      <w:r w:rsidRPr="00DC196B">
        <w:lastRenderedPageBreak/>
        <w:t>14.</w:t>
      </w:r>
      <w:r w:rsidRPr="00DC196B">
        <w:tab/>
        <w:t xml:space="preserve">opfordrer indtrængende Kommissionen til at lette og tilskynde til </w:t>
      </w:r>
      <w:proofErr w:type="spellStart"/>
      <w:r w:rsidRPr="00DC196B">
        <w:t>tokenisering</w:t>
      </w:r>
      <w:proofErr w:type="spellEnd"/>
      <w:r w:rsidRPr="00DC196B">
        <w:t xml:space="preserve"> på tværs af finansielle tjenesteydelser, insistere på </w:t>
      </w:r>
      <w:proofErr w:type="spellStart"/>
      <w:r w:rsidRPr="00DC196B">
        <w:t>interoperabilitet</w:t>
      </w:r>
      <w:proofErr w:type="spellEnd"/>
      <w:r w:rsidRPr="00DC196B">
        <w:t xml:space="preserve"> og forhindre fragmentering ved at opretholde standarder i hele det indre marked og tilvejebringe infrastruktur;</w:t>
      </w:r>
    </w:p>
    <w:p w14:paraId="58D3A901" w14:textId="77777777" w:rsidR="00634136" w:rsidRPr="00DC196B" w:rsidRDefault="00634136" w:rsidP="00634136">
      <w:pPr>
        <w:pStyle w:val="NormalHanging12a"/>
      </w:pPr>
      <w:r w:rsidRPr="00DC196B">
        <w:t>15.</w:t>
      </w:r>
      <w:r w:rsidRPr="00DC196B">
        <w:tab/>
        <w:t xml:space="preserve">anerkender </w:t>
      </w:r>
      <w:proofErr w:type="spellStart"/>
      <w:r w:rsidRPr="00DC196B">
        <w:t>ECB's</w:t>
      </w:r>
      <w:proofErr w:type="spellEnd"/>
      <w:r w:rsidRPr="00DC196B">
        <w:t xml:space="preserve"> bestræbelser på at tilvejebringe løsninger, herunder infrastruktur, der giver mulighed for digital centralbankvaluta i engrosleddet, som gør det muligt at afvikle kontantdelen og aktivdelen inden for en fælles forretningsbog, som supplement til </w:t>
      </w:r>
      <w:proofErr w:type="spellStart"/>
      <w:r w:rsidRPr="00DC196B">
        <w:t>tokeniserede</w:t>
      </w:r>
      <w:proofErr w:type="spellEnd"/>
      <w:r w:rsidRPr="00DC196B">
        <w:t xml:space="preserve"> indskud fra kommercielle banker og </w:t>
      </w:r>
      <w:proofErr w:type="spellStart"/>
      <w:r w:rsidRPr="00DC196B">
        <w:t>stablecoins</w:t>
      </w:r>
      <w:proofErr w:type="spellEnd"/>
      <w:r w:rsidRPr="00DC196B">
        <w:t>;</w:t>
      </w:r>
    </w:p>
    <w:p w14:paraId="4B077D8E" w14:textId="77777777" w:rsidR="00634136" w:rsidRPr="00DC196B" w:rsidRDefault="00634136" w:rsidP="00634136">
      <w:pPr>
        <w:pStyle w:val="NormalHanging12a"/>
      </w:pPr>
      <w:r w:rsidRPr="00DC196B">
        <w:t>16.</w:t>
      </w:r>
      <w:r w:rsidRPr="00DC196B">
        <w:tab/>
        <w:t xml:space="preserve">understreger det europæiske </w:t>
      </w:r>
      <w:proofErr w:type="spellStart"/>
      <w:r w:rsidRPr="00DC196B">
        <w:t>tokeniserede</w:t>
      </w:r>
      <w:proofErr w:type="spellEnd"/>
      <w:r w:rsidRPr="00DC196B">
        <w:t xml:space="preserve"> markeds potentiale for global </w:t>
      </w:r>
      <w:proofErr w:type="spellStart"/>
      <w:r w:rsidRPr="00DC196B">
        <w:t>konnektivitet</w:t>
      </w:r>
      <w:proofErr w:type="spellEnd"/>
      <w:r w:rsidRPr="00DC196B">
        <w:t>; understreger betydningen af internationalt samarbejde med henblik på at harmonisere kategoriseringskriterier -principper og -standarder; støtter BIS' arbejde i forbindelse med initiativer vedrørende grænseoverskridende betalingssamarbejde;</w:t>
      </w:r>
    </w:p>
    <w:p w14:paraId="79688387" w14:textId="77777777" w:rsidR="00634136" w:rsidRPr="00DC196B" w:rsidRDefault="00634136" w:rsidP="00634136">
      <w:pPr>
        <w:pStyle w:val="NormalHanging12a"/>
      </w:pPr>
      <w:r w:rsidRPr="00DC196B">
        <w:t>17.</w:t>
      </w:r>
      <w:r w:rsidRPr="00DC196B">
        <w:tab/>
        <w:t>glæder sig over de igangværende drøftelser af DLT-pilotordningen som led i markedsintegrations- og tilsynspakken;</w:t>
      </w:r>
    </w:p>
    <w:p w14:paraId="398AD52B" w14:textId="77777777" w:rsidR="00634136" w:rsidRPr="00DC196B" w:rsidRDefault="00634136" w:rsidP="00634136">
      <w:pPr>
        <w:pStyle w:val="Normal12a"/>
      </w:pPr>
      <w:proofErr w:type="spellStart"/>
      <w:r w:rsidRPr="00DC196B">
        <w:rPr>
          <w:b/>
          <w:i/>
        </w:rPr>
        <w:t>Stablecoins</w:t>
      </w:r>
      <w:proofErr w:type="spellEnd"/>
    </w:p>
    <w:p w14:paraId="1E20A7AB" w14:textId="77777777" w:rsidR="00634136" w:rsidRPr="00DC196B" w:rsidRDefault="00634136" w:rsidP="00634136">
      <w:pPr>
        <w:pStyle w:val="NormalHanging12a"/>
      </w:pPr>
      <w:r w:rsidRPr="00DC196B">
        <w:t>18.</w:t>
      </w:r>
      <w:r w:rsidRPr="00DC196B">
        <w:tab/>
        <w:t xml:space="preserve">bemærker, at </w:t>
      </w:r>
      <w:proofErr w:type="spellStart"/>
      <w:r w:rsidRPr="00DC196B">
        <w:t>stablecoins</w:t>
      </w:r>
      <w:proofErr w:type="spellEnd"/>
      <w:r w:rsidRPr="00DC196B">
        <w:t xml:space="preserve"> kan falde ind under to typer under </w:t>
      </w:r>
      <w:proofErr w:type="spellStart"/>
      <w:r w:rsidRPr="00DC196B">
        <w:t>MiCA</w:t>
      </w:r>
      <w:proofErr w:type="spellEnd"/>
      <w:r w:rsidRPr="00DC196B">
        <w:t xml:space="preserve">-forordningens retlige ramme, nemlig aktivbaserede </w:t>
      </w:r>
      <w:proofErr w:type="spellStart"/>
      <w:r w:rsidRPr="00DC196B">
        <w:t>tokens</w:t>
      </w:r>
      <w:proofErr w:type="spellEnd"/>
      <w:r w:rsidRPr="00DC196B">
        <w:t xml:space="preserve"> og elektroniske </w:t>
      </w:r>
      <w:proofErr w:type="spellStart"/>
      <w:r w:rsidRPr="00DC196B">
        <w:t>pengetokens</w:t>
      </w:r>
      <w:proofErr w:type="spellEnd"/>
      <w:r w:rsidRPr="00DC196B">
        <w:t xml:space="preserve"> (e-</w:t>
      </w:r>
      <w:proofErr w:type="spellStart"/>
      <w:r w:rsidRPr="00DC196B">
        <w:t>pengetokens</w:t>
      </w:r>
      <w:proofErr w:type="spellEnd"/>
      <w:r w:rsidRPr="00DC196B">
        <w:t>);</w:t>
      </w:r>
    </w:p>
    <w:p w14:paraId="65CD04D0" w14:textId="77777777" w:rsidR="00634136" w:rsidRDefault="00634136" w:rsidP="00634136">
      <w:pPr>
        <w:pStyle w:val="NormalHanging12a"/>
      </w:pPr>
      <w:r w:rsidRPr="00DC196B">
        <w:t>19.</w:t>
      </w:r>
      <w:r w:rsidRPr="00DC196B">
        <w:tab/>
        <w:t xml:space="preserve">bemærker, at </w:t>
      </w:r>
      <w:proofErr w:type="spellStart"/>
      <w:r w:rsidRPr="00DC196B">
        <w:t>stablecoins</w:t>
      </w:r>
      <w:proofErr w:type="spellEnd"/>
      <w:r w:rsidRPr="00DC196B">
        <w:t xml:space="preserve"> er en form for privat pengeskabelse, og at deres økonomiske funktion har ligheder med fastkursregimer, pengemarkedsforeninger og banker, der opererer i henhold til "</w:t>
      </w:r>
      <w:proofErr w:type="spellStart"/>
      <w:r w:rsidRPr="00DC196B">
        <w:t>Narrow</w:t>
      </w:r>
      <w:proofErr w:type="spellEnd"/>
      <w:r w:rsidRPr="00DC196B">
        <w:t xml:space="preserve"> Banking"-princippet; understreger imidlertid, at </w:t>
      </w:r>
      <w:proofErr w:type="spellStart"/>
      <w:r w:rsidRPr="00DC196B">
        <w:t>MiCA</w:t>
      </w:r>
      <w:proofErr w:type="spellEnd"/>
      <w:r w:rsidRPr="00DC196B">
        <w:t>-forordningen forbyder udstedere af e-</w:t>
      </w:r>
      <w:proofErr w:type="spellStart"/>
      <w:r w:rsidRPr="00DC196B">
        <w:t>pengetokens</w:t>
      </w:r>
      <w:proofErr w:type="spellEnd"/>
      <w:r w:rsidRPr="00DC196B">
        <w:t xml:space="preserve"> og af </w:t>
      </w:r>
      <w:proofErr w:type="spellStart"/>
      <w:r w:rsidRPr="00DC196B">
        <w:t>kryptoaktivtjenester</w:t>
      </w:r>
      <w:proofErr w:type="spellEnd"/>
      <w:r w:rsidRPr="00DC196B">
        <w:t xml:space="preserve"> at tilskrive renter direkte eller indirekte i forbindelse med e-</w:t>
      </w:r>
      <w:proofErr w:type="spellStart"/>
      <w:r w:rsidRPr="00DC196B">
        <w:t>pengetokens</w:t>
      </w:r>
      <w:proofErr w:type="spellEnd"/>
      <w:r w:rsidRPr="00DC196B">
        <w:t xml:space="preserve">, og at </w:t>
      </w:r>
      <w:proofErr w:type="spellStart"/>
      <w:r w:rsidRPr="00DC196B">
        <w:t>stablecoins</w:t>
      </w:r>
      <w:proofErr w:type="spellEnd"/>
      <w:r w:rsidRPr="00DC196B">
        <w:t xml:space="preserve"> ikke har direkte adgang til centralbanker, og at deres indehavere ikke er omfattet af indskudsgarantiordninger; bemærker risiciene for nedskrivning eller afkobling og </w:t>
      </w:r>
      <w:proofErr w:type="spellStart"/>
      <w:r w:rsidRPr="00DC196B">
        <w:t>disintermediation</w:t>
      </w:r>
      <w:proofErr w:type="spellEnd"/>
      <w:r w:rsidRPr="00DC196B">
        <w:t xml:space="preserve"> forbundet med </w:t>
      </w:r>
      <w:proofErr w:type="spellStart"/>
      <w:r w:rsidRPr="00DC196B">
        <w:t>stablecoins</w:t>
      </w:r>
      <w:proofErr w:type="spellEnd"/>
      <w:r w:rsidRPr="00DC196B">
        <w:t>;</w:t>
      </w:r>
    </w:p>
    <w:p w14:paraId="0404BC0A" w14:textId="154FF778" w:rsidR="00B949D8" w:rsidRPr="00DC196B" w:rsidRDefault="00B949D8" w:rsidP="00634136">
      <w:pPr>
        <w:pStyle w:val="NormalHanging12a"/>
      </w:pPr>
      <w:r>
        <w:t>20.</w:t>
      </w:r>
      <w:r>
        <w:tab/>
      </w:r>
      <w:r w:rsidRPr="00B949D8">
        <w:t xml:space="preserve">bemærker med bekymring den fortsatte hurtige ekspansion og dominans af </w:t>
      </w:r>
      <w:proofErr w:type="spellStart"/>
      <w:r w:rsidRPr="00B949D8">
        <w:t>stablecoins</w:t>
      </w:r>
      <w:proofErr w:type="spellEnd"/>
      <w:r w:rsidRPr="00B949D8">
        <w:t xml:space="preserve"> </w:t>
      </w:r>
      <w:proofErr w:type="spellStart"/>
      <w:r w:rsidRPr="00B949D8">
        <w:t>denomineret</w:t>
      </w:r>
      <w:proofErr w:type="spellEnd"/>
      <w:r w:rsidRPr="00B949D8">
        <w:t xml:space="preserve"> i amerikanske dollar, som kan svække EU's monetære suverænitet, øge risiciene for den finansielle stabilitet, hæmme transmissionen af pengepolitikken og styrke den eksterne afhængighed af betalinger;</w:t>
      </w:r>
    </w:p>
    <w:p w14:paraId="053E9A86" w14:textId="7317D9AE" w:rsidR="00634136" w:rsidRPr="00DC196B" w:rsidRDefault="00B949D8" w:rsidP="00634136">
      <w:pPr>
        <w:pStyle w:val="NormalHanging12a"/>
      </w:pPr>
      <w:r>
        <w:t>21</w:t>
      </w:r>
      <w:r w:rsidR="00634136" w:rsidRPr="00DC196B">
        <w:t>.</w:t>
      </w:r>
      <w:r w:rsidR="00634136" w:rsidRPr="00DC196B">
        <w:tab/>
        <w:t>glæder sig over fremkomsten af e-</w:t>
      </w:r>
      <w:proofErr w:type="spellStart"/>
      <w:r w:rsidR="00634136" w:rsidRPr="00DC196B">
        <w:t>pengetokens</w:t>
      </w:r>
      <w:proofErr w:type="spellEnd"/>
      <w:r w:rsidR="00634136" w:rsidRPr="00DC196B">
        <w:t xml:space="preserve"> </w:t>
      </w:r>
      <w:proofErr w:type="spellStart"/>
      <w:r w:rsidR="00634136" w:rsidRPr="00DC196B">
        <w:t>denomineret</w:t>
      </w:r>
      <w:proofErr w:type="spellEnd"/>
      <w:r w:rsidR="00634136" w:rsidRPr="00DC196B">
        <w:t xml:space="preserve"> i euro under </w:t>
      </w:r>
      <w:proofErr w:type="spellStart"/>
      <w:r w:rsidR="00634136" w:rsidRPr="00DC196B">
        <w:t>MiCA</w:t>
      </w:r>
      <w:proofErr w:type="spellEnd"/>
      <w:r w:rsidR="00634136" w:rsidRPr="00DC196B">
        <w:t xml:space="preserve">-forordningen og opfordrer til, at de udvikles med henblik på at støtte innovation inden for EU-betalinger, konkurrenceevnen på EU's finansielle markeder og euroens internationale rolle, herunder gennem hurtigere og billigere grænseoverskridende betalinger som supplement til </w:t>
      </w:r>
      <w:proofErr w:type="spellStart"/>
      <w:r w:rsidR="00634136" w:rsidRPr="00DC196B">
        <w:t>tokeniserede</w:t>
      </w:r>
      <w:proofErr w:type="spellEnd"/>
      <w:r w:rsidR="00634136" w:rsidRPr="00DC196B">
        <w:t xml:space="preserve"> indskud og digital centralbankvaluta til engrosmarkedet; understreger betydningen af harmoniserede rammer for likviditetsrisiko og krisestyring, herunder indløsningsstormløb og krav om reserveadskillelse; bemærker, at ECB fastholder, at </w:t>
      </w:r>
      <w:proofErr w:type="spellStart"/>
      <w:r w:rsidR="00634136" w:rsidRPr="00DC196B">
        <w:t>stablecoins</w:t>
      </w:r>
      <w:proofErr w:type="spellEnd"/>
      <w:r w:rsidR="00634136" w:rsidRPr="00DC196B">
        <w:t xml:space="preserve">, der ikke er </w:t>
      </w:r>
      <w:proofErr w:type="spellStart"/>
      <w:r w:rsidR="00634136" w:rsidRPr="00DC196B">
        <w:t>denomineret</w:t>
      </w:r>
      <w:proofErr w:type="spellEnd"/>
      <w:r w:rsidR="00634136" w:rsidRPr="00DC196B">
        <w:t xml:space="preserve"> i euro, kan udgøre en risiko for pengepolitikken, hvis deres anvendelse bliver udbredt; udtrykker forsigtighed med hensyn til misbruget af klausulen om "omvendt kundehvervning";</w:t>
      </w:r>
    </w:p>
    <w:p w14:paraId="4DBABCED" w14:textId="7506D2AE" w:rsidR="00634136" w:rsidRPr="00DC196B" w:rsidRDefault="00B949D8" w:rsidP="00634136">
      <w:pPr>
        <w:pStyle w:val="NormalHanging12a"/>
      </w:pPr>
      <w:r>
        <w:t>22</w:t>
      </w:r>
      <w:r w:rsidR="00634136" w:rsidRPr="00DC196B">
        <w:t>.</w:t>
      </w:r>
      <w:r w:rsidR="00634136" w:rsidRPr="00DC196B">
        <w:tab/>
        <w:t xml:space="preserve">anerkender behovet for retssikkerhed i EU-retten med hensyn til muligheden for multiudstedelse af </w:t>
      </w:r>
      <w:proofErr w:type="spellStart"/>
      <w:r w:rsidR="00634136" w:rsidRPr="00DC196B">
        <w:t>stablecoins</w:t>
      </w:r>
      <w:proofErr w:type="spellEnd"/>
      <w:r w:rsidR="00634136" w:rsidRPr="00DC196B">
        <w:t xml:space="preserve"> af en enhed i EU og en enhed uden for EU, hvor de digitale </w:t>
      </w:r>
      <w:proofErr w:type="spellStart"/>
      <w:r w:rsidR="00634136" w:rsidRPr="00DC196B">
        <w:t>stablecoins</w:t>
      </w:r>
      <w:proofErr w:type="spellEnd"/>
      <w:r w:rsidR="00634136" w:rsidRPr="00DC196B">
        <w:t xml:space="preserve">, der udstedes af begge enheder, vil være fuldt ud fungible og ikke </w:t>
      </w:r>
      <w:r w:rsidR="00634136" w:rsidRPr="00DC196B">
        <w:lastRenderedPageBreak/>
        <w:t xml:space="preserve">vil kunne skelnes fra hinanden; minder om, at ESRB har advaret om multiudstedelse som en potentiel smittekanal; understreger behovet for at sikre, at anvendelsen af sådanne ordninger i EU er baseret på retssikkerhed og en solid lovgivningsmæssig ramme, der giver stærke tilsynsmæssige sikkerhedsforanstaltninger, solide samarbejdsordninger og forbedrede krisestyringsprotokoller; understreger betydningen af at fremme international koordinering af reguleringen af og tilsynet med globale </w:t>
      </w:r>
      <w:proofErr w:type="spellStart"/>
      <w:r w:rsidR="00634136" w:rsidRPr="00DC196B">
        <w:t>stablecoins</w:t>
      </w:r>
      <w:proofErr w:type="spellEnd"/>
      <w:r w:rsidR="00634136" w:rsidRPr="00DC196B">
        <w:t xml:space="preserve"> med henblik på at udvikle internationale standarder;</w:t>
      </w:r>
    </w:p>
    <w:p w14:paraId="0FEEBD6C" w14:textId="21CD61C3" w:rsidR="00634136" w:rsidRPr="00DC196B" w:rsidRDefault="00B949D8" w:rsidP="00634136">
      <w:pPr>
        <w:pStyle w:val="NormalHanging12a"/>
      </w:pPr>
      <w:r>
        <w:t>23</w:t>
      </w:r>
      <w:r w:rsidR="00634136" w:rsidRPr="00DC196B">
        <w:t>.</w:t>
      </w:r>
      <w:r w:rsidR="00634136" w:rsidRPr="00DC196B">
        <w:tab/>
        <w:t>glæder sig over den foreløbige aftale om forslagene til et direktiv</w:t>
      </w:r>
      <w:r w:rsidR="001A3A0E">
        <w:rPr>
          <w:rStyle w:val="FootnoteReference"/>
        </w:rPr>
        <w:footnoteReference w:id="6"/>
      </w:r>
      <w:r w:rsidR="00634136" w:rsidRPr="00DC196B">
        <w:t xml:space="preserve"> og en forordning</w:t>
      </w:r>
      <w:r w:rsidR="001A3A0E">
        <w:rPr>
          <w:rStyle w:val="FootnoteReference"/>
        </w:rPr>
        <w:footnoteReference w:id="7"/>
      </w:r>
      <w:r w:rsidR="00634136" w:rsidRPr="00DC196B">
        <w:t xml:space="preserve"> om betalingstjenester og den forenklede godkendelsesløsning for udbydere af </w:t>
      </w:r>
      <w:proofErr w:type="spellStart"/>
      <w:r w:rsidR="00634136" w:rsidRPr="00DC196B">
        <w:t>kryptoaktivtjenester</w:t>
      </w:r>
      <w:proofErr w:type="spellEnd"/>
      <w:r w:rsidR="00634136" w:rsidRPr="00DC196B">
        <w:t xml:space="preserve">, der allerede er godkendt i henhold til </w:t>
      </w:r>
      <w:proofErr w:type="spellStart"/>
      <w:r w:rsidR="00634136" w:rsidRPr="00DC196B">
        <w:t>MiCA</w:t>
      </w:r>
      <w:proofErr w:type="spellEnd"/>
      <w:r w:rsidR="00634136" w:rsidRPr="00DC196B">
        <w:t>-forordningen, for at undgå unødvendige lovgivningsmæssige overlapninger, som vil være underlagt en strømlinet procedure, samtidig med at der opretholdes passende risikokontrol og kun leveres de tjenester, der er angivet i ansøgningen;</w:t>
      </w:r>
    </w:p>
    <w:p w14:paraId="54E58C3C" w14:textId="77777777" w:rsidR="00634136" w:rsidRPr="00DC196B" w:rsidRDefault="00634136" w:rsidP="00634136">
      <w:pPr>
        <w:pStyle w:val="Normal12a"/>
      </w:pPr>
      <w:r w:rsidRPr="00DC196B">
        <w:rPr>
          <w:b/>
          <w:i/>
        </w:rPr>
        <w:t>Tværgående overvejelser</w:t>
      </w:r>
    </w:p>
    <w:p w14:paraId="0541B5E3" w14:textId="1EE603DF" w:rsidR="00634136" w:rsidRPr="00DC196B" w:rsidRDefault="00B949D8" w:rsidP="00634136">
      <w:pPr>
        <w:pStyle w:val="NormalHanging12a"/>
      </w:pPr>
      <w:r>
        <w:t>24</w:t>
      </w:r>
      <w:r w:rsidR="00634136" w:rsidRPr="00DC196B">
        <w:t>.</w:t>
      </w:r>
      <w:r w:rsidR="00634136" w:rsidRPr="00DC196B">
        <w:tab/>
        <w:t xml:space="preserve">understreger, at </w:t>
      </w:r>
      <w:proofErr w:type="spellStart"/>
      <w:r w:rsidR="00634136" w:rsidRPr="00DC196B">
        <w:t>interoperabilitet</w:t>
      </w:r>
      <w:proofErr w:type="spellEnd"/>
      <w:r w:rsidR="00634136" w:rsidRPr="00DC196B">
        <w:t xml:space="preserve"> er afgørende inden for den digitale finans og f.eks. stiller krav om bærbar identitet og verificerbare legitimationsoplysninger som understøttende komponenter i markedsinfrastruktur på tværs af netværk; understreger, at tilgange til identifikatorer for juridiske enheder/verificerbare identifikatorer for juridiske enheder bør vurderes som infrastrukturelle værktøjer; opfordrer Kommissionen til at samarbejde med europæiske og internationale standardiseringsorganisationer om at udvikle fælles tekniske standarder og protokoller for digitale aktiver, intelligente kontrakter og digitale identiteter;</w:t>
      </w:r>
    </w:p>
    <w:p w14:paraId="44EB8202" w14:textId="792F3D80" w:rsidR="00634136" w:rsidRPr="00DC196B" w:rsidRDefault="00B949D8" w:rsidP="00634136">
      <w:pPr>
        <w:pStyle w:val="NormalHanging12a"/>
      </w:pPr>
      <w:r>
        <w:t>25</w:t>
      </w:r>
      <w:r w:rsidR="00634136" w:rsidRPr="00DC196B">
        <w:t>.</w:t>
      </w:r>
      <w:r w:rsidR="00634136" w:rsidRPr="00DC196B">
        <w:tab/>
        <w:t>glæder sig over de igangværende drøftelser om den digitale euro, herunder forberedelserne til både detail- og engrosanvendelse, og støtter de igangværende kortsigtede (Pontes) og langsigtede (</w:t>
      </w:r>
      <w:proofErr w:type="spellStart"/>
      <w:r w:rsidR="00634136" w:rsidRPr="00DC196B">
        <w:t>Appia</w:t>
      </w:r>
      <w:proofErr w:type="spellEnd"/>
      <w:r w:rsidR="00634136" w:rsidRPr="00DC196B">
        <w:t xml:space="preserve">) DLT-projekter for engrosafvikling af centralbankpenge; opfordrer Kommissionen og Den Europæiske Centralbank til at sikre, at de fremtidige løsninger i forbindelse med den digitale euro udformes, så de letter </w:t>
      </w:r>
      <w:proofErr w:type="spellStart"/>
      <w:r w:rsidR="00634136" w:rsidRPr="00DC196B">
        <w:t>interoperabilitet</w:t>
      </w:r>
      <w:proofErr w:type="spellEnd"/>
      <w:r w:rsidR="00634136" w:rsidRPr="00DC196B">
        <w:t xml:space="preserve"> med infrastrukturer inden for DLT-teknologi og sikrer komplementaritet sideløbende med kontanter;</w:t>
      </w:r>
    </w:p>
    <w:p w14:paraId="19E75794" w14:textId="2457603F" w:rsidR="00634136" w:rsidRPr="00DC196B" w:rsidRDefault="00B949D8" w:rsidP="00634136">
      <w:pPr>
        <w:pStyle w:val="NormalHanging12a"/>
      </w:pPr>
      <w:r>
        <w:t>26</w:t>
      </w:r>
      <w:r w:rsidR="00634136" w:rsidRPr="00DC196B">
        <w:t>.</w:t>
      </w:r>
      <w:r w:rsidR="00634136" w:rsidRPr="00DC196B">
        <w:tab/>
        <w:t>beklager EU's afhængighed af tjenesteudbydere uden for EU for så vidt angår DLT-infrastruktur; understreger, at den amerikanske regerings behandling af digitale aktiver bør overvåges med forsigtighed;</w:t>
      </w:r>
    </w:p>
    <w:p w14:paraId="5B177BDE" w14:textId="47141765" w:rsidR="00634136" w:rsidRPr="00DC196B" w:rsidRDefault="00B949D8" w:rsidP="00634136">
      <w:pPr>
        <w:pStyle w:val="NormalHanging12a"/>
      </w:pPr>
      <w:r>
        <w:t>27</w:t>
      </w:r>
      <w:r w:rsidR="00634136" w:rsidRPr="00DC196B">
        <w:t>.</w:t>
      </w:r>
      <w:r w:rsidR="00634136" w:rsidRPr="00DC196B">
        <w:tab/>
        <w:t xml:space="preserve">bemærker de igangværende drøftelser om tilsyn med udbydere af </w:t>
      </w:r>
      <w:proofErr w:type="spellStart"/>
      <w:r w:rsidR="00634136" w:rsidRPr="00DC196B">
        <w:t>kryptoaktivtjenester</w:t>
      </w:r>
      <w:proofErr w:type="spellEnd"/>
      <w:r w:rsidR="00634136" w:rsidRPr="00DC196B">
        <w:t xml:space="preserve"> hvad angår </w:t>
      </w:r>
      <w:proofErr w:type="spellStart"/>
      <w:r w:rsidR="00634136" w:rsidRPr="00DC196B">
        <w:t>ESMA's</w:t>
      </w:r>
      <w:proofErr w:type="spellEnd"/>
      <w:r w:rsidR="00634136" w:rsidRPr="00DC196B">
        <w:t xml:space="preserve"> rolle som led i markedsintegrations- og tilsynspakken;</w:t>
      </w:r>
    </w:p>
    <w:p w14:paraId="2EF7C8D8" w14:textId="77777777" w:rsidR="00634136" w:rsidRPr="00DC196B" w:rsidRDefault="00634136" w:rsidP="00634136">
      <w:pPr>
        <w:pStyle w:val="NormalCenter12a"/>
      </w:pPr>
      <w:r w:rsidRPr="00DC196B">
        <w:t>°</w:t>
      </w:r>
    </w:p>
    <w:p w14:paraId="72E0CE19" w14:textId="77777777" w:rsidR="00634136" w:rsidRPr="00DC196B" w:rsidRDefault="00634136" w:rsidP="00634136">
      <w:pPr>
        <w:pStyle w:val="NormalCenter12a"/>
      </w:pPr>
      <w:r w:rsidRPr="00DC196B">
        <w:lastRenderedPageBreak/>
        <w:t>°</w:t>
      </w:r>
      <w:r w:rsidRPr="00DC196B">
        <w:tab/>
        <w:t>°</w:t>
      </w:r>
    </w:p>
    <w:p w14:paraId="354F87CC" w14:textId="68D2549B" w:rsidR="00DC196B" w:rsidRPr="00DC196B" w:rsidRDefault="00B949D8" w:rsidP="00DC196B">
      <w:pPr>
        <w:pStyle w:val="NormalHanging12a"/>
      </w:pPr>
      <w:r>
        <w:t>28</w:t>
      </w:r>
      <w:r w:rsidR="00634136" w:rsidRPr="00DC196B">
        <w:t>.</w:t>
      </w:r>
      <w:r w:rsidR="00634136" w:rsidRPr="00DC196B">
        <w:tab/>
        <w:t>pålægger sin formand at sende denne beslutning til Rådet og Kommissionen.</w:t>
      </w:r>
    </w:p>
    <w:p w14:paraId="4C4583D2" w14:textId="512A51EB" w:rsidR="00E365E1" w:rsidRPr="00DC196B" w:rsidRDefault="00E365E1" w:rsidP="00AD514C"/>
    <w:sectPr w:rsidR="00E365E1" w:rsidRPr="00DC196B" w:rsidSect="00DC196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DBCA" w14:textId="77777777" w:rsidR="00AD514C" w:rsidRPr="00DC196B" w:rsidRDefault="00AD514C">
      <w:r w:rsidRPr="00DC196B">
        <w:separator/>
      </w:r>
    </w:p>
  </w:endnote>
  <w:endnote w:type="continuationSeparator" w:id="0">
    <w:p w14:paraId="53436195" w14:textId="77777777" w:rsidR="00AD514C" w:rsidRPr="00DC196B" w:rsidRDefault="00AD514C">
      <w:r w:rsidRPr="00DC19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F6205" w14:textId="77777777" w:rsidR="00064002" w:rsidRPr="00DC19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0530" w14:textId="77777777" w:rsidR="00064002" w:rsidRPr="00DC19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3329" w14:textId="77777777" w:rsidR="00064002" w:rsidRPr="00DC19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32CEC" w14:textId="77777777" w:rsidR="00AD514C" w:rsidRPr="00DC196B" w:rsidRDefault="00AD514C">
      <w:r w:rsidRPr="00DC196B">
        <w:separator/>
      </w:r>
    </w:p>
  </w:footnote>
  <w:footnote w:type="continuationSeparator" w:id="0">
    <w:p w14:paraId="36F2F99C" w14:textId="77777777" w:rsidR="00AD514C" w:rsidRPr="00DC196B" w:rsidRDefault="00AD514C">
      <w:r w:rsidRPr="00DC196B">
        <w:continuationSeparator/>
      </w:r>
    </w:p>
  </w:footnote>
  <w:footnote w:id="1">
    <w:p w14:paraId="58A431D6" w14:textId="450FFE31" w:rsidR="001A3A0E" w:rsidRPr="00301399" w:rsidRDefault="001A3A0E" w:rsidP="00DC196B">
      <w:pPr>
        <w:pStyle w:val="FootnoteText"/>
        <w:ind w:left="567" w:hanging="567"/>
        <w:rPr>
          <w:sz w:val="24"/>
          <w:lang w:val="en-GB"/>
        </w:rPr>
      </w:pPr>
      <w:r>
        <w:rPr>
          <w:rStyle w:val="FootnoteReference"/>
        </w:rPr>
        <w:footnoteRef/>
      </w:r>
      <w:r w:rsidRPr="00301399">
        <w:rPr>
          <w:sz w:val="24"/>
          <w:lang w:val="en-GB"/>
        </w:rPr>
        <w:t xml:space="preserve"> </w:t>
      </w:r>
      <w:r w:rsidRPr="00301399">
        <w:rPr>
          <w:sz w:val="24"/>
          <w:lang w:val="en-GB"/>
        </w:rPr>
        <w:tab/>
        <w:t xml:space="preserve">Den Internationale </w:t>
      </w:r>
      <w:proofErr w:type="spellStart"/>
      <w:r w:rsidRPr="00301399">
        <w:rPr>
          <w:sz w:val="24"/>
          <w:lang w:val="en-GB"/>
        </w:rPr>
        <w:t>Valutafond</w:t>
      </w:r>
      <w:proofErr w:type="spellEnd"/>
      <w:r w:rsidRPr="00301399">
        <w:rPr>
          <w:sz w:val="24"/>
          <w:lang w:val="en-GB"/>
        </w:rPr>
        <w:t xml:space="preserve">, "Stablecoins and the future of finance", Finance &amp; Development, bind 62, </w:t>
      </w:r>
      <w:proofErr w:type="spellStart"/>
      <w:r w:rsidRPr="00301399">
        <w:rPr>
          <w:sz w:val="24"/>
          <w:lang w:val="en-GB"/>
        </w:rPr>
        <w:t>udgave</w:t>
      </w:r>
      <w:proofErr w:type="spellEnd"/>
      <w:r w:rsidRPr="00301399">
        <w:rPr>
          <w:sz w:val="24"/>
          <w:lang w:val="en-GB"/>
        </w:rPr>
        <w:t xml:space="preserve"> 3, 3. </w:t>
      </w:r>
      <w:proofErr w:type="spellStart"/>
      <w:r w:rsidRPr="00301399">
        <w:rPr>
          <w:sz w:val="24"/>
          <w:lang w:val="en-GB"/>
        </w:rPr>
        <w:t>september</w:t>
      </w:r>
      <w:proofErr w:type="spellEnd"/>
      <w:r w:rsidRPr="00301399">
        <w:rPr>
          <w:sz w:val="24"/>
          <w:lang w:val="en-GB"/>
        </w:rPr>
        <w:t xml:space="preserve"> 2025, Den Internationale </w:t>
      </w:r>
      <w:proofErr w:type="spellStart"/>
      <w:r w:rsidRPr="00301399">
        <w:rPr>
          <w:sz w:val="24"/>
          <w:lang w:val="en-GB"/>
        </w:rPr>
        <w:t>Valutafond</w:t>
      </w:r>
      <w:proofErr w:type="spellEnd"/>
      <w:r w:rsidRPr="00301399">
        <w:rPr>
          <w:sz w:val="24"/>
          <w:lang w:val="en-GB"/>
        </w:rPr>
        <w:t xml:space="preserve">, Washington, </w:t>
      </w:r>
      <w:r>
        <w:fldChar w:fldCharType="begin"/>
      </w:r>
      <w:r w:rsidRPr="008E07A7">
        <w:rPr>
          <w:lang w:val="en-GB"/>
        </w:rPr>
        <w:instrText>HYPERLINK "https://doi.org/10.5089/9798400297649.022" \t "https://doi.org/10.5089/9798400297649.022"</w:instrText>
      </w:r>
      <w:r>
        <w:fldChar w:fldCharType="separate"/>
      </w:r>
      <w:r w:rsidRPr="00301399">
        <w:rPr>
          <w:rStyle w:val="Hyperlink"/>
          <w:sz w:val="24"/>
          <w:lang w:val="en-GB"/>
        </w:rPr>
        <w:t>https://doi.org/10.5089/9798400297649.022</w:t>
      </w:r>
      <w:r>
        <w:fldChar w:fldCharType="end"/>
      </w:r>
      <w:r w:rsidRPr="00301399">
        <w:rPr>
          <w:sz w:val="24"/>
          <w:lang w:val="en-GB"/>
        </w:rPr>
        <w:t>.</w:t>
      </w:r>
    </w:p>
  </w:footnote>
  <w:footnote w:id="2">
    <w:p w14:paraId="216F1661" w14:textId="4930CD28" w:rsidR="001A3A0E" w:rsidRPr="00DC196B" w:rsidRDefault="001A3A0E" w:rsidP="00DC196B">
      <w:pPr>
        <w:pStyle w:val="FootnoteText"/>
        <w:ind w:left="567" w:hanging="567"/>
        <w:rPr>
          <w:sz w:val="24"/>
          <w:lang w:val="da-DK"/>
        </w:rPr>
      </w:pPr>
      <w:r>
        <w:rPr>
          <w:rStyle w:val="FootnoteReference"/>
        </w:rPr>
        <w:footnoteRef/>
      </w:r>
      <w:r w:rsidRPr="00DC196B">
        <w:rPr>
          <w:sz w:val="24"/>
          <w:lang w:val="da-DK"/>
        </w:rPr>
        <w:t xml:space="preserve"> </w:t>
      </w:r>
      <w:r w:rsidRPr="00DC196B">
        <w:rPr>
          <w:sz w:val="24"/>
          <w:lang w:val="da-DK"/>
        </w:rPr>
        <w:tab/>
        <w:t>OECD's erhvervs- og finanspolitiske oplæg, nr. 75.</w:t>
      </w:r>
    </w:p>
  </w:footnote>
  <w:footnote w:id="3">
    <w:p w14:paraId="75F5EB27" w14:textId="3C742EA8" w:rsidR="001A3A0E" w:rsidRPr="00DC196B" w:rsidRDefault="001A3A0E" w:rsidP="00DC196B">
      <w:pPr>
        <w:pStyle w:val="FootnoteText"/>
        <w:ind w:left="567" w:hanging="567"/>
        <w:rPr>
          <w:sz w:val="24"/>
          <w:lang w:val="da-DK"/>
        </w:rPr>
      </w:pPr>
      <w:r>
        <w:rPr>
          <w:rStyle w:val="FootnoteReference"/>
        </w:rPr>
        <w:footnoteRef/>
      </w:r>
      <w:r w:rsidRPr="00DC196B">
        <w:rPr>
          <w:sz w:val="24"/>
          <w:lang w:val="da-DK"/>
        </w:rPr>
        <w:t xml:space="preserve"> </w:t>
      </w:r>
      <w:r w:rsidRPr="00DC196B">
        <w:rPr>
          <w:sz w:val="24"/>
          <w:lang w:val="da-DK"/>
        </w:rPr>
        <w:tab/>
        <w:t xml:space="preserve">Europa-Parlamentets og Rådets forordning (EU) 2022/858 af 30. maj 2022 om en pilotordning for markedsinfrastrukturer baseret på </w:t>
      </w:r>
      <w:proofErr w:type="spellStart"/>
      <w:r w:rsidRPr="00DC196B">
        <w:rPr>
          <w:sz w:val="24"/>
          <w:lang w:val="da-DK"/>
        </w:rPr>
        <w:t>distributed</w:t>
      </w:r>
      <w:proofErr w:type="spellEnd"/>
      <w:r w:rsidRPr="00DC196B">
        <w:rPr>
          <w:sz w:val="24"/>
          <w:lang w:val="da-DK"/>
        </w:rPr>
        <w:t> </w:t>
      </w:r>
      <w:proofErr w:type="spellStart"/>
      <w:r w:rsidRPr="00DC196B">
        <w:rPr>
          <w:sz w:val="24"/>
          <w:lang w:val="da-DK"/>
        </w:rPr>
        <w:t>ledger</w:t>
      </w:r>
      <w:proofErr w:type="spellEnd"/>
      <w:r w:rsidRPr="00DC196B">
        <w:rPr>
          <w:sz w:val="24"/>
          <w:lang w:val="da-DK"/>
        </w:rPr>
        <w:t xml:space="preserve">-teknologi og om ændring af forordning (EU) nr. 600/2014 og (EU) nr. 909/2014 og direktiv 2014/65/EU (EUT L 151 af 2.6.2022, s. 1, ELI: </w:t>
      </w:r>
      <w:r>
        <w:fldChar w:fldCharType="begin"/>
      </w:r>
      <w:r w:rsidRPr="008E07A7">
        <w:rPr>
          <w:lang w:val="da-DK"/>
        </w:rPr>
        <w:instrText>HYPERLINK "http://data.europa.eu/eli/reg/2022/858/oj" \t "http://data.europa.eu/eli/reg/2022/858/oj"</w:instrText>
      </w:r>
      <w:r>
        <w:fldChar w:fldCharType="separate"/>
      </w:r>
      <w:r w:rsidRPr="00DC196B">
        <w:rPr>
          <w:rStyle w:val="Hyperlink"/>
          <w:sz w:val="24"/>
          <w:lang w:val="da-DK"/>
        </w:rPr>
        <w:t>http://data.europa.eu/eli/reg/2022/858/oj)</w:t>
      </w:r>
      <w:r>
        <w:fldChar w:fldCharType="end"/>
      </w:r>
      <w:r w:rsidRPr="00DC196B">
        <w:rPr>
          <w:sz w:val="24"/>
          <w:lang w:val="da-DK"/>
        </w:rPr>
        <w:t>.</w:t>
      </w:r>
    </w:p>
  </w:footnote>
  <w:footnote w:id="4">
    <w:p w14:paraId="09A6B363" w14:textId="534401F7" w:rsidR="001A3A0E" w:rsidRPr="00DC196B" w:rsidRDefault="001A3A0E" w:rsidP="00DC196B">
      <w:pPr>
        <w:pStyle w:val="FootnoteText"/>
        <w:ind w:left="567" w:hanging="567"/>
        <w:rPr>
          <w:sz w:val="24"/>
          <w:lang w:val="da-DK"/>
        </w:rPr>
      </w:pPr>
      <w:r>
        <w:rPr>
          <w:rStyle w:val="FootnoteReference"/>
        </w:rPr>
        <w:footnoteRef/>
      </w:r>
      <w:r w:rsidRPr="00DC196B">
        <w:rPr>
          <w:sz w:val="24"/>
          <w:lang w:val="da-DK"/>
        </w:rPr>
        <w:t xml:space="preserve"> </w:t>
      </w:r>
      <w:r w:rsidRPr="00DC196B">
        <w:rPr>
          <w:sz w:val="24"/>
          <w:lang w:val="da-DK"/>
        </w:rPr>
        <w:tab/>
        <w:t xml:space="preserve">Europa-Parlamentets og Rådets forordning (EU) 2023/1114 af 31. maj 2023 om markeder for </w:t>
      </w:r>
      <w:proofErr w:type="spellStart"/>
      <w:r w:rsidRPr="00DC196B">
        <w:rPr>
          <w:sz w:val="24"/>
          <w:lang w:val="da-DK"/>
        </w:rPr>
        <w:t>kryptoaktiver</w:t>
      </w:r>
      <w:proofErr w:type="spellEnd"/>
      <w:r w:rsidRPr="00DC196B">
        <w:rPr>
          <w:sz w:val="24"/>
          <w:lang w:val="da-DK"/>
        </w:rPr>
        <w:t xml:space="preserve"> og om ændring af forordning (EU) nr. 1093/2010 og (EU) nr. 1095/2010 og direktiv 2013/36/EU og (EU) 2019/1937 (EUT L 150 af 9.6.2023, s. 40, ELI: </w:t>
      </w:r>
      <w:r>
        <w:fldChar w:fldCharType="begin"/>
      </w:r>
      <w:r w:rsidRPr="008E07A7">
        <w:rPr>
          <w:lang w:val="da-DK"/>
        </w:rPr>
        <w:instrText>HYPERLINK "http://data.europa.eu/eli/reg/2023/1114/oj" \t "http://data.europa.eu/eli/reg/2023/1114/oj"</w:instrText>
      </w:r>
      <w:r>
        <w:fldChar w:fldCharType="separate"/>
      </w:r>
      <w:r w:rsidRPr="00DC196B">
        <w:rPr>
          <w:rStyle w:val="Hyperlink"/>
          <w:sz w:val="24"/>
          <w:lang w:val="da-DK"/>
        </w:rPr>
        <w:t>http://data.europa.eu/eli/reg/2023/1114/oj</w:t>
      </w:r>
      <w:r>
        <w:fldChar w:fldCharType="end"/>
      </w:r>
      <w:r w:rsidRPr="00DC196B">
        <w:rPr>
          <w:sz w:val="24"/>
          <w:lang w:val="da-DK"/>
        </w:rPr>
        <w:t>).</w:t>
      </w:r>
    </w:p>
  </w:footnote>
  <w:footnote w:id="5">
    <w:p w14:paraId="669B12FE" w14:textId="0D497113" w:rsidR="001A3A0E" w:rsidRPr="00DC196B" w:rsidRDefault="001A3A0E" w:rsidP="00DC196B">
      <w:pPr>
        <w:pStyle w:val="FootnoteText"/>
        <w:ind w:left="567" w:hanging="567"/>
        <w:rPr>
          <w:sz w:val="24"/>
          <w:lang w:val="da-DK"/>
        </w:rPr>
      </w:pPr>
      <w:r>
        <w:rPr>
          <w:rStyle w:val="FootnoteReference"/>
        </w:rPr>
        <w:footnoteRef/>
      </w:r>
      <w:r w:rsidRPr="00DC196B">
        <w:rPr>
          <w:sz w:val="24"/>
          <w:lang w:val="da-DK"/>
        </w:rPr>
        <w:t xml:space="preserve"> </w:t>
      </w:r>
      <w:r w:rsidRPr="00DC196B">
        <w:rPr>
          <w:sz w:val="24"/>
          <w:lang w:val="da-DK"/>
        </w:rPr>
        <w:tab/>
        <w:t xml:space="preserve">Europa-Parlamentets og Rådets forordning (EU) 2023/1113 af 31. maj 2023 om oplysninger, der skal medsendes ved pengeoverførsler og ved overførsler af visse </w:t>
      </w:r>
      <w:proofErr w:type="spellStart"/>
      <w:r w:rsidRPr="00DC196B">
        <w:rPr>
          <w:sz w:val="24"/>
          <w:lang w:val="da-DK"/>
        </w:rPr>
        <w:t>kryptoaktiver</w:t>
      </w:r>
      <w:proofErr w:type="spellEnd"/>
      <w:r w:rsidRPr="00DC196B">
        <w:rPr>
          <w:sz w:val="24"/>
          <w:lang w:val="da-DK"/>
        </w:rPr>
        <w:t xml:space="preserve"> og om ændring af direktiv (EU) 2015/849 (EUT L 150</w:t>
      </w:r>
      <w:r w:rsidR="00101101">
        <w:rPr>
          <w:sz w:val="24"/>
          <w:lang w:val="da-DK"/>
        </w:rPr>
        <w:t xml:space="preserve"> af 9.6.2023,</w:t>
      </w:r>
      <w:r w:rsidRPr="00DC196B">
        <w:rPr>
          <w:sz w:val="24"/>
          <w:lang w:val="da-DK"/>
        </w:rPr>
        <w:t xml:space="preserve"> s. 1, ELI:  </w:t>
      </w:r>
      <w:r>
        <w:fldChar w:fldCharType="begin"/>
      </w:r>
      <w:r w:rsidRPr="008E07A7">
        <w:rPr>
          <w:lang w:val="da-DK"/>
        </w:rPr>
        <w:instrText>HYPERLINK "http://data.europa.eu/eli/reg/2023/1113/oj" \t "http://data.europa.eu/eli/reg/2023/1113/oj"</w:instrText>
      </w:r>
      <w:r>
        <w:fldChar w:fldCharType="separate"/>
      </w:r>
      <w:r w:rsidRPr="00DC196B">
        <w:rPr>
          <w:rStyle w:val="Hyperlink"/>
          <w:sz w:val="24"/>
          <w:lang w:val="da-DK"/>
        </w:rPr>
        <w:t>http://data.europa.eu/eli/reg/2023/1113/oj</w:t>
      </w:r>
      <w:r>
        <w:fldChar w:fldCharType="end"/>
      </w:r>
      <w:r w:rsidRPr="00DC196B">
        <w:rPr>
          <w:sz w:val="24"/>
          <w:lang w:val="da-DK"/>
        </w:rPr>
        <w:t>).</w:t>
      </w:r>
    </w:p>
  </w:footnote>
  <w:footnote w:id="6">
    <w:p w14:paraId="4D547536" w14:textId="6BA49185" w:rsidR="001A3A0E" w:rsidRPr="00DC196B" w:rsidRDefault="001A3A0E" w:rsidP="00DC196B">
      <w:pPr>
        <w:pStyle w:val="FootnoteText"/>
        <w:ind w:left="567" w:hanging="567"/>
        <w:rPr>
          <w:sz w:val="24"/>
          <w:lang w:val="da-DK"/>
        </w:rPr>
      </w:pPr>
      <w:r>
        <w:rPr>
          <w:rStyle w:val="FootnoteReference"/>
        </w:rPr>
        <w:footnoteRef/>
      </w:r>
      <w:r w:rsidRPr="00DC196B">
        <w:rPr>
          <w:sz w:val="24"/>
          <w:lang w:val="da-DK"/>
        </w:rPr>
        <w:t xml:space="preserve"> </w:t>
      </w:r>
      <w:r w:rsidRPr="00DC196B">
        <w:rPr>
          <w:sz w:val="24"/>
          <w:lang w:val="da-DK"/>
        </w:rPr>
        <w:tab/>
        <w:t>Kommissionens forslag af 28. juni 2023 til Europa-Parlamentets og Rådets direktiv om betalingstjenester og elektroniske pengetjenester i det indre marked, om ændring af direktiv 98/26/EF og om ophævelse af direktiv (EU) 2015/2366 og 2009/110/EF (</w:t>
      </w:r>
      <w:proofErr w:type="gramStart"/>
      <w:r w:rsidRPr="00DC196B">
        <w:rPr>
          <w:sz w:val="24"/>
          <w:lang w:val="da-DK"/>
        </w:rPr>
        <w:t>COM(</w:t>
      </w:r>
      <w:proofErr w:type="gramEnd"/>
      <w:r w:rsidRPr="00DC196B">
        <w:rPr>
          <w:sz w:val="24"/>
          <w:lang w:val="da-DK"/>
        </w:rPr>
        <w:t>2023)0366).</w:t>
      </w:r>
    </w:p>
  </w:footnote>
  <w:footnote w:id="7">
    <w:p w14:paraId="5CFB93D8" w14:textId="2F4888AC" w:rsidR="001A3A0E" w:rsidRPr="00DC196B" w:rsidRDefault="001A3A0E" w:rsidP="00DC196B">
      <w:pPr>
        <w:pStyle w:val="FootnoteText"/>
        <w:ind w:left="567" w:hanging="567"/>
        <w:rPr>
          <w:sz w:val="24"/>
          <w:lang w:val="da-DK"/>
        </w:rPr>
      </w:pPr>
      <w:r>
        <w:rPr>
          <w:rStyle w:val="FootnoteReference"/>
        </w:rPr>
        <w:footnoteRef/>
      </w:r>
      <w:r w:rsidRPr="00DC196B">
        <w:rPr>
          <w:sz w:val="24"/>
          <w:lang w:val="da-DK"/>
        </w:rPr>
        <w:t xml:space="preserve"> </w:t>
      </w:r>
      <w:r w:rsidRPr="00DC196B">
        <w:rPr>
          <w:sz w:val="24"/>
          <w:lang w:val="da-DK"/>
        </w:rPr>
        <w:tab/>
        <w:t>Kommissionens forslag af 28. juni 2023 til Europa-Parlamentets og Rådets forordning om betalingstjenester i det indre marked og om ændring af forordning (EU) nr. 1093/2010 (</w:t>
      </w:r>
      <w:proofErr w:type="gramStart"/>
      <w:r w:rsidRPr="00DC196B">
        <w:rPr>
          <w:sz w:val="24"/>
          <w:lang w:val="da-DK"/>
        </w:rPr>
        <w:t>COM(</w:t>
      </w:r>
      <w:proofErr w:type="gramEnd"/>
      <w:r w:rsidRPr="00DC196B">
        <w:rPr>
          <w:sz w:val="24"/>
          <w:lang w:val="da-DK"/>
        </w:rPr>
        <w:t>2023)0367).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DD0B5" w14:textId="77777777" w:rsidR="00064002" w:rsidRPr="00DC19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B6EC" w14:textId="77777777" w:rsidR="00064002" w:rsidRPr="00DC19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BEB2" w14:textId="77777777" w:rsidR="00064002" w:rsidRPr="00DC19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2120657">
    <w:abstractNumId w:val="9"/>
  </w:num>
  <w:num w:numId="2" w16cid:durableId="276714902">
    <w:abstractNumId w:val="9"/>
  </w:num>
  <w:num w:numId="3" w16cid:durableId="427967588">
    <w:abstractNumId w:val="7"/>
  </w:num>
  <w:num w:numId="4" w16cid:durableId="1589538801">
    <w:abstractNumId w:val="7"/>
  </w:num>
  <w:num w:numId="5" w16cid:durableId="784079149">
    <w:abstractNumId w:val="6"/>
  </w:num>
  <w:num w:numId="6" w16cid:durableId="1350058908">
    <w:abstractNumId w:val="6"/>
  </w:num>
  <w:num w:numId="7" w16cid:durableId="1364667844">
    <w:abstractNumId w:val="5"/>
  </w:num>
  <w:num w:numId="8" w16cid:durableId="283540768">
    <w:abstractNumId w:val="5"/>
  </w:num>
  <w:num w:numId="9" w16cid:durableId="1190413696">
    <w:abstractNumId w:val="4"/>
  </w:num>
  <w:num w:numId="10" w16cid:durableId="1488085166">
    <w:abstractNumId w:val="4"/>
  </w:num>
  <w:num w:numId="11" w16cid:durableId="925653463">
    <w:abstractNumId w:val="8"/>
  </w:num>
  <w:num w:numId="12" w16cid:durableId="1594702114">
    <w:abstractNumId w:val="8"/>
  </w:num>
  <w:num w:numId="13" w16cid:durableId="857889136">
    <w:abstractNumId w:val="3"/>
  </w:num>
  <w:num w:numId="14" w16cid:durableId="700782122">
    <w:abstractNumId w:val="3"/>
  </w:num>
  <w:num w:numId="15" w16cid:durableId="1132678674">
    <w:abstractNumId w:val="2"/>
  </w:num>
  <w:num w:numId="16" w16cid:durableId="1484351546">
    <w:abstractNumId w:val="2"/>
  </w:num>
  <w:num w:numId="17" w16cid:durableId="862861920">
    <w:abstractNumId w:val="1"/>
  </w:num>
  <w:num w:numId="18" w16cid:durableId="94521440">
    <w:abstractNumId w:val="1"/>
  </w:num>
  <w:num w:numId="19" w16cid:durableId="387612085">
    <w:abstractNumId w:val="0"/>
  </w:num>
  <w:num w:numId="20" w16cid:durableId="1109159797">
    <w:abstractNumId w:val="0"/>
  </w:num>
  <w:num w:numId="21" w16cid:durableId="1639722942">
    <w:abstractNumId w:val="9"/>
  </w:num>
  <w:num w:numId="22" w16cid:durableId="1869679479">
    <w:abstractNumId w:val="7"/>
  </w:num>
  <w:num w:numId="23" w16cid:durableId="2040278993">
    <w:abstractNumId w:val="6"/>
  </w:num>
  <w:num w:numId="24" w16cid:durableId="2121073163">
    <w:abstractNumId w:val="5"/>
  </w:num>
  <w:num w:numId="25" w16cid:durableId="672803793">
    <w:abstractNumId w:val="4"/>
  </w:num>
  <w:num w:numId="26" w16cid:durableId="785006091">
    <w:abstractNumId w:val="8"/>
  </w:num>
  <w:num w:numId="27" w16cid:durableId="1528106363">
    <w:abstractNumId w:val="3"/>
  </w:num>
  <w:num w:numId="28" w16cid:durableId="975375491">
    <w:abstractNumId w:val="2"/>
  </w:num>
  <w:num w:numId="29" w16cid:durableId="834299359">
    <w:abstractNumId w:val="1"/>
  </w:num>
  <w:num w:numId="30" w16cid:durableId="72240899">
    <w:abstractNumId w:val="0"/>
  </w:num>
  <w:num w:numId="31" w16cid:durableId="153032070">
    <w:abstractNumId w:val="9"/>
  </w:num>
  <w:num w:numId="32" w16cid:durableId="1017805255">
    <w:abstractNumId w:val="7"/>
  </w:num>
  <w:num w:numId="33" w16cid:durableId="1413115304">
    <w:abstractNumId w:val="6"/>
  </w:num>
  <w:num w:numId="34" w16cid:durableId="1488126471">
    <w:abstractNumId w:val="5"/>
  </w:num>
  <w:num w:numId="35" w16cid:durableId="960645588">
    <w:abstractNumId w:val="4"/>
  </w:num>
  <w:num w:numId="36" w16cid:durableId="2103718577">
    <w:abstractNumId w:val="8"/>
  </w:num>
  <w:num w:numId="37" w16cid:durableId="171922406">
    <w:abstractNumId w:val="3"/>
  </w:num>
  <w:num w:numId="38" w16cid:durableId="52891633">
    <w:abstractNumId w:val="2"/>
  </w:num>
  <w:num w:numId="39" w16cid:durableId="1298532619">
    <w:abstractNumId w:val="1"/>
  </w:num>
  <w:num w:numId="40" w16cid:durableId="2014798190">
    <w:abstractNumId w:val="0"/>
  </w:num>
  <w:num w:numId="41" w16cid:durableId="1991206488">
    <w:abstractNumId w:val="10"/>
  </w:num>
  <w:num w:numId="42" w16cid:durableId="1013993078">
    <w:abstractNumId w:val="10"/>
  </w:num>
  <w:num w:numId="43" w16cid:durableId="1405757966">
    <w:abstractNumId w:val="10"/>
  </w:num>
  <w:num w:numId="44" w16cid:durableId="7866604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DA"/>
    <w:docVar w:name="dvnumam" w:val="0"/>
    <w:docVar w:name="dvpe" w:val="784.381"/>
    <w:docVar w:name="dvrapporteur" w:val="Ordfører: "/>
    <w:docVar w:name="dvtitre" w:val="Europa-Parlamentets beslutning af xx.xx 2026 om digitale aktiver – udfordringer for konkurrenceevnen og integriteten i Den Europæiske Unions finansielle system(2025/2208(INI))"/>
  </w:docVars>
  <w:rsids>
    <w:rsidRoot w:val="00AD514C"/>
    <w:rsid w:val="00002272"/>
    <w:rsid w:val="00064002"/>
    <w:rsid w:val="000677B9"/>
    <w:rsid w:val="000831BA"/>
    <w:rsid w:val="000A42CC"/>
    <w:rsid w:val="000E7DD9"/>
    <w:rsid w:val="0010095E"/>
    <w:rsid w:val="00101101"/>
    <w:rsid w:val="00125B37"/>
    <w:rsid w:val="00187494"/>
    <w:rsid w:val="001A3A0E"/>
    <w:rsid w:val="001F32AE"/>
    <w:rsid w:val="00221CD3"/>
    <w:rsid w:val="002767FF"/>
    <w:rsid w:val="002B18FE"/>
    <w:rsid w:val="002B5493"/>
    <w:rsid w:val="00301399"/>
    <w:rsid w:val="00343214"/>
    <w:rsid w:val="00361C00"/>
    <w:rsid w:val="00395FA1"/>
    <w:rsid w:val="003A21BE"/>
    <w:rsid w:val="003E15D4"/>
    <w:rsid w:val="00411CCE"/>
    <w:rsid w:val="0041666E"/>
    <w:rsid w:val="00421060"/>
    <w:rsid w:val="004659B9"/>
    <w:rsid w:val="00471C19"/>
    <w:rsid w:val="004867E3"/>
    <w:rsid w:val="00494A28"/>
    <w:rsid w:val="004B3FA5"/>
    <w:rsid w:val="004C0004"/>
    <w:rsid w:val="004C5D52"/>
    <w:rsid w:val="0050519A"/>
    <w:rsid w:val="005072A1"/>
    <w:rsid w:val="00514517"/>
    <w:rsid w:val="00545827"/>
    <w:rsid w:val="00560270"/>
    <w:rsid w:val="00564C6D"/>
    <w:rsid w:val="005C2568"/>
    <w:rsid w:val="005F1B17"/>
    <w:rsid w:val="006037C0"/>
    <w:rsid w:val="00634136"/>
    <w:rsid w:val="006631B6"/>
    <w:rsid w:val="00680577"/>
    <w:rsid w:val="006F74FA"/>
    <w:rsid w:val="00731ADD"/>
    <w:rsid w:val="00734777"/>
    <w:rsid w:val="00747932"/>
    <w:rsid w:val="00751A4A"/>
    <w:rsid w:val="00756632"/>
    <w:rsid w:val="00762C74"/>
    <w:rsid w:val="00786EC0"/>
    <w:rsid w:val="007D1690"/>
    <w:rsid w:val="007E22AD"/>
    <w:rsid w:val="00817416"/>
    <w:rsid w:val="00833DA7"/>
    <w:rsid w:val="00842779"/>
    <w:rsid w:val="00865F67"/>
    <w:rsid w:val="00881A7B"/>
    <w:rsid w:val="008840E5"/>
    <w:rsid w:val="00887B3E"/>
    <w:rsid w:val="008C2AC6"/>
    <w:rsid w:val="008E07A7"/>
    <w:rsid w:val="00930C23"/>
    <w:rsid w:val="0093193B"/>
    <w:rsid w:val="009509D8"/>
    <w:rsid w:val="00950B64"/>
    <w:rsid w:val="00981893"/>
    <w:rsid w:val="00A1687D"/>
    <w:rsid w:val="00A43E52"/>
    <w:rsid w:val="00A4678D"/>
    <w:rsid w:val="00A778C7"/>
    <w:rsid w:val="00AB441E"/>
    <w:rsid w:val="00AB6293"/>
    <w:rsid w:val="00AD514C"/>
    <w:rsid w:val="00AE0928"/>
    <w:rsid w:val="00AF3B82"/>
    <w:rsid w:val="00B12E95"/>
    <w:rsid w:val="00B22876"/>
    <w:rsid w:val="00B558F0"/>
    <w:rsid w:val="00B949D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96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136A4"/>
  <w15:chartTrackingRefBased/>
  <w15:docId w15:val="{DEC4D442-18A4-44F0-9B0A-701AD556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34136"/>
    <w:pPr>
      <w:widowControl/>
      <w:spacing w:after="240"/>
    </w:pPr>
    <w:rPr>
      <w:szCs w:val="24"/>
      <w:lang w:eastAsia="en-US"/>
    </w:rPr>
  </w:style>
  <w:style w:type="paragraph" w:customStyle="1" w:styleId="NormalHanging12a">
    <w:name w:val="NormalHanging12a"/>
    <w:basedOn w:val="Normal"/>
    <w:rsid w:val="00634136"/>
    <w:pPr>
      <w:widowControl/>
      <w:spacing w:after="240"/>
      <w:ind w:left="566" w:hanging="566"/>
    </w:pPr>
    <w:rPr>
      <w:szCs w:val="24"/>
      <w:lang w:eastAsia="en-US"/>
    </w:rPr>
  </w:style>
  <w:style w:type="paragraph" w:customStyle="1" w:styleId="Normal12">
    <w:name w:val="Normal12"/>
    <w:basedOn w:val="Normal"/>
    <w:rsid w:val="00634136"/>
    <w:pPr>
      <w:spacing w:after="240"/>
    </w:pPr>
    <w:rPr>
      <w:szCs w:val="24"/>
      <w:lang w:eastAsia="en-US"/>
    </w:rPr>
  </w:style>
  <w:style w:type="paragraph" w:customStyle="1" w:styleId="NormalHanging">
    <w:name w:val="NormalHanging"/>
    <w:basedOn w:val="Normal"/>
    <w:rsid w:val="00634136"/>
    <w:pPr>
      <w:spacing w:after="240"/>
      <w:ind w:left="566" w:hanging="566"/>
    </w:pPr>
    <w:rPr>
      <w:szCs w:val="24"/>
      <w:lang w:eastAsia="en-US"/>
    </w:rPr>
  </w:style>
  <w:style w:type="paragraph" w:customStyle="1" w:styleId="NormalCenter12a">
    <w:name w:val="NormalCenter12a"/>
    <w:basedOn w:val="Normal"/>
    <w:rsid w:val="00634136"/>
    <w:pPr>
      <w:widowControl/>
      <w:spacing w:after="240"/>
      <w:jc w:val="center"/>
    </w:pPr>
    <w:rPr>
      <w:szCs w:val="24"/>
      <w:lang w:eastAsia="en-US"/>
    </w:rPr>
  </w:style>
  <w:style w:type="character" w:styleId="Hyperlink">
    <w:name w:val="Hyperlink"/>
    <w:basedOn w:val="DefaultParagraphFont"/>
    <w:rsid w:val="00634136"/>
    <w:rPr>
      <w:color w:val="0000FF"/>
      <w:u w:val="single"/>
    </w:rPr>
  </w:style>
  <w:style w:type="paragraph" w:styleId="Revision">
    <w:name w:val="Revision"/>
    <w:hidden/>
    <w:uiPriority w:val="99"/>
    <w:semiHidden/>
    <w:rsid w:val="00564C6D"/>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2444</Words>
  <Characters>16683</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2026-07-07T13:11:00Z</dcterms:created>
  <dcterms:modified xsi:type="dcterms:W3CDTF">2026-07-07T13:11:00Z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A10-0186/2026</vt:lpwstr>
  </property>
  <property fmtid="{D5CDD505-2E9C-101B-9397-08002B2CF9AE}" pid="4" name="&lt;Type&gt;">
    <vt:lpwstr>RR</vt:lpwstr>
  </property>
</Properties>
</file>