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4522" w14:paraId="330125C1" w14:textId="77777777" w:rsidTr="0010095E">
        <w:trPr>
          <w:trHeight w:hRule="exact" w:val="1418"/>
        </w:trPr>
        <w:tc>
          <w:tcPr>
            <w:tcW w:w="6804" w:type="dxa"/>
            <w:shd w:val="clear" w:color="auto" w:fill="auto"/>
            <w:vAlign w:val="center"/>
          </w:tcPr>
          <w:p w14:paraId="7D17FEC6" w14:textId="77777777" w:rsidR="00751A4A" w:rsidRPr="009B4522" w:rsidRDefault="00A80434" w:rsidP="0010095E">
            <w:pPr>
              <w:pStyle w:val="EPName"/>
            </w:pPr>
            <w:r w:rsidRPr="009B4522">
              <w:t>Ευρωπαϊκό Κοινοβούλιο</w:t>
            </w:r>
          </w:p>
          <w:p w14:paraId="1C95F608" w14:textId="77777777" w:rsidR="00751A4A" w:rsidRPr="009B4522" w:rsidRDefault="005F1B17" w:rsidP="005F1B17">
            <w:pPr>
              <w:pStyle w:val="EPTerm"/>
              <w:rPr>
                <w:rStyle w:val="HideTWBExt"/>
                <w:noProof w:val="0"/>
                <w:vanish w:val="0"/>
                <w:color w:val="auto"/>
              </w:rPr>
            </w:pPr>
            <w:r w:rsidRPr="009B4522">
              <w:t>2024</w:t>
            </w:r>
            <w:r w:rsidR="00817416" w:rsidRPr="009B4522">
              <w:t>-202</w:t>
            </w:r>
            <w:r w:rsidRPr="009B4522">
              <w:t>9</w:t>
            </w:r>
          </w:p>
        </w:tc>
        <w:tc>
          <w:tcPr>
            <w:tcW w:w="2268" w:type="dxa"/>
            <w:shd w:val="clear" w:color="auto" w:fill="auto"/>
          </w:tcPr>
          <w:p w14:paraId="400C4D60" w14:textId="77777777" w:rsidR="00751A4A" w:rsidRPr="009B4522" w:rsidRDefault="00187494" w:rsidP="0010095E">
            <w:pPr>
              <w:pStyle w:val="EPLogo"/>
            </w:pPr>
            <w:r w:rsidRPr="009B4522">
              <w:rPr>
                <w:noProof/>
                <w:lang w:eastAsia="ja-JP"/>
              </w:rPr>
              <w:drawing>
                <wp:inline distT="0" distB="0" distL="0" distR="0" wp14:anchorId="41EA103C" wp14:editId="4B7D93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123AB3" w14:textId="77777777" w:rsidR="00D058B8" w:rsidRPr="009B4522" w:rsidRDefault="00D058B8" w:rsidP="004C5D52">
      <w:pPr>
        <w:pStyle w:val="LineTop"/>
      </w:pPr>
    </w:p>
    <w:p w14:paraId="2C62B9D9" w14:textId="77777777" w:rsidR="00680577" w:rsidRPr="009B4522" w:rsidRDefault="00A80434" w:rsidP="00680577">
      <w:pPr>
        <w:pStyle w:val="EPBodyTA1"/>
      </w:pPr>
      <w:r w:rsidRPr="009B4522">
        <w:t>ΚΕΙΜΕΝΑ ΠΟΥ ΕΓΚΡΙΘΗΚΑΝ</w:t>
      </w:r>
    </w:p>
    <w:p w14:paraId="628084FC" w14:textId="77777777" w:rsidR="00D058B8" w:rsidRPr="009B4522" w:rsidRDefault="00D058B8" w:rsidP="00D058B8">
      <w:pPr>
        <w:pStyle w:val="LineBottom"/>
      </w:pPr>
    </w:p>
    <w:p w14:paraId="777A9880" w14:textId="562A9598" w:rsidR="00A80434" w:rsidRPr="009B4522" w:rsidRDefault="00A80434" w:rsidP="00A80434">
      <w:pPr>
        <w:pStyle w:val="ATHeading1"/>
      </w:pPr>
      <w:bookmarkStart w:id="0" w:name="TANumber"/>
      <w:r w:rsidRPr="009B4522">
        <w:t>P10_TA(2026)0</w:t>
      </w:r>
      <w:r w:rsidR="00497457">
        <w:t>251</w:t>
      </w:r>
      <w:bookmarkEnd w:id="0"/>
    </w:p>
    <w:p w14:paraId="3539685A" w14:textId="25B25940" w:rsidR="00A80434" w:rsidRPr="009B4522" w:rsidRDefault="008154B8" w:rsidP="008154B8">
      <w:pPr>
        <w:pStyle w:val="ATHeading2"/>
      </w:pPr>
      <w:bookmarkStart w:id="1" w:name="title"/>
      <w:r>
        <w:t xml:space="preserve">Ψηφιακά περιουσιακά στοιχεία </w:t>
      </w:r>
      <w:r w:rsidR="00001F94">
        <w:t>–</w:t>
      </w:r>
      <w:r>
        <w:t xml:space="preserve"> προκλήσεις για την ανταγωνιστικότητα και την ακεραιότητα του χρηματοπιστωτικού συστήματος της Ευρωπαϊκής Ένωσης</w:t>
      </w:r>
      <w:bookmarkEnd w:id="1"/>
    </w:p>
    <w:p w14:paraId="7665164A" w14:textId="77777777" w:rsidR="00A80434" w:rsidRPr="009B4522" w:rsidRDefault="00A80434" w:rsidP="00A80434">
      <w:pPr>
        <w:rPr>
          <w:i/>
          <w:vanish/>
        </w:rPr>
      </w:pPr>
      <w:r w:rsidRPr="009B4522">
        <w:rPr>
          <w:i/>
        </w:rPr>
        <w:fldChar w:fldCharType="begin"/>
      </w:r>
      <w:r w:rsidRPr="009B4522">
        <w:rPr>
          <w:i/>
        </w:rPr>
        <w:instrText xml:space="preserve"> TC"(</w:instrText>
      </w:r>
      <w:bookmarkStart w:id="2" w:name="DocNumber"/>
      <w:r w:rsidRPr="009B4522">
        <w:rPr>
          <w:i/>
        </w:rPr>
        <w:instrText>A10-0186/2026</w:instrText>
      </w:r>
      <w:bookmarkEnd w:id="2"/>
      <w:r w:rsidRPr="009B4522">
        <w:rPr>
          <w:i/>
        </w:rPr>
        <w:instrText xml:space="preserve"> - Εισηγητής: Johan Van Overtveldt)"\l3 \n&gt; \* MERGEFORMAT </w:instrText>
      </w:r>
      <w:r w:rsidRPr="009B4522">
        <w:rPr>
          <w:i/>
        </w:rPr>
        <w:fldChar w:fldCharType="end"/>
      </w:r>
    </w:p>
    <w:p w14:paraId="1F150DAB" w14:textId="77777777" w:rsidR="00A80434" w:rsidRPr="009B4522" w:rsidRDefault="00A80434" w:rsidP="00A80434">
      <w:pPr>
        <w:rPr>
          <w:vanish/>
        </w:rPr>
      </w:pPr>
      <w:bookmarkStart w:id="3" w:name="Commission"/>
      <w:r w:rsidRPr="009B4522">
        <w:rPr>
          <w:vanish/>
        </w:rPr>
        <w:t>Επιτροπή Οικονομικής και Νομισματικής Πολιτικής</w:t>
      </w:r>
      <w:bookmarkEnd w:id="3"/>
    </w:p>
    <w:p w14:paraId="05BA2B79" w14:textId="77777777" w:rsidR="00A80434" w:rsidRPr="009B4522" w:rsidRDefault="00A80434" w:rsidP="00A80434">
      <w:pPr>
        <w:rPr>
          <w:vanish/>
        </w:rPr>
      </w:pPr>
      <w:bookmarkStart w:id="4" w:name="PE"/>
      <w:r w:rsidRPr="009B4522">
        <w:rPr>
          <w:vanish/>
        </w:rPr>
        <w:t>PE784.381</w:t>
      </w:r>
      <w:bookmarkEnd w:id="4"/>
    </w:p>
    <w:p w14:paraId="522265F9" w14:textId="51769BBA" w:rsidR="00A80434" w:rsidRPr="009B4522" w:rsidRDefault="00A80434" w:rsidP="00A80434">
      <w:pPr>
        <w:pStyle w:val="ATHeading3"/>
      </w:pPr>
      <w:bookmarkStart w:id="5" w:name="Sujet"/>
      <w:r w:rsidRPr="009B4522">
        <w:t xml:space="preserve">Ψήφισμα του Ευρωπαϊκού Κοινοβουλίου της </w:t>
      </w:r>
      <w:r w:rsidR="009B297C">
        <w:t>7ης</w:t>
      </w:r>
      <w:r w:rsidRPr="009B4522">
        <w:t xml:space="preserve"> </w:t>
      </w:r>
      <w:r w:rsidR="005F6A9E">
        <w:t xml:space="preserve">Ιουλίου </w:t>
      </w:r>
      <w:r w:rsidRPr="009B4522">
        <w:t>2026 σχετικά με τα ψηφιακά περιουσιακά στοιχεία — προκλήσεις για την ανταγωνιστικότητα και την ακεραιότητα του χρηματοπιστωτικού συστήματος της Ευρωπαϊκής Ένωσης</w:t>
      </w:r>
      <w:bookmarkEnd w:id="5"/>
      <w:r w:rsidRPr="009B4522">
        <w:t xml:space="preserve"> </w:t>
      </w:r>
      <w:bookmarkStart w:id="6" w:name="References"/>
      <w:r w:rsidRPr="009B4522">
        <w:t>(2025/2208(INI))</w:t>
      </w:r>
      <w:bookmarkEnd w:id="6"/>
    </w:p>
    <w:p w14:paraId="7BD2A06A" w14:textId="77777777" w:rsidR="00001F94" w:rsidRDefault="00001F94" w:rsidP="003B03DF">
      <w:pPr>
        <w:pStyle w:val="Normal12"/>
        <w:rPr>
          <w:i/>
        </w:rPr>
      </w:pPr>
    </w:p>
    <w:p w14:paraId="7E00B129" w14:textId="7DDF5526" w:rsidR="003B03DF" w:rsidRPr="009B4522" w:rsidRDefault="003B03DF" w:rsidP="003B03DF">
      <w:pPr>
        <w:pStyle w:val="Normal12"/>
      </w:pPr>
      <w:r w:rsidRPr="009B4522">
        <w:rPr>
          <w:i/>
        </w:rPr>
        <w:t>Το Ευρωπαϊκό Κοινοβούλιο</w:t>
      </w:r>
      <w:r w:rsidRPr="009B4522">
        <w:t>,</w:t>
      </w:r>
    </w:p>
    <w:p w14:paraId="7B997338" w14:textId="77777777" w:rsidR="003B03DF" w:rsidRPr="009B4522" w:rsidRDefault="003B03DF" w:rsidP="003B03DF">
      <w:pPr>
        <w:pStyle w:val="NormalHanging"/>
      </w:pPr>
      <w:r w:rsidRPr="009B4522">
        <w:t>–</w:t>
      </w:r>
      <w:r w:rsidRPr="009B4522">
        <w:tab/>
        <w:t>έχοντας υπόψη την έκθεση της Ευρωπαϊκής Κεντρικής Τράπεζας (ΕΚΤ) για τη χρηματοπιστωτική σταθερότητα, του Νοεμβρίου 2025,</w:t>
      </w:r>
    </w:p>
    <w:p w14:paraId="48E618F7" w14:textId="77777777" w:rsidR="003B03DF" w:rsidRPr="009B4522" w:rsidRDefault="003B03DF" w:rsidP="003B03DF">
      <w:pPr>
        <w:pStyle w:val="NormalHanging"/>
      </w:pPr>
      <w:r w:rsidRPr="009B4522">
        <w:t>–</w:t>
      </w:r>
      <w:r w:rsidRPr="009B4522">
        <w:tab/>
        <w:t>έχοντας υπόψη το έγγραφο εργασίας αριθ. 3199 της ΕΚΤ, της 3ης Μαρτίου 2026, με τίτλο «</w:t>
      </w:r>
      <w:proofErr w:type="spellStart"/>
      <w:r w:rsidRPr="009B4522">
        <w:t>Stablecoins</w:t>
      </w:r>
      <w:proofErr w:type="spellEnd"/>
      <w:r w:rsidRPr="009B4522">
        <w:t xml:space="preserve"> and </w:t>
      </w:r>
      <w:proofErr w:type="spellStart"/>
      <w:r w:rsidRPr="009B4522">
        <w:t>monetary</w:t>
      </w:r>
      <w:proofErr w:type="spellEnd"/>
      <w:r w:rsidRPr="009B4522">
        <w:t xml:space="preserve"> </w:t>
      </w:r>
      <w:proofErr w:type="spellStart"/>
      <w:r w:rsidRPr="009B4522">
        <w:t>policy</w:t>
      </w:r>
      <w:proofErr w:type="spellEnd"/>
      <w:r w:rsidRPr="009B4522">
        <w:t xml:space="preserve"> </w:t>
      </w:r>
      <w:proofErr w:type="spellStart"/>
      <w:r w:rsidRPr="009B4522">
        <w:t>transmission</w:t>
      </w:r>
      <w:proofErr w:type="spellEnd"/>
      <w:r w:rsidRPr="009B4522">
        <w:t xml:space="preserve">» (Σταθερά </w:t>
      </w:r>
      <w:proofErr w:type="spellStart"/>
      <w:r w:rsidRPr="009B4522">
        <w:t>κρυπτονομίσματα</w:t>
      </w:r>
      <w:proofErr w:type="spellEnd"/>
      <w:r w:rsidRPr="009B4522">
        <w:t xml:space="preserve"> και μετάδοση της νομισματικής πολιτικής),</w:t>
      </w:r>
    </w:p>
    <w:p w14:paraId="3E588BAE" w14:textId="77777777" w:rsidR="003B03DF" w:rsidRPr="009B4522" w:rsidRDefault="003B03DF" w:rsidP="003B03DF">
      <w:pPr>
        <w:pStyle w:val="NormalHanging"/>
      </w:pPr>
      <w:r w:rsidRPr="009B4522">
        <w:t>–</w:t>
      </w:r>
      <w:r w:rsidRPr="009B4522">
        <w:tab/>
        <w:t>έχοντας υπόψη τη σύσταση του Ευρωπαϊκού Συμβουλίου Συστημικού Κινδύνου (ΕΣΣΚ), της 25ης Σεπτεμβρίου 2025, σχετικά με συστήματα έκδοσης σταθερών κρυπτονομισμάτων με συμμετοχή και τρίτων χωρών,</w:t>
      </w:r>
    </w:p>
    <w:p w14:paraId="65F364C8" w14:textId="77777777" w:rsidR="003B03DF" w:rsidRPr="009B4522" w:rsidRDefault="003B03DF" w:rsidP="003B03DF">
      <w:pPr>
        <w:pStyle w:val="NormalHanging"/>
      </w:pPr>
      <w:r w:rsidRPr="009B4522">
        <w:t>–</w:t>
      </w:r>
      <w:r w:rsidRPr="009B4522">
        <w:tab/>
        <w:t>έχοντας υπόψη την έκθεση του ΕΣΣΚ, του Οκτωβρίου 2025, με τίτλο «</w:t>
      </w:r>
      <w:proofErr w:type="spellStart"/>
      <w:r w:rsidRPr="009B4522">
        <w:t>Crypto-assets</w:t>
      </w:r>
      <w:proofErr w:type="spellEnd"/>
      <w:r w:rsidRPr="009B4522">
        <w:t xml:space="preserve"> and </w:t>
      </w:r>
      <w:proofErr w:type="spellStart"/>
      <w:r w:rsidRPr="009B4522">
        <w:t>decentralised</w:t>
      </w:r>
      <w:proofErr w:type="spellEnd"/>
      <w:r w:rsidRPr="009B4522">
        <w:t xml:space="preserve"> </w:t>
      </w:r>
      <w:proofErr w:type="spellStart"/>
      <w:r w:rsidRPr="009B4522">
        <w:t>finance</w:t>
      </w:r>
      <w:proofErr w:type="spellEnd"/>
      <w:r w:rsidRPr="009B4522">
        <w:t xml:space="preserve"> — </w:t>
      </w:r>
      <w:proofErr w:type="spellStart"/>
      <w:r w:rsidRPr="009B4522">
        <w:t>Report</w:t>
      </w:r>
      <w:proofErr w:type="spellEnd"/>
      <w:r w:rsidRPr="009B4522">
        <w:t xml:space="preserve"> on </w:t>
      </w:r>
      <w:proofErr w:type="spellStart"/>
      <w:r w:rsidRPr="009B4522">
        <w:t>stablecoins</w:t>
      </w:r>
      <w:proofErr w:type="spellEnd"/>
      <w:r w:rsidRPr="009B4522">
        <w:t xml:space="preserve">, </w:t>
      </w:r>
      <w:proofErr w:type="spellStart"/>
      <w:r w:rsidRPr="009B4522">
        <w:t>crypto-investment</w:t>
      </w:r>
      <w:proofErr w:type="spellEnd"/>
      <w:r w:rsidRPr="009B4522">
        <w:t xml:space="preserve"> </w:t>
      </w:r>
      <w:proofErr w:type="spellStart"/>
      <w:r w:rsidRPr="009B4522">
        <w:t>products</w:t>
      </w:r>
      <w:proofErr w:type="spellEnd"/>
      <w:r w:rsidRPr="009B4522">
        <w:t xml:space="preserve"> and </w:t>
      </w:r>
      <w:proofErr w:type="spellStart"/>
      <w:r w:rsidRPr="009B4522">
        <w:t>multi-function</w:t>
      </w:r>
      <w:proofErr w:type="spellEnd"/>
      <w:r w:rsidRPr="009B4522">
        <w:t xml:space="preserve"> </w:t>
      </w:r>
      <w:proofErr w:type="spellStart"/>
      <w:r w:rsidRPr="009B4522">
        <w:t>groups</w:t>
      </w:r>
      <w:proofErr w:type="spellEnd"/>
      <w:r w:rsidRPr="009B4522">
        <w:t xml:space="preserve">» (Κρυπτοστοιχεία και αποκεντρωμένες χρηματοοικονομικές υπηρεσίες — Έκθεση σχετικά με τα σταθερά κρυπτονομίσματα, τα επενδυτικά προϊόντα </w:t>
      </w:r>
      <w:proofErr w:type="spellStart"/>
      <w:r w:rsidRPr="009B4522">
        <w:t>κρυπτονομισμάτων</w:t>
      </w:r>
      <w:proofErr w:type="spellEnd"/>
      <w:r w:rsidRPr="009B4522">
        <w:t xml:space="preserve"> και τους </w:t>
      </w:r>
      <w:proofErr w:type="spellStart"/>
      <w:r w:rsidRPr="009B4522">
        <w:t>πολυλειτουργικούς</w:t>
      </w:r>
      <w:proofErr w:type="spellEnd"/>
      <w:r w:rsidRPr="009B4522">
        <w:t xml:space="preserve"> ομίλους),</w:t>
      </w:r>
    </w:p>
    <w:p w14:paraId="456E2CF0" w14:textId="77777777" w:rsidR="003B03DF" w:rsidRPr="009B4522" w:rsidRDefault="003B03DF" w:rsidP="003B03DF">
      <w:pPr>
        <w:pStyle w:val="NormalHanging"/>
      </w:pPr>
      <w:r w:rsidRPr="009B4522">
        <w:t>–</w:t>
      </w:r>
      <w:r w:rsidRPr="009B4522">
        <w:tab/>
        <w:t>έχοντας υπόψη τις κατευθυντήριες γραμμές της Ευρωπαϊκής Αρχής Κινητών Αξιών και Αγορών (ESMA), της 19ης Μαρτίου 2025, σχετικά με τις προϋποθέσεις και τα κριτήρια για τον χαρακτηρισμό των κρυπτοστοιχείων ως χρηματοπιστωτικών μέσων,</w:t>
      </w:r>
    </w:p>
    <w:p w14:paraId="2EBEDCB0" w14:textId="77777777" w:rsidR="003B03DF" w:rsidRPr="009B4522" w:rsidRDefault="003B03DF" w:rsidP="003B03DF">
      <w:pPr>
        <w:pStyle w:val="NormalHanging"/>
      </w:pPr>
      <w:r w:rsidRPr="009B4522">
        <w:t>–</w:t>
      </w:r>
      <w:r w:rsidRPr="009B4522">
        <w:tab/>
        <w:t>έχοντας υπόψη την έκθεση της Ευρωπαϊκής Αρχής Τραπεζών (ΕΑΤ), του Δεκεμβρίου 2024, με τίτλο «</w:t>
      </w:r>
      <w:proofErr w:type="spellStart"/>
      <w:r w:rsidRPr="009B4522">
        <w:t>Report</w:t>
      </w:r>
      <w:proofErr w:type="spellEnd"/>
      <w:r w:rsidRPr="009B4522">
        <w:t xml:space="preserve"> on </w:t>
      </w:r>
      <w:proofErr w:type="spellStart"/>
      <w:r w:rsidRPr="009B4522">
        <w:t>tokenised</w:t>
      </w:r>
      <w:proofErr w:type="spellEnd"/>
      <w:r w:rsidRPr="009B4522">
        <w:t xml:space="preserve"> </w:t>
      </w:r>
      <w:proofErr w:type="spellStart"/>
      <w:r w:rsidRPr="009B4522">
        <w:t>deposits</w:t>
      </w:r>
      <w:proofErr w:type="spellEnd"/>
      <w:r w:rsidRPr="009B4522">
        <w:t>» (Έκθεση σχετικά με τις καταθέσεις υπό μορφή μαρκών),</w:t>
      </w:r>
    </w:p>
    <w:p w14:paraId="6B251C2F" w14:textId="77777777" w:rsidR="003B03DF" w:rsidRPr="009B4522" w:rsidRDefault="003B03DF" w:rsidP="003B03DF">
      <w:pPr>
        <w:pStyle w:val="NormalHanging"/>
      </w:pPr>
      <w:r w:rsidRPr="009B4522">
        <w:t>–</w:t>
      </w:r>
      <w:r w:rsidRPr="009B4522">
        <w:tab/>
        <w:t>έχοντας υπόψη την έκθεση της ΕΑΤ, του Οκτωβρίου 2025, με τίτλο «</w:t>
      </w:r>
      <w:proofErr w:type="spellStart"/>
      <w:r w:rsidRPr="009B4522">
        <w:t>Report</w:t>
      </w:r>
      <w:proofErr w:type="spellEnd"/>
      <w:r w:rsidRPr="009B4522">
        <w:t xml:space="preserve"> on </w:t>
      </w:r>
      <w:proofErr w:type="spellStart"/>
      <w:r w:rsidRPr="009B4522">
        <w:lastRenderedPageBreak/>
        <w:t>tackling</w:t>
      </w:r>
      <w:proofErr w:type="spellEnd"/>
      <w:r w:rsidRPr="009B4522">
        <w:t xml:space="preserve"> ML/TF </w:t>
      </w:r>
      <w:proofErr w:type="spellStart"/>
      <w:r w:rsidRPr="009B4522">
        <w:t>risks</w:t>
      </w:r>
      <w:proofErr w:type="spellEnd"/>
      <w:r w:rsidRPr="009B4522">
        <w:t xml:space="preserve"> in </w:t>
      </w:r>
      <w:proofErr w:type="spellStart"/>
      <w:r w:rsidRPr="009B4522">
        <w:t>crypto-asset</w:t>
      </w:r>
      <w:proofErr w:type="spellEnd"/>
      <w:r w:rsidRPr="009B4522">
        <w:t xml:space="preserve"> </w:t>
      </w:r>
      <w:proofErr w:type="spellStart"/>
      <w:r w:rsidRPr="009B4522">
        <w:t>services</w:t>
      </w:r>
      <w:proofErr w:type="spellEnd"/>
      <w:r w:rsidRPr="009B4522">
        <w:t xml:space="preserve"> </w:t>
      </w:r>
      <w:proofErr w:type="spellStart"/>
      <w:r w:rsidRPr="009B4522">
        <w:t>through</w:t>
      </w:r>
      <w:proofErr w:type="spellEnd"/>
      <w:r w:rsidRPr="009B4522">
        <w:t xml:space="preserve"> </w:t>
      </w:r>
      <w:proofErr w:type="spellStart"/>
      <w:r w:rsidRPr="009B4522">
        <w:t>supervision</w:t>
      </w:r>
      <w:proofErr w:type="spellEnd"/>
      <w:r w:rsidRPr="009B4522">
        <w:t xml:space="preserve"> – </w:t>
      </w:r>
      <w:proofErr w:type="spellStart"/>
      <w:r w:rsidRPr="009B4522">
        <w:t>Lessons</w:t>
      </w:r>
      <w:proofErr w:type="spellEnd"/>
      <w:r w:rsidRPr="009B4522">
        <w:t xml:space="preserve"> </w:t>
      </w:r>
      <w:proofErr w:type="spellStart"/>
      <w:r w:rsidRPr="009B4522">
        <w:t>learned</w:t>
      </w:r>
      <w:proofErr w:type="spellEnd"/>
      <w:r w:rsidRPr="009B4522">
        <w:t xml:space="preserve"> </w:t>
      </w:r>
      <w:proofErr w:type="spellStart"/>
      <w:r w:rsidRPr="009B4522">
        <w:t>from</w:t>
      </w:r>
      <w:proofErr w:type="spellEnd"/>
      <w:r w:rsidRPr="009B4522">
        <w:t xml:space="preserve"> </w:t>
      </w:r>
      <w:proofErr w:type="spellStart"/>
      <w:r w:rsidRPr="009B4522">
        <w:t>recent</w:t>
      </w:r>
      <w:proofErr w:type="spellEnd"/>
      <w:r w:rsidRPr="009B4522">
        <w:t xml:space="preserve"> </w:t>
      </w:r>
      <w:proofErr w:type="spellStart"/>
      <w:r w:rsidRPr="009B4522">
        <w:t>cases</w:t>
      </w:r>
      <w:proofErr w:type="spellEnd"/>
      <w:r w:rsidRPr="009B4522">
        <w:t>» (Έκθεση σχετικά με την αντιμετώπιση των κινδύνων νομιμοποίησης εσόδων από παράνομες δραστηριότητες και χρηματοδότησης της τρομοκρατίας στις υπηρεσίες κρυπτοστοιχείων μέσω εποπτείας — Διδάγματα που αντλήθηκαν από πρόσφατες υποθέσεις),</w:t>
      </w:r>
    </w:p>
    <w:p w14:paraId="09B72586" w14:textId="1E95A138" w:rsidR="003B03DF" w:rsidRPr="009B4522" w:rsidRDefault="003B03DF" w:rsidP="003B03DF">
      <w:pPr>
        <w:pStyle w:val="NormalHanging"/>
      </w:pPr>
      <w:r w:rsidRPr="009B4522">
        <w:t>–</w:t>
      </w:r>
      <w:r w:rsidRPr="009B4522">
        <w:tab/>
        <w:t>έχοντας υπόψη την έκδοση «</w:t>
      </w:r>
      <w:proofErr w:type="spellStart"/>
      <w:r w:rsidRPr="009B4522">
        <w:t>Finance</w:t>
      </w:r>
      <w:proofErr w:type="spellEnd"/>
      <w:r w:rsidRPr="009B4522">
        <w:t xml:space="preserve"> &amp; Development» του Διεθνούς Νομισματικού Ταμείου, του Σεπτεμβρίου 2025, με τίτλο «</w:t>
      </w:r>
      <w:proofErr w:type="spellStart"/>
      <w:r w:rsidRPr="009B4522">
        <w:t>Stablecoins</w:t>
      </w:r>
      <w:proofErr w:type="spellEnd"/>
      <w:r w:rsidRPr="009B4522">
        <w:t xml:space="preserve"> and the </w:t>
      </w:r>
      <w:proofErr w:type="spellStart"/>
      <w:r w:rsidRPr="009B4522">
        <w:t>future</w:t>
      </w:r>
      <w:proofErr w:type="spellEnd"/>
      <w:r w:rsidRPr="009B4522">
        <w:t xml:space="preserve"> of </w:t>
      </w:r>
      <w:proofErr w:type="spellStart"/>
      <w:r w:rsidRPr="009B4522">
        <w:t>finance</w:t>
      </w:r>
      <w:proofErr w:type="spellEnd"/>
      <w:r w:rsidRPr="009B4522">
        <w:t xml:space="preserve">» (Τα σταθερά </w:t>
      </w:r>
      <w:proofErr w:type="spellStart"/>
      <w:r w:rsidRPr="009B4522">
        <w:t>κρυπτονομίσματα</w:t>
      </w:r>
      <w:proofErr w:type="spellEnd"/>
      <w:r w:rsidRPr="009B4522">
        <w:t xml:space="preserve"> και το μέλλον των χρηματοοικονομικών υπηρεσιών</w:t>
      </w:r>
      <w:r w:rsidR="00CF3347">
        <w:rPr>
          <w:rStyle w:val="FootnoteReference"/>
        </w:rPr>
        <w:footnoteReference w:id="1"/>
      </w:r>
      <w:r w:rsidRPr="009B4522">
        <w:t>),</w:t>
      </w:r>
    </w:p>
    <w:p w14:paraId="52272F44" w14:textId="77777777" w:rsidR="003B03DF" w:rsidRPr="009B4522" w:rsidRDefault="003B03DF" w:rsidP="003B03DF">
      <w:pPr>
        <w:pStyle w:val="NormalHanging"/>
      </w:pPr>
      <w:r w:rsidRPr="009B4522">
        <w:t>–</w:t>
      </w:r>
      <w:r w:rsidRPr="009B4522">
        <w:tab/>
        <w:t>έχοντας υπόψη την έκθεση της Διεθνούς Οργάνωσης Επιτροπών Εποπτείας Χρηματιστηρίων, του Νοεμβρίου 2025, με τίτλο «</w:t>
      </w:r>
      <w:proofErr w:type="spellStart"/>
      <w:r w:rsidRPr="009B4522">
        <w:t>Tokenization</w:t>
      </w:r>
      <w:proofErr w:type="spellEnd"/>
      <w:r w:rsidRPr="009B4522">
        <w:t xml:space="preserve"> of </w:t>
      </w:r>
      <w:proofErr w:type="spellStart"/>
      <w:r w:rsidRPr="009B4522">
        <w:t>financial</w:t>
      </w:r>
      <w:proofErr w:type="spellEnd"/>
      <w:r w:rsidRPr="009B4522">
        <w:t xml:space="preserve"> </w:t>
      </w:r>
      <w:proofErr w:type="spellStart"/>
      <w:r w:rsidRPr="009B4522">
        <w:t>assets</w:t>
      </w:r>
      <w:proofErr w:type="spellEnd"/>
      <w:r w:rsidRPr="009B4522">
        <w:t>» (Μετατροπή χρηματοοικονομικών περιουσιακών στοιχείων σε μάρκες),</w:t>
      </w:r>
    </w:p>
    <w:p w14:paraId="444D1646" w14:textId="77777777" w:rsidR="003B03DF" w:rsidRPr="009B4522" w:rsidRDefault="003B03DF" w:rsidP="003B03DF">
      <w:pPr>
        <w:pStyle w:val="NormalHanging"/>
      </w:pPr>
      <w:r w:rsidRPr="009B4522">
        <w:t>–</w:t>
      </w:r>
      <w:r w:rsidRPr="009B4522">
        <w:tab/>
        <w:t>έχοντας υπόψη την ετήσια οικονομική έκθεση της Τράπεζας Διεθνών Διακανονισμών (ΤΔΔ), του Ιουνίου 2025,</w:t>
      </w:r>
    </w:p>
    <w:p w14:paraId="5C5C5BB6" w14:textId="77777777" w:rsidR="003B03DF" w:rsidRPr="009B4522" w:rsidRDefault="003B03DF" w:rsidP="003B03DF">
      <w:pPr>
        <w:pStyle w:val="NormalHanging"/>
      </w:pPr>
      <w:r w:rsidRPr="009B4522">
        <w:t>–</w:t>
      </w:r>
      <w:r w:rsidRPr="009B4522">
        <w:tab/>
        <w:t>έχοντας υπόψη την έκθεση του Συμβουλίου Χρηματοπιστωτικής Σταθερότητας (ΣΧΣ), της 16ης Οκτωβρίου 2025, με τίτλο «</w:t>
      </w:r>
      <w:proofErr w:type="spellStart"/>
      <w:r w:rsidRPr="009B4522">
        <w:t>Thematic</w:t>
      </w:r>
      <w:proofErr w:type="spellEnd"/>
      <w:r w:rsidRPr="009B4522">
        <w:t xml:space="preserve"> Review on FSB </w:t>
      </w:r>
      <w:proofErr w:type="spellStart"/>
      <w:r w:rsidRPr="009B4522">
        <w:t>Global</w:t>
      </w:r>
      <w:proofErr w:type="spellEnd"/>
      <w:r w:rsidRPr="009B4522">
        <w:t xml:space="preserve"> </w:t>
      </w:r>
      <w:proofErr w:type="spellStart"/>
      <w:r w:rsidRPr="009B4522">
        <w:t>Regulatory</w:t>
      </w:r>
      <w:proofErr w:type="spellEnd"/>
      <w:r w:rsidRPr="009B4522">
        <w:t xml:space="preserve"> </w:t>
      </w:r>
      <w:proofErr w:type="spellStart"/>
      <w:r w:rsidRPr="009B4522">
        <w:t>Framework</w:t>
      </w:r>
      <w:proofErr w:type="spellEnd"/>
      <w:r w:rsidRPr="009B4522">
        <w:t xml:space="preserve"> for </w:t>
      </w:r>
      <w:proofErr w:type="spellStart"/>
      <w:r w:rsidRPr="009B4522">
        <w:t>Crypto-asset</w:t>
      </w:r>
      <w:proofErr w:type="spellEnd"/>
      <w:r w:rsidRPr="009B4522">
        <w:t xml:space="preserve"> </w:t>
      </w:r>
      <w:proofErr w:type="spellStart"/>
      <w:r w:rsidRPr="009B4522">
        <w:t>Activities</w:t>
      </w:r>
      <w:proofErr w:type="spellEnd"/>
      <w:r w:rsidRPr="009B4522">
        <w:t>» (Θεματική επισκόπηση του παγκόσμιου κανονιστικού πλαισίου του ΣΧΣ για τις δραστηριότητες κρυπτοστοιχείων),</w:t>
      </w:r>
    </w:p>
    <w:p w14:paraId="5E373E9D" w14:textId="77777777" w:rsidR="003B03DF" w:rsidRPr="009B4522" w:rsidRDefault="003B03DF" w:rsidP="003B03DF">
      <w:pPr>
        <w:pStyle w:val="NormalHanging"/>
      </w:pPr>
      <w:r w:rsidRPr="009B4522">
        <w:t>–</w:t>
      </w:r>
      <w:r w:rsidRPr="009B4522">
        <w:tab/>
        <w:t xml:space="preserve">έχοντας υπόψη την έκθεση προόδου του ΣΧΣ, της 22ας Οκτωβρίου 2024, με τίτλο «G20 </w:t>
      </w:r>
      <w:proofErr w:type="spellStart"/>
      <w:r w:rsidRPr="009B4522">
        <w:t>crypto-asset</w:t>
      </w:r>
      <w:proofErr w:type="spellEnd"/>
      <w:r w:rsidRPr="009B4522">
        <w:t xml:space="preserve"> </w:t>
      </w:r>
      <w:proofErr w:type="spellStart"/>
      <w:r w:rsidRPr="009B4522">
        <w:t>policy</w:t>
      </w:r>
      <w:proofErr w:type="spellEnd"/>
      <w:r w:rsidRPr="009B4522">
        <w:t xml:space="preserve"> </w:t>
      </w:r>
      <w:proofErr w:type="spellStart"/>
      <w:r w:rsidRPr="009B4522">
        <w:t>implementation</w:t>
      </w:r>
      <w:proofErr w:type="spellEnd"/>
      <w:r w:rsidRPr="009B4522">
        <w:t xml:space="preserve"> </w:t>
      </w:r>
      <w:proofErr w:type="spellStart"/>
      <w:r w:rsidRPr="009B4522">
        <w:t>roadmap</w:t>
      </w:r>
      <w:proofErr w:type="spellEnd"/>
      <w:r w:rsidRPr="009B4522">
        <w:t>» (Χάρτης πορείας της G20 για την εφαρμογή της πολιτικής για τα κρυπτοστοιχεία),</w:t>
      </w:r>
    </w:p>
    <w:p w14:paraId="086A03A6" w14:textId="77777777" w:rsidR="003B03DF" w:rsidRPr="009B4522" w:rsidRDefault="003B03DF" w:rsidP="003B03DF">
      <w:pPr>
        <w:pStyle w:val="NormalHanging"/>
      </w:pPr>
      <w:r w:rsidRPr="009B4522">
        <w:t>–</w:t>
      </w:r>
      <w:r w:rsidRPr="009B4522">
        <w:tab/>
        <w:t xml:space="preserve">έχοντας υπόψη την έκθεση προόδου του Συμβουλίου χρηματοπιστωτικής σταθερότητας, της 22ας Οκτωβρίου 2024, με τίτλο «The </w:t>
      </w:r>
      <w:proofErr w:type="spellStart"/>
      <w:r w:rsidRPr="009B4522">
        <w:t>financial</w:t>
      </w:r>
      <w:proofErr w:type="spellEnd"/>
      <w:r w:rsidRPr="009B4522">
        <w:t xml:space="preserve"> </w:t>
      </w:r>
      <w:proofErr w:type="spellStart"/>
      <w:r w:rsidRPr="009B4522">
        <w:t>stability</w:t>
      </w:r>
      <w:proofErr w:type="spellEnd"/>
      <w:r w:rsidRPr="009B4522">
        <w:t xml:space="preserve"> </w:t>
      </w:r>
      <w:proofErr w:type="spellStart"/>
      <w:r w:rsidRPr="009B4522">
        <w:t>implications</w:t>
      </w:r>
      <w:proofErr w:type="spellEnd"/>
      <w:r w:rsidRPr="009B4522">
        <w:t xml:space="preserve"> of </w:t>
      </w:r>
      <w:proofErr w:type="spellStart"/>
      <w:r w:rsidRPr="009B4522">
        <w:t>tokenisation</w:t>
      </w:r>
      <w:proofErr w:type="spellEnd"/>
      <w:r w:rsidRPr="009B4522">
        <w:t>» (Οι επιπτώσεις της μετατροπής χρηματοπιστωτικών μέσων σε μάρκες στη χρηματοπιστωτική σταθερότητα),</w:t>
      </w:r>
    </w:p>
    <w:p w14:paraId="661ABF62" w14:textId="03A3EDAD" w:rsidR="003B03DF" w:rsidRPr="009B4522" w:rsidRDefault="003B03DF" w:rsidP="003B03DF">
      <w:pPr>
        <w:pStyle w:val="NormalHanging"/>
      </w:pPr>
      <w:r w:rsidRPr="009B4522">
        <w:t>–</w:t>
      </w:r>
      <w:r w:rsidRPr="009B4522">
        <w:tab/>
        <w:t>έχοντας υπόψη το έγγραφο διαβούλευσης της Τράπεζας της Αγγλίας, της 10ης</w:t>
      </w:r>
      <w:r w:rsidR="00001F94">
        <w:t> </w:t>
      </w:r>
      <w:r w:rsidRPr="009B4522">
        <w:t>Νοεμβρίου 2025, με τίτλο «</w:t>
      </w:r>
      <w:proofErr w:type="spellStart"/>
      <w:r w:rsidRPr="009B4522">
        <w:t>Proposed</w:t>
      </w:r>
      <w:proofErr w:type="spellEnd"/>
      <w:r w:rsidRPr="009B4522">
        <w:t xml:space="preserve"> </w:t>
      </w:r>
      <w:proofErr w:type="spellStart"/>
      <w:r w:rsidRPr="009B4522">
        <w:t>regulatory</w:t>
      </w:r>
      <w:proofErr w:type="spellEnd"/>
      <w:r w:rsidRPr="009B4522">
        <w:t xml:space="preserve"> </w:t>
      </w:r>
      <w:proofErr w:type="spellStart"/>
      <w:r w:rsidRPr="009B4522">
        <w:t>regime</w:t>
      </w:r>
      <w:proofErr w:type="spellEnd"/>
      <w:r w:rsidRPr="009B4522">
        <w:t xml:space="preserve"> for </w:t>
      </w:r>
      <w:proofErr w:type="spellStart"/>
      <w:r w:rsidRPr="009B4522">
        <w:t>sterling-formed</w:t>
      </w:r>
      <w:proofErr w:type="spellEnd"/>
      <w:r w:rsidRPr="009B4522">
        <w:t xml:space="preserve"> </w:t>
      </w:r>
      <w:proofErr w:type="spellStart"/>
      <w:r w:rsidRPr="009B4522">
        <w:t>systemic</w:t>
      </w:r>
      <w:proofErr w:type="spellEnd"/>
      <w:r w:rsidRPr="009B4522">
        <w:t xml:space="preserve"> </w:t>
      </w:r>
      <w:proofErr w:type="spellStart"/>
      <w:r w:rsidRPr="009B4522">
        <w:t>stablecoins</w:t>
      </w:r>
      <w:proofErr w:type="spellEnd"/>
      <w:r w:rsidRPr="009B4522">
        <w:t>» (Προτεινόμενο κανονιστικό καθεστώς για τα συστημικά σταθερά κρυπτονομίσματα σε στερλίνες),</w:t>
      </w:r>
    </w:p>
    <w:p w14:paraId="2B2D08C4" w14:textId="77777777" w:rsidR="003B03DF" w:rsidRPr="009B4522" w:rsidRDefault="003B03DF" w:rsidP="003B03DF">
      <w:pPr>
        <w:pStyle w:val="NormalHanging"/>
      </w:pPr>
      <w:r w:rsidRPr="009B4522">
        <w:t>–</w:t>
      </w:r>
      <w:r w:rsidRPr="009B4522">
        <w:tab/>
        <w:t>έχοντας υπόψη την ενημέρωση της Μονάδας Ελέγχου της Οικονομικής Διακυβέρνησης και της ΟΝΕ, του Νοεμβρίου 2025, με τίτλο «</w:t>
      </w:r>
      <w:proofErr w:type="spellStart"/>
      <w:r w:rsidRPr="009B4522">
        <w:t>Digital</w:t>
      </w:r>
      <w:proofErr w:type="spellEnd"/>
      <w:r w:rsidRPr="009B4522">
        <w:t xml:space="preserve"> </w:t>
      </w:r>
      <w:proofErr w:type="spellStart"/>
      <w:r w:rsidRPr="009B4522">
        <w:t>assets</w:t>
      </w:r>
      <w:proofErr w:type="spellEnd"/>
      <w:r w:rsidRPr="009B4522">
        <w:t xml:space="preserve">: EU </w:t>
      </w:r>
      <w:proofErr w:type="spellStart"/>
      <w:r w:rsidRPr="009B4522">
        <w:t>regulatory</w:t>
      </w:r>
      <w:proofErr w:type="spellEnd"/>
      <w:r w:rsidRPr="009B4522">
        <w:t xml:space="preserve"> </w:t>
      </w:r>
      <w:proofErr w:type="spellStart"/>
      <w:r w:rsidRPr="009B4522">
        <w:t>framework</w:t>
      </w:r>
      <w:proofErr w:type="spellEnd"/>
      <w:r w:rsidRPr="009B4522">
        <w:t xml:space="preserve">, </w:t>
      </w:r>
      <w:proofErr w:type="spellStart"/>
      <w:r w:rsidRPr="009B4522">
        <w:t>market</w:t>
      </w:r>
      <w:proofErr w:type="spellEnd"/>
      <w:r w:rsidRPr="009B4522">
        <w:t xml:space="preserve"> </w:t>
      </w:r>
      <w:proofErr w:type="spellStart"/>
      <w:r w:rsidRPr="009B4522">
        <w:t>uptake</w:t>
      </w:r>
      <w:proofErr w:type="spellEnd"/>
      <w:r w:rsidRPr="009B4522">
        <w:t xml:space="preserve">, </w:t>
      </w:r>
      <w:proofErr w:type="spellStart"/>
      <w:r w:rsidRPr="009B4522">
        <w:t>risks</w:t>
      </w:r>
      <w:proofErr w:type="spellEnd"/>
      <w:r w:rsidRPr="009B4522">
        <w:t xml:space="preserve"> and </w:t>
      </w:r>
      <w:proofErr w:type="spellStart"/>
      <w:r w:rsidRPr="009B4522">
        <w:t>challenges</w:t>
      </w:r>
      <w:proofErr w:type="spellEnd"/>
      <w:r w:rsidRPr="009B4522">
        <w:t>» (Ψηφιακά περιουσιακά στοιχεία: Κανονιστικό πλαίσιο της ΕΕ, διείσδυση στην αγορά, κίνδυνοι και προκλήσεις»,</w:t>
      </w:r>
    </w:p>
    <w:p w14:paraId="79B60BD6" w14:textId="045BC70C" w:rsidR="003B03DF" w:rsidRPr="009B4522" w:rsidRDefault="003B03DF" w:rsidP="003B03DF">
      <w:pPr>
        <w:pStyle w:val="NormalHanging"/>
      </w:pPr>
      <w:r w:rsidRPr="009B4522">
        <w:t>–</w:t>
      </w:r>
      <w:r w:rsidRPr="009B4522">
        <w:tab/>
        <w:t>έχοντας υπόψη το έγγραφο πολιτικής του Οργανισμού Οικονομικής Συνεργασίας και Ανάπτυξης (ΟΟΣΑ), της 9ης Ιανουαρίου 2025, με τίτλο «</w:t>
      </w:r>
      <w:proofErr w:type="spellStart"/>
      <w:r w:rsidRPr="009B4522">
        <w:t>Tokenisation</w:t>
      </w:r>
      <w:proofErr w:type="spellEnd"/>
      <w:r w:rsidRPr="009B4522">
        <w:t xml:space="preserve"> of </w:t>
      </w:r>
      <w:proofErr w:type="spellStart"/>
      <w:r w:rsidRPr="009B4522">
        <w:t>assets</w:t>
      </w:r>
      <w:proofErr w:type="spellEnd"/>
      <w:r w:rsidRPr="009B4522">
        <w:t xml:space="preserve"> and </w:t>
      </w:r>
      <w:proofErr w:type="spellStart"/>
      <w:r w:rsidRPr="009B4522">
        <w:t>distributed</w:t>
      </w:r>
      <w:proofErr w:type="spellEnd"/>
      <w:r w:rsidRPr="009B4522">
        <w:t xml:space="preserve"> </w:t>
      </w:r>
      <w:proofErr w:type="spellStart"/>
      <w:r w:rsidRPr="009B4522">
        <w:t>ledger</w:t>
      </w:r>
      <w:proofErr w:type="spellEnd"/>
      <w:r w:rsidRPr="009B4522">
        <w:t xml:space="preserve"> </w:t>
      </w:r>
      <w:proofErr w:type="spellStart"/>
      <w:r w:rsidRPr="009B4522">
        <w:t>technologies</w:t>
      </w:r>
      <w:proofErr w:type="spellEnd"/>
      <w:r w:rsidRPr="009B4522">
        <w:t xml:space="preserve"> in </w:t>
      </w:r>
      <w:proofErr w:type="spellStart"/>
      <w:r w:rsidRPr="009B4522">
        <w:t>financial</w:t>
      </w:r>
      <w:proofErr w:type="spellEnd"/>
      <w:r w:rsidRPr="009B4522">
        <w:t xml:space="preserve"> </w:t>
      </w:r>
      <w:proofErr w:type="spellStart"/>
      <w:r w:rsidRPr="009B4522">
        <w:t>markets</w:t>
      </w:r>
      <w:proofErr w:type="spellEnd"/>
      <w:r w:rsidRPr="009B4522">
        <w:t xml:space="preserve"> - </w:t>
      </w:r>
      <w:proofErr w:type="spellStart"/>
      <w:r w:rsidRPr="009B4522">
        <w:t>Potential</w:t>
      </w:r>
      <w:proofErr w:type="spellEnd"/>
      <w:r w:rsidRPr="009B4522">
        <w:t xml:space="preserve"> </w:t>
      </w:r>
      <w:proofErr w:type="spellStart"/>
      <w:r w:rsidRPr="009B4522">
        <w:t>impediments</w:t>
      </w:r>
      <w:proofErr w:type="spellEnd"/>
      <w:r w:rsidRPr="009B4522">
        <w:t xml:space="preserve"> </w:t>
      </w:r>
      <w:proofErr w:type="spellStart"/>
      <w:r w:rsidRPr="009B4522">
        <w:t>to</w:t>
      </w:r>
      <w:proofErr w:type="spellEnd"/>
      <w:r w:rsidRPr="009B4522">
        <w:t xml:space="preserve"> </w:t>
      </w:r>
      <w:proofErr w:type="spellStart"/>
      <w:r w:rsidRPr="009B4522">
        <w:t>market</w:t>
      </w:r>
      <w:proofErr w:type="spellEnd"/>
      <w:r w:rsidRPr="009B4522">
        <w:t xml:space="preserve"> </w:t>
      </w:r>
      <w:proofErr w:type="spellStart"/>
      <w:r w:rsidRPr="009B4522">
        <w:t>development</w:t>
      </w:r>
      <w:proofErr w:type="spellEnd"/>
      <w:r w:rsidRPr="009B4522">
        <w:t xml:space="preserve"> and </w:t>
      </w:r>
      <w:proofErr w:type="spellStart"/>
      <w:r w:rsidRPr="009B4522">
        <w:t>policy</w:t>
      </w:r>
      <w:proofErr w:type="spellEnd"/>
      <w:r w:rsidRPr="009B4522">
        <w:t xml:space="preserve"> </w:t>
      </w:r>
      <w:proofErr w:type="spellStart"/>
      <w:r w:rsidRPr="009B4522">
        <w:t>implications</w:t>
      </w:r>
      <w:proofErr w:type="spellEnd"/>
      <w:r w:rsidRPr="009B4522">
        <w:t xml:space="preserve">» (Μετατροπή περιουσιακών στοιχείων και τεχνολογιών κατανεμημένου καθολικού σε μάρκες στις χρηματοπιστωτικές αγορές — </w:t>
      </w:r>
      <w:r w:rsidRPr="009B4522">
        <w:lastRenderedPageBreak/>
        <w:t>Δυνητικά εμπόδια στην ανάπτυξη της αγοράς και επιπτώσεις στην πολιτική)</w:t>
      </w:r>
      <w:r w:rsidR="00CF3347">
        <w:rPr>
          <w:rStyle w:val="FootnoteReference"/>
        </w:rPr>
        <w:footnoteReference w:id="2"/>
      </w:r>
      <w:r w:rsidRPr="009B4522">
        <w:t>,</w:t>
      </w:r>
    </w:p>
    <w:p w14:paraId="57F0F944" w14:textId="77777777" w:rsidR="003B03DF" w:rsidRPr="009B4522" w:rsidRDefault="003B03DF" w:rsidP="003B03DF">
      <w:pPr>
        <w:pStyle w:val="NormalHanging"/>
      </w:pPr>
      <w:r w:rsidRPr="009B4522">
        <w:t>–</w:t>
      </w:r>
      <w:r w:rsidRPr="009B4522">
        <w:tab/>
        <w:t>έχοντας υπόψη το άρθρο 55 του Κανονισμού του,</w:t>
      </w:r>
    </w:p>
    <w:p w14:paraId="52978E87" w14:textId="77777777" w:rsidR="003B03DF" w:rsidRPr="009B4522" w:rsidRDefault="003B03DF" w:rsidP="003B03DF">
      <w:pPr>
        <w:pStyle w:val="NormalHanging"/>
      </w:pPr>
      <w:r w:rsidRPr="009B4522">
        <w:t>–</w:t>
      </w:r>
      <w:r w:rsidRPr="009B4522">
        <w:tab/>
        <w:t>έχοντας υπόψη την έκθεση της Επιτροπής Οικονομικής και Νομισματικής Πολιτικής (A10-0186/2026),</w:t>
      </w:r>
    </w:p>
    <w:p w14:paraId="1B43AF4E" w14:textId="3171ADF4" w:rsidR="003B03DF" w:rsidRPr="009B4522" w:rsidRDefault="003B03DF" w:rsidP="003B03DF">
      <w:pPr>
        <w:pStyle w:val="NormalHanging"/>
      </w:pPr>
      <w:r w:rsidRPr="009B4522">
        <w:t>Α.</w:t>
      </w:r>
      <w:r w:rsidRPr="009B4522">
        <w:tab/>
        <w:t>λαμβάνοντας υπόψη ότι, σύμφωνα με την έρευνα της ΕΚΤ του Νοεμβρίου</w:t>
      </w:r>
      <w:r w:rsidR="00001F94">
        <w:t xml:space="preserve"> του</w:t>
      </w:r>
      <w:r w:rsidRPr="009B4522">
        <w:t xml:space="preserve"> 2024 για τις προσδοκίες των καταναλωτών, κατά μέσο όρο το 9,7 % των ερωτηθέντων ή κάποιο μέλος του νοικοκυριού τους κατείχε κρυπτονομίσματα, εκ των οποίων το 54 % δήλωσαν ότι κατείχαν κρυπτονομίσματα αξίας κάτω των 1 000 EUR και το 91 % δήλωσαν ότι κατείχαν κρυπτονομίσματα αξίας κάτω των 20 000 EUR·</w:t>
      </w:r>
    </w:p>
    <w:p w14:paraId="0EA90A26" w14:textId="77777777" w:rsidR="003B03DF" w:rsidRPr="009B4522" w:rsidRDefault="003B03DF" w:rsidP="003B03DF">
      <w:pPr>
        <w:pStyle w:val="NormalHanging"/>
      </w:pPr>
      <w:r w:rsidRPr="009B4522">
        <w:t>Β.</w:t>
      </w:r>
      <w:r w:rsidRPr="009B4522">
        <w:tab/>
        <w:t>λαμβάνοντας υπόψη ότι η συνολική παγκόσμια χρηματιστηριακή αξία των κρυπτοστοιχείων ανήλθε σε 2,03 τρισεκατομμύρια EUR στις 10 Φεβρουαρίου 2026, με μερίδιο αγοράς 12,9 % ή 261 δισεκατομμύρια EUR για τα σταθερά κρυπτονομίσματα, σύμφωνα με ιδιωτικές πηγές δεδομένων· λαμβάνοντας υπόψη ότι, σύμφωνα με το έγγραφο εργασίας αριθ. 3199 της ΕΚΤ, οι προσδοκίες της αγοράς δείχνουν ισχυρή αύξηση της έκδοσης σταθερών κρυπτονομισμάτων·</w:t>
      </w:r>
    </w:p>
    <w:p w14:paraId="05F6F9DF" w14:textId="77777777" w:rsidR="003B03DF" w:rsidRPr="009B4522" w:rsidRDefault="003B03DF" w:rsidP="003B03DF">
      <w:pPr>
        <w:pStyle w:val="NormalHanging"/>
      </w:pPr>
      <w:r w:rsidRPr="009B4522">
        <w:t>Γ.</w:t>
      </w:r>
      <w:r w:rsidRPr="009B4522">
        <w:tab/>
        <w:t>λαμβάνοντας υπόψη ότι τα περιουσιακά στοιχεία υπό μορφή μαρκών αντιπροσώπευαν περίπου το 1 % των παγκόσμιων ψηφιακών περιουσιακών στοιχείων τον Φεβρουάριο του 2026, μερίδιο που αυξάνεται ραγδαία, με βάση μη εναρμονισμένες ιδιωτικές πηγές δεδομένων·</w:t>
      </w:r>
    </w:p>
    <w:p w14:paraId="6EDC9DFA" w14:textId="77777777" w:rsidR="003B03DF" w:rsidRPr="009B4522" w:rsidRDefault="003B03DF" w:rsidP="003B03DF">
      <w:pPr>
        <w:pStyle w:val="NormalHanging"/>
      </w:pPr>
      <w:r w:rsidRPr="009B4522">
        <w:t>Δ.</w:t>
      </w:r>
      <w:r w:rsidRPr="009B4522">
        <w:tab/>
        <w:t>λαμβάνοντας υπόψη ότι το 2025 το παγκόσμιο εργατικό δυναμικό στον τομέα των κρυπτοστοιχείων ανήλθε σε περισσότερους από 1,6 εκατομμύρια επαγγελματίες, εκ των οποίων η ΕΕ φιλοξενεί μεγάλο αλλά μειούμενο μερίδιο, με βάση ιδιωτικές πηγές δεδομένων·</w:t>
      </w:r>
    </w:p>
    <w:p w14:paraId="20A561FB" w14:textId="4603D28A" w:rsidR="003B03DF" w:rsidRPr="009B4522" w:rsidRDefault="003B03DF" w:rsidP="003B03DF">
      <w:pPr>
        <w:pStyle w:val="NormalHanging"/>
      </w:pPr>
      <w:r w:rsidRPr="009B4522">
        <w:t>Ε.</w:t>
      </w:r>
      <w:r w:rsidRPr="009B4522">
        <w:tab/>
        <w:t>λαμβάνοντας υπόψη ότι το άρθρο 2 παράγραφος 1 του κανονισμού (ΕΕ) 2022/858</w:t>
      </w:r>
      <w:r w:rsidR="00CF3347">
        <w:rPr>
          <w:rStyle w:val="FootnoteReference"/>
        </w:rPr>
        <w:footnoteReference w:id="3"/>
      </w:r>
      <w:r w:rsidRPr="009B4522">
        <w:t xml:space="preserve"> σχετικά με ένα πιλοτικό καθεστώς για την τεχνολογία κατανεμημένου καθολικού ορίζει την «τεχνολογία κατανεμημένου καθολικού» ή «DLT» ως την «τεχνολογία που καθιστά δυνατή τη λειτουργία και τη χρήση κατανεμημένων καθολικών»· λαμβάνοντας υπόψη ότι το άρθρο 2 παράγραφος 2 ορίζει το «κατανεμημένο καθολικό» ως «αποθετήριο πληροφοριών που τηρεί αρχεία συναλλαγών και το οποίο διαμοιράζεται και συγχρονίζεται μεταξύ ενός συνόλου κόμβων δικτύου DLT, με τη χρήση μηχανισμού συναίνεσης»·</w:t>
      </w:r>
    </w:p>
    <w:p w14:paraId="03AC8BDD" w14:textId="1624BD25" w:rsidR="003B03DF" w:rsidRPr="009B4522" w:rsidRDefault="003B03DF" w:rsidP="003B03DF">
      <w:pPr>
        <w:pStyle w:val="NormalHanging"/>
      </w:pPr>
      <w:r w:rsidRPr="009B4522">
        <w:t>ΣΤ.</w:t>
      </w:r>
      <w:r w:rsidRPr="009B4522">
        <w:tab/>
        <w:t xml:space="preserve">λαμβάνοντας υπόψη ότι ο κανονισμός (ΕΕ) 2023/1114 για τις αγορές </w:t>
      </w:r>
      <w:proofErr w:type="spellStart"/>
      <w:r w:rsidRPr="009B4522">
        <w:t>κρυπτοστοιχείων</w:t>
      </w:r>
      <w:proofErr w:type="spellEnd"/>
      <w:r w:rsidR="00CF3347">
        <w:rPr>
          <w:rStyle w:val="FootnoteReference"/>
        </w:rPr>
        <w:footnoteReference w:id="4"/>
      </w:r>
      <w:r w:rsidRPr="009B4522">
        <w:t xml:space="preserve"> </w:t>
      </w:r>
      <w:r w:rsidRPr="009B4522">
        <w:lastRenderedPageBreak/>
        <w:t>(</w:t>
      </w:r>
      <w:proofErr w:type="spellStart"/>
      <w:r w:rsidRPr="009B4522">
        <w:t>MiCAR</w:t>
      </w:r>
      <w:proofErr w:type="spellEnd"/>
      <w:r w:rsidRPr="009B4522">
        <w:t>) θεσπίζει ένα εναρμονισμένο πλαίσιο στην ΕΕ για τα κρυπτοστοιχεία, κάνοντας διάκριση μεταξύ τριών βασικών κατηγοριών, δηλαδή των μαρκών ηλεκτρονικού χρήματος, οι οποίες επιδιώκουν τη διατήρηση σταθερής αξίας με αναφορά στην αξία ενός επίσημου νομίσματος, των μαρκών με αναφορά σε περιουσιακά στοιχεία, οι οποίες επιδιώκουν τη διατήρηση σταθερής αξίας με αναφορά σε άλλη αξία ή δικαίωμα ή συνδυασμό αυτών, συμπεριλαμβανομένου ενός ή περισσότερων επίσημων νομισμάτων, και άλλων κρυπτοστοιχείων, δηλαδή ψηφιακής αναπαράστασης αξίας ή δικαιώματος που μπορεί να μεταβιβαστεί και να αποθηκευτεί ηλεκτρονικά, με χρήση τεχνολογίας κατανεμημένου καθολικού ή παρόμοιας τεχνολογίας, και δεν εμπίπτουν στις άλλες κατηγορίες·</w:t>
      </w:r>
    </w:p>
    <w:p w14:paraId="0D7E612C" w14:textId="77777777" w:rsidR="003B03DF" w:rsidRPr="009B4522" w:rsidRDefault="003B03DF" w:rsidP="003B03DF">
      <w:pPr>
        <w:pStyle w:val="NormalHanging"/>
      </w:pPr>
      <w:r w:rsidRPr="009B4522">
        <w:t>Ζ.</w:t>
      </w:r>
      <w:r w:rsidRPr="009B4522">
        <w:tab/>
        <w:t xml:space="preserve">λαμβάνοντας υπόψη ότι ο κανονισμός </w:t>
      </w:r>
      <w:proofErr w:type="spellStart"/>
      <w:r w:rsidRPr="009B4522">
        <w:t>MiCAR</w:t>
      </w:r>
      <w:proofErr w:type="spellEnd"/>
      <w:r w:rsidRPr="009B4522">
        <w:t>, στο άρθρο 2 παράγραφος 4, εξαιρεί από το πεδίο εφαρμογής του τα κρυπτοστοιχεία που χαρακτηρίζονται ως χρηματοπιστωτικά μέσα, καταθέσεις, χρηματικά ποσά, τιτλοποιήσεις, ασφαλιστικά ή συνταξιοδοτικά προϊόντα σύμφωνα με την ισχύουσα νομοθεσία της ΕΕ, ώστε να διασφαλίζεται ότι τα εν λόγω κρυπτοστοιχεία εξακολουθούν να υπόκεινται στα σχετικά ειδικά ανά τομέα νομοθετικά πλαίσια και να αντικατοπτρίζεται το μοντέλο εποπτείας βάσει προϊόντων της νομοθεσίας της ΕΕ για τις χρηματοπιστωτικές υπηρεσίες·</w:t>
      </w:r>
    </w:p>
    <w:p w14:paraId="44629E30" w14:textId="77777777" w:rsidR="003B03DF" w:rsidRPr="009B4522" w:rsidRDefault="003B03DF" w:rsidP="003B03DF">
      <w:pPr>
        <w:pStyle w:val="NormalHanging"/>
      </w:pPr>
      <w:r w:rsidRPr="009B4522">
        <w:t>Η.</w:t>
      </w:r>
      <w:r w:rsidRPr="009B4522">
        <w:tab/>
        <w:t>λαμβάνοντας υπόψη ότι η νέα κυβέρνηση των ΗΠΑ είναι πολύ πιο ανοιχτή απέναντι στα κρυπτοστοιχεία, γεγονός που οδήγησε στην έγκριση κομβικής σημασίας νομοθεσίας και την υιοθέτηση μιας πιο επιεικούς προσέγγισης των δραστηριοτήτων επιβολής από τις εποπτικές αρχές· λαμβάνοντας υπόψη ότι η κανονιστική προσέγγιση στις Ηνωμένες Πολιτείες παραμένει στο στάδιο της ανάπτυξης και ότι οι υπεύθυνοι χάραξης πολιτικής και οι ρυθμιστικές αρχές των ΗΠΑ αναφέρονται γενικά σε «ψηφιακά περιουσιακά στοιχεία», τα οποία συνήθως θεωρείται ότι περιλαμβάνουν κρυπτογραφικά ψηφιακές αναπαραστάσεις αξίας ή δικαιωμάτων που διασφαλίζονται σε κατανεμημένο καθολικό, συμπεριλαμβανομένων των κρυπτονομισμάτων, των σταθερών κρυπτονομισμάτων και ορισμένων μέσων υπό μορφή μαρκών·</w:t>
      </w:r>
    </w:p>
    <w:p w14:paraId="165B830A" w14:textId="77777777" w:rsidR="003B03DF" w:rsidRPr="009B4522" w:rsidRDefault="003B03DF" w:rsidP="003B03DF">
      <w:pPr>
        <w:pStyle w:val="Normal12a"/>
      </w:pPr>
      <w:r w:rsidRPr="009B4522">
        <w:rPr>
          <w:b/>
          <w:i/>
        </w:rPr>
        <w:t>Επισκόπηση</w:t>
      </w:r>
    </w:p>
    <w:p w14:paraId="4FBEC3D0" w14:textId="3AF90B58" w:rsidR="003B03DF" w:rsidRPr="009B4522" w:rsidRDefault="00F87994" w:rsidP="00F87994">
      <w:pPr>
        <w:pStyle w:val="NormalHanging12a"/>
        <w:ind w:left="567" w:hanging="570"/>
      </w:pPr>
      <w:r w:rsidRPr="009B4522">
        <w:t>1.</w:t>
      </w:r>
      <w:r w:rsidRPr="009B4522">
        <w:tab/>
      </w:r>
      <w:r w:rsidR="003B03DF" w:rsidRPr="009B4522">
        <w:t>υποστηρίζει τον μακροπρόθεσμο στόχο μιας συστημικής, βασισμένης στις δραστηριότητες και τεχνολογικά ουδέτερης προσέγγισης για το κανονιστικό πλαίσιο της ΕΕ για τις χρηματοπιστωτικές υπηρεσίες·</w:t>
      </w:r>
    </w:p>
    <w:p w14:paraId="646AF0B5" w14:textId="26162793" w:rsidR="003B03DF" w:rsidRPr="009B4522" w:rsidRDefault="00F87994" w:rsidP="00F87994">
      <w:pPr>
        <w:pStyle w:val="NormalHanging12a"/>
        <w:ind w:left="567" w:hanging="570"/>
      </w:pPr>
      <w:r w:rsidRPr="009B4522">
        <w:t>2.</w:t>
      </w:r>
      <w:r w:rsidRPr="009B4522">
        <w:tab/>
      </w:r>
      <w:r w:rsidR="003B03DF" w:rsidRPr="009B4522">
        <w:t>υπογραμμίζει ότι οι τεχνολογίες κατανεμημένου καθολικού και μετατροπής περιουσιακών στοιχείων σε μάρκες έχουν τη δυνατότητα υποστήριξης των στόχων της Ένωσης Αποταμιεύσεων και Επενδύσεων μέσω της διευκόλυνσης των διασυνοριακών επενδύσεων, της μείωσης του κατακερματισμού της αγοράς και της δυνατότητας παροχής πιο αποτελεσματικών υποδομών κεφαλαιαγοράς σε όλη την Ένωση· υπογραμμίζει τον κρίσιμο ρόλο της διαλειτουργικότητας·</w:t>
      </w:r>
    </w:p>
    <w:p w14:paraId="75A12A0A" w14:textId="6ACF199A" w:rsidR="003B03DF" w:rsidRPr="009B4522" w:rsidRDefault="00F87994" w:rsidP="00F87994">
      <w:pPr>
        <w:pStyle w:val="NormalHanging12a"/>
        <w:ind w:left="567" w:hanging="570"/>
      </w:pPr>
      <w:r w:rsidRPr="009B4522">
        <w:t>3.</w:t>
      </w:r>
      <w:r w:rsidRPr="009B4522">
        <w:tab/>
      </w:r>
      <w:r w:rsidR="003B03DF" w:rsidRPr="009B4522">
        <w:t xml:space="preserve">τονίζει ότι η εμφάνιση νέων τεχνολογιών στον χρηματοπιστωτικό τομέα θέτει νέες προκλήσεις για το κανονιστικό και εποπτικό πλαίσιο· σημειώνει την ποικιλομορφία μεταξύ των ψηφιακών περιουσιακών στοιχείων και αναγνωρίζει ότι οι σχετικοί κίνδυνοι και το επιχειρηματικό δυναμικό διαφέρουν από τη μία κατηγορία στην άλλη· επιβεβαιώνει τη δέσμευσή του για στοχευμένη αναθεώρηση των κανονιστικών πλαισίων της ΕΕ με σκοπό την ανάπτυξη ισχυρών, ψηφιακών υποδομών κεφαλαιαγορών και υποδομών πληρωμής της ΕΕ που θα βασίζονται σε ψηφιακά στοιχεία· παροτρύνει την Επιτροπή να αξιολογήσει την αναγκαιότητα και τη </w:t>
      </w:r>
      <w:r w:rsidR="003B03DF" w:rsidRPr="009B4522">
        <w:lastRenderedPageBreak/>
        <w:t xml:space="preserve">σκοπιμότητα της ρύθμισης της δανειοδότησης και της δανειοληψίας κρυπτοστοιχείων, συμπεριλαμβανομένης της χρηματοδότησης, των μη ανταλλάξιμων μαρκών και της αποκεντρωμένης χρηματοδότησης, στο πλαίσιο του κανονισμού </w:t>
      </w:r>
      <w:proofErr w:type="spellStart"/>
      <w:r w:rsidR="003B03DF" w:rsidRPr="009B4522">
        <w:t>MiCAR</w:t>
      </w:r>
      <w:proofErr w:type="spellEnd"/>
      <w:r w:rsidR="003B03DF" w:rsidRPr="009B4522">
        <w:t>·</w:t>
      </w:r>
    </w:p>
    <w:p w14:paraId="42D6BD1D" w14:textId="33A20CBA" w:rsidR="003B03DF" w:rsidRPr="009B4522" w:rsidRDefault="00F87994" w:rsidP="00F87994">
      <w:pPr>
        <w:pStyle w:val="NormalHanging12a"/>
        <w:ind w:left="567" w:hanging="570"/>
      </w:pPr>
      <w:r w:rsidRPr="009B4522">
        <w:t>4.</w:t>
      </w:r>
      <w:r w:rsidRPr="009B4522">
        <w:tab/>
      </w:r>
      <w:r w:rsidR="003B03DF" w:rsidRPr="009B4522">
        <w:t>υπογραμμίζει τις δυνητικές ικανότητες καινοτομίας και συνδεσιμότητας των κρυπτογραφικά ασφαλών κατανεμημένων καθολικών και παρόμοιων τεχνολογιών για υποδομές χρηματοπιστωτικών υπηρεσιών, τόσο εντός της ΕΕ όσο και για τον παγκόσμιο ρόλο της ΕΕ· τονίζει ότι ένα προβλέψιμο και φιλικό προς την καινοτομία κανονιστικό περιβάλλον θα είναι απαραίτητο προκειμένου να εξασφαλιστεί ότι οι επενδύσεις και η τεχνολογική ανάπτυξη παραμένουν εντός της ΕΕ και προκειμένου να ενισχυθεί η ανταγωνιστικότητα και η εμπιστοσύνη σε χρηματοπιστωτικές υποδομές σε ευρώ·</w:t>
      </w:r>
    </w:p>
    <w:p w14:paraId="4321E890" w14:textId="77777777" w:rsidR="003B03DF" w:rsidRPr="009B4522" w:rsidRDefault="003B03DF" w:rsidP="003B03DF">
      <w:pPr>
        <w:pStyle w:val="Normal12a"/>
      </w:pPr>
      <w:r w:rsidRPr="009B4522">
        <w:rPr>
          <w:b/>
          <w:i/>
        </w:rPr>
        <w:t>Κρυπτοστοιχεία</w:t>
      </w:r>
    </w:p>
    <w:p w14:paraId="06E3ACCA" w14:textId="5042F446" w:rsidR="003B03DF" w:rsidRPr="009B4522" w:rsidRDefault="00F87994" w:rsidP="00F87994">
      <w:pPr>
        <w:pStyle w:val="NormalHanging12a"/>
        <w:ind w:left="567" w:hanging="570"/>
      </w:pPr>
      <w:r w:rsidRPr="009B4522">
        <w:t>5.</w:t>
      </w:r>
      <w:r w:rsidRPr="009B4522">
        <w:tab/>
      </w:r>
      <w:r w:rsidR="003B03DF" w:rsidRPr="009B4522">
        <w:t xml:space="preserve">αναγνωρίζει ότι η ΕΕ ήταν μεταξύ των πρώτων δικαιοδοσιών που ενέκριναν και εφάρμοσαν ένα ειδικό καθεστώς για τα κρυπτοστοιχεία με τον κανονισμό </w:t>
      </w:r>
      <w:proofErr w:type="spellStart"/>
      <w:r w:rsidR="003B03DF" w:rsidRPr="009B4522">
        <w:t>MiCAR</w:t>
      </w:r>
      <w:proofErr w:type="spellEnd"/>
      <w:r w:rsidR="003B03DF" w:rsidRPr="009B4522">
        <w:t xml:space="preserve">, και που εφάρμοσαν την τεχνολογία DLT στον χρηματοπιστωτικό τομέα· καλεί την Επιτροπή, σε στενή συνεργασία με την ΕΑΤ, την ESMA, την Αρχή για την καταπολέμηση της νομιμοποίησης εσόδων από παράνομες δραστηριότητες και της χρηματοδότησης της τρομοκρατίας (ΑΚΝΕΠΑΔ) και τις εθνικές αρμόδιες αρχές, να διασφαλίσουν την αποτελεσματική επιβολή του κανονισμού </w:t>
      </w:r>
      <w:proofErr w:type="spellStart"/>
      <w:r w:rsidR="003B03DF" w:rsidRPr="009B4522">
        <w:t>MiCAR</w:t>
      </w:r>
      <w:proofErr w:type="spellEnd"/>
      <w:r w:rsidR="003B03DF" w:rsidRPr="009B4522">
        <w:t xml:space="preserve">· καλεί τα κράτη μέλη να μην εισαγάγουν επιπρόσθετες απαιτήσεις και υποχρεώσεις πέραν των πλαισίων του κανονισμού </w:t>
      </w:r>
      <w:proofErr w:type="spellStart"/>
      <w:r w:rsidR="003B03DF" w:rsidRPr="009B4522">
        <w:t>MiCAR</w:t>
      </w:r>
      <w:proofErr w:type="spellEnd"/>
      <w:r w:rsidR="003B03DF" w:rsidRPr="009B4522">
        <w:t xml:space="preserve"> ή του κανονισμού για τις μεταφορές χρηματικών ποσών</w:t>
      </w:r>
      <w:r w:rsidR="00CF3347">
        <w:rPr>
          <w:rStyle w:val="FootnoteReference"/>
        </w:rPr>
        <w:footnoteReference w:id="5"/>
      </w:r>
      <w:r w:rsidR="003B03DF" w:rsidRPr="009B4522">
        <w:t>·</w:t>
      </w:r>
    </w:p>
    <w:p w14:paraId="67687801" w14:textId="542FFE7D" w:rsidR="003B03DF" w:rsidRPr="009B4522" w:rsidRDefault="00F87994" w:rsidP="00F87994">
      <w:pPr>
        <w:pStyle w:val="NormalHanging12a"/>
        <w:ind w:left="567" w:hanging="570"/>
      </w:pPr>
      <w:r w:rsidRPr="009B4522">
        <w:t>6.</w:t>
      </w:r>
      <w:r w:rsidRPr="009B4522">
        <w:tab/>
      </w:r>
      <w:r w:rsidR="003B03DF" w:rsidRPr="009B4522">
        <w:t>τονίζει τη σημασία της ενίσχυσης των ικανοτήτων δεδομένων, ιδίως όσον αφορά τη μόχλευση στον κλάδο των κρυπτοστοιχείων και τις διασυνδέσεις με τον τομέα των μη τραπεζικών χρηματοπιστωτικών ιδρυμάτων· παροτρύνει την Επιτροπή να συνεχίσει να παρακολουθεί τη διασύνδεση των κρυπτοστοιχείων με το χρηματοπιστωτικό σύστημα· σημειώνει ότι τα μη εξασφαλισμένα κρυπτοστοιχεία ενδέχεται να είναι επιρρεπή σε πρόσθετους κινδύνους και αστάθεια·</w:t>
      </w:r>
    </w:p>
    <w:p w14:paraId="2DD0A82A" w14:textId="66BF4E69" w:rsidR="003B03DF" w:rsidRPr="009B4522" w:rsidRDefault="00F87994" w:rsidP="00F87994">
      <w:pPr>
        <w:pStyle w:val="NormalHanging12a"/>
        <w:ind w:left="567" w:hanging="570"/>
      </w:pPr>
      <w:r w:rsidRPr="009B4522">
        <w:t>7.</w:t>
      </w:r>
      <w:r w:rsidRPr="009B4522">
        <w:tab/>
      </w:r>
      <w:r w:rsidR="003B03DF" w:rsidRPr="009B4522">
        <w:t xml:space="preserve">καλεί την ΕΑΤ, την ESMA, την ΑΝΚΕΠΑΔ, την Ευρωπαϊκή Αρχή Ασφαλίσεων και Επαγγελματικών Συντάξεων, τις εθνικές αρμόδιες αρχές, την ΕΚΤ και το ΕΣΣΚ να ενισχύσουν τον εποπτικό διάλογο σχετικά με τους σημαντικούς </w:t>
      </w:r>
      <w:proofErr w:type="spellStart"/>
      <w:r w:rsidR="003B03DF" w:rsidRPr="009B4522">
        <w:t>πολυλειτουργικούς</w:t>
      </w:r>
      <w:proofErr w:type="spellEnd"/>
      <w:r w:rsidR="003B03DF" w:rsidRPr="009B4522">
        <w:t xml:space="preserve"> ομίλους· υπογραμμίζει την ανάγκη ευθυγράμμισης του πλαισίου πολιτικής του κανονισμού </w:t>
      </w:r>
      <w:proofErr w:type="spellStart"/>
      <w:r w:rsidR="003B03DF" w:rsidRPr="009B4522">
        <w:t>MiCAR</w:t>
      </w:r>
      <w:proofErr w:type="spellEnd"/>
      <w:r w:rsidR="003B03DF" w:rsidRPr="009B4522">
        <w:t xml:space="preserve"> για τους σημαντικούς μη τραπεζικούς </w:t>
      </w:r>
      <w:proofErr w:type="spellStart"/>
      <w:r w:rsidR="003B03DF" w:rsidRPr="009B4522">
        <w:t>πολυλειτουργικούς</w:t>
      </w:r>
      <w:proofErr w:type="spellEnd"/>
      <w:r w:rsidR="003B03DF" w:rsidRPr="009B4522">
        <w:t xml:space="preserve"> ομίλους·</w:t>
      </w:r>
    </w:p>
    <w:p w14:paraId="38D01904" w14:textId="3110A60F" w:rsidR="003B03DF" w:rsidRPr="009B4522" w:rsidRDefault="00F87994" w:rsidP="00F87994">
      <w:pPr>
        <w:pStyle w:val="NormalHanging12a"/>
        <w:ind w:left="567" w:hanging="570"/>
      </w:pPr>
      <w:r w:rsidRPr="009B4522">
        <w:t>8.</w:t>
      </w:r>
      <w:r w:rsidRPr="009B4522">
        <w:tab/>
      </w:r>
      <w:r w:rsidR="003B03DF" w:rsidRPr="009B4522">
        <w:t>αναγνωρίζει ότι οι τεχνολογίες κατανεμημένου καθολικού εισαγάγουν νέα τεχνολογικά και λειτουργικά ζητήματα για τους χρηματοπιστωτικούς επόπτες, συμπεριλαμβανομένων ζητημάτων που σχετίζονται με την έξυπνη ασφάλεια συμβάσεων, τη διακυβέρνηση αποκεντρωμένων δικτύων, την κυβερνοανθεκτικότητα και τη διαχείριση επιχειρησιακού κινδύνου· ζητά από τις εποπτικές αρχές να αναπτύξουν επαρκή τεχνική εμπειρογνωμοσύνη προκειμένου να κατανοήσουν και να παρακολουθήσουν αποτελεσματικά αυτές τις αναδυόμενες υποδομές αγορών.</w:t>
      </w:r>
    </w:p>
    <w:p w14:paraId="225C8C6A" w14:textId="5C9DE96B" w:rsidR="003B03DF" w:rsidRPr="009B4522" w:rsidRDefault="00F87994" w:rsidP="00F87994">
      <w:pPr>
        <w:pStyle w:val="NormalHanging12a"/>
        <w:ind w:left="567" w:hanging="570"/>
      </w:pPr>
      <w:r w:rsidRPr="009B4522">
        <w:lastRenderedPageBreak/>
        <w:t>9.</w:t>
      </w:r>
      <w:r w:rsidRPr="009B4522">
        <w:tab/>
      </w:r>
      <w:r w:rsidR="003B03DF" w:rsidRPr="009B4522">
        <w:t xml:space="preserve">εκφράζει την ανησυχία του για τον ρόλο που διαδραματίζουν τα κρυπτοστοιχεία στην παράκαμψη των κανονισμών και των κυρώσεων για την καταπολέμηση της νομιμοποίησης εσόδων από παράνομες δραστηριότητες και της χρηματοδότησης της τρομοκρατίας (ΚΞΧ/ΧΤ)· τονίζει τη σημασία της ενίσχυσης των εποπτικών εργαλείων, της επιβολής και των προτύπων συμμόρφωσης για την αντιμετώπιση των κινδύνων ΚΞΧ/ΧΤ, συμπεριλαμβανομένων αποτελεσματικών προτύπων για τη γνώση της ταυτότητας των πελατών και την παρακολούθηση των πληρωμών· υπογραμμίζει ότι είναι σημαντικό οι ερευνητικές αρχές να χρησιμοποιούν την τεχνολογία που βρίσκεται πίσω από τα κρυπτοστοιχεία για να αποθαρρύνουν τα </w:t>
      </w:r>
      <w:proofErr w:type="spellStart"/>
      <w:r w:rsidR="003B03DF" w:rsidRPr="009B4522">
        <w:t>κρυπτοεγκλήματα</w:t>
      </w:r>
      <w:proofErr w:type="spellEnd"/>
      <w:r w:rsidR="003B03DF" w:rsidRPr="009B4522">
        <w:t xml:space="preserve"> και να συνεργάζονται μεταξύ τους για τον αποκλεισμό παράνομων συναλλαγών που εντοπίζονται ή αναφέρονται·</w:t>
      </w:r>
    </w:p>
    <w:p w14:paraId="53838FCE" w14:textId="41906C77" w:rsidR="003B03DF" w:rsidRPr="009B4522" w:rsidRDefault="00F87994" w:rsidP="00F87994">
      <w:pPr>
        <w:pStyle w:val="NormalHanging12a"/>
        <w:ind w:left="567" w:hanging="570"/>
      </w:pPr>
      <w:r w:rsidRPr="009B4522">
        <w:t>10.</w:t>
      </w:r>
      <w:r w:rsidRPr="009B4522">
        <w:tab/>
      </w:r>
      <w:r w:rsidR="003B03DF" w:rsidRPr="009B4522">
        <w:t>σημειώνει την εμφάνιση υβριδικών προϊόντων που συνδυάζουν χαρακτηριστικά κρυπτοστοιχείων και παραδοσιακών χρηματοπιστωτικών μέσων, γεγονός που μπορεί να δημιουργήσει ανασφάλεια δικαίου·</w:t>
      </w:r>
    </w:p>
    <w:p w14:paraId="7930AEBE" w14:textId="77777777" w:rsidR="003B03DF" w:rsidRPr="009B4522" w:rsidRDefault="003B03DF" w:rsidP="003B03DF">
      <w:pPr>
        <w:pStyle w:val="Normal12a"/>
      </w:pPr>
      <w:r w:rsidRPr="009B4522">
        <w:rPr>
          <w:b/>
          <w:i/>
        </w:rPr>
        <w:t>Μετατροπή σε μάρκες (</w:t>
      </w:r>
      <w:proofErr w:type="spellStart"/>
      <w:r w:rsidRPr="009B4522">
        <w:rPr>
          <w:b/>
          <w:i/>
        </w:rPr>
        <w:t>tokenisation</w:t>
      </w:r>
      <w:proofErr w:type="spellEnd"/>
      <w:r w:rsidRPr="009B4522">
        <w:rPr>
          <w:b/>
          <w:i/>
        </w:rPr>
        <w:t>) χρηματοπιστωτικών μέσων</w:t>
      </w:r>
    </w:p>
    <w:p w14:paraId="5BACB837" w14:textId="23605458" w:rsidR="003B03DF" w:rsidRPr="009B4522" w:rsidRDefault="00F87994" w:rsidP="00F87994">
      <w:pPr>
        <w:pStyle w:val="NormalHanging12a"/>
        <w:ind w:left="567" w:hanging="570"/>
      </w:pPr>
      <w:r w:rsidRPr="009B4522">
        <w:t>11.</w:t>
      </w:r>
      <w:r w:rsidRPr="009B4522">
        <w:tab/>
      </w:r>
      <w:r w:rsidR="003B03DF" w:rsidRPr="009B4522">
        <w:t>σημειώνει ότι η αιτιολογική σκέψη 3 του κανονισμού (ΕΕ) 2022/858 ορίζει τη «μετατροπή χρηματοπιστωτικών μέσων σε μάρκες» (</w:t>
      </w:r>
      <w:proofErr w:type="spellStart"/>
      <w:r w:rsidR="003B03DF" w:rsidRPr="009B4522">
        <w:t>tokenisation</w:t>
      </w:r>
      <w:proofErr w:type="spellEnd"/>
      <w:r w:rsidR="003B03DF" w:rsidRPr="009B4522">
        <w:t>) ως την ψηφιακή αναπαράσταση χρηματοπιστωτικών μέσων σε κατανεμημένα καθολικά ή την έκδοση παραδοσιακών κατηγοριών περιουσιακών στοιχείων υπό μορφή μαρκών που τους επιτρέπει να εκδίδονται, να αποθηκεύονται και να μεταβιβάζονται σε κατανεμημένο καθολικό·</w:t>
      </w:r>
    </w:p>
    <w:p w14:paraId="0C24064D" w14:textId="5FFA60CC" w:rsidR="003B03DF" w:rsidRPr="009B4522" w:rsidRDefault="00F87994" w:rsidP="00F87994">
      <w:pPr>
        <w:pStyle w:val="NormalHanging12a"/>
        <w:ind w:left="567" w:hanging="570"/>
      </w:pPr>
      <w:r w:rsidRPr="009B4522">
        <w:t>12.</w:t>
      </w:r>
      <w:r w:rsidRPr="009B4522">
        <w:tab/>
      </w:r>
      <w:r w:rsidR="003B03DF" w:rsidRPr="009B4522">
        <w:t>τονίζει ότι η μετατροπή των χρηματοπιστωτικών στοιχείων σε μάρκες δεν αλλοιώνει από μόνη της τη νομική φύση ή τα βασικά οικονομικά χαρακτηριστικά αυτών των στοιχείων· τονίζει ότι τα χρηματοπιστωτικά μέσα που μετατρέπονται σε μάρκες πρέπει να παρέχουν δικαιώματα ισοδύναμα με εκείνα που συνδέονται με παραδοσιακές κινητές αξίες προκειμένου να προληφθεί το ρυθμιστικό αρμπιτράζ και να διασφαλιστεί η προστασία των επενδυτών·</w:t>
      </w:r>
    </w:p>
    <w:p w14:paraId="5D127629" w14:textId="684CA8F3" w:rsidR="003B03DF" w:rsidRPr="009B4522" w:rsidRDefault="00F87994" w:rsidP="00F87994">
      <w:pPr>
        <w:pStyle w:val="NormalHanging12a"/>
        <w:ind w:left="567" w:hanging="570"/>
      </w:pPr>
      <w:r w:rsidRPr="009B4522">
        <w:t>13.</w:t>
      </w:r>
      <w:r w:rsidRPr="009B4522">
        <w:tab/>
      </w:r>
      <w:r w:rsidR="003B03DF" w:rsidRPr="009B4522">
        <w:t>εκφράζει την ικανοποίησή του για τα δυνητικά οφέλη της μετατροπής χρηματοπιστωτικών μέσων σε μάρκες για τη διαπραγμάτευση χρηματοοικονομικών περιουσιακών στοιχείων, όπως η αυξημένη αποτελεσματικότητα και διαφάνεια, ο μειωμένος κίνδυνος αντισυμβαλλομένου και οι μειωμένες λειτουργικές δαπάνες, οι έξυπνες συμβάσεις και η βελτιωμένη ρευστότητα μέσω της τμηματικής ιδιοκτησίας, επισημαίνοντας παράλληλα ότι τα τρωτά σημεία της θα πρέπει να παρακολουθούνται·</w:t>
      </w:r>
    </w:p>
    <w:p w14:paraId="284BF9F5" w14:textId="018BB934" w:rsidR="003B03DF" w:rsidRPr="009B4522" w:rsidRDefault="00F87994" w:rsidP="00F87994">
      <w:pPr>
        <w:pStyle w:val="NormalHanging12a"/>
        <w:ind w:left="567" w:hanging="570"/>
      </w:pPr>
      <w:r w:rsidRPr="009B4522">
        <w:t>14.</w:t>
      </w:r>
      <w:r w:rsidRPr="009B4522">
        <w:tab/>
      </w:r>
      <w:r w:rsidR="003B03DF" w:rsidRPr="009B4522">
        <w:t>παροτρύνει την Επιτροπή να διευκολύνει και να ενθαρρύνει τη δημιουργία μαρκών σε όλες τις χρηματοπιστωτικές υπηρεσίες, επιμένοντας στη διαλειτουργικότητα και στην πρόληψη του κατακερματισμού με την τήρηση προτύπων σε ολόκληρη την ενιαία αγορά και την παροχή υποδομών·</w:t>
      </w:r>
    </w:p>
    <w:p w14:paraId="05C0F789" w14:textId="232FF30B" w:rsidR="003B03DF" w:rsidRPr="009B4522" w:rsidRDefault="00F87994" w:rsidP="00F87994">
      <w:pPr>
        <w:pStyle w:val="NormalHanging12a"/>
        <w:ind w:left="567" w:hanging="570"/>
      </w:pPr>
      <w:r w:rsidRPr="009B4522">
        <w:t>15.</w:t>
      </w:r>
      <w:r w:rsidRPr="009B4522">
        <w:tab/>
      </w:r>
      <w:r w:rsidR="003B03DF" w:rsidRPr="009B4522">
        <w:t>αναγνωρίζει τις προσπάθειες της ΕΚΤ να παράσχει λύσεις, συμπεριλαμβανομένων υποδομών που προσφέρουν μια επιλογή για ένα ψηφιακό νόμισμα κεντρικής τράπεζας χονδρικής (CBDC) που επιτρέπει τον διακανονισμό του σκέλους μετρητών και περιουσιακών στοιχείων εντός κοινού καθολικού, συμπληρωματικά προς τις καταθέσεις εμπορικών τραπεζών σε μάρκες και τα σταθερά κρυπτονομίσματα·</w:t>
      </w:r>
    </w:p>
    <w:p w14:paraId="56E4F9D7" w14:textId="12174E9F" w:rsidR="003B03DF" w:rsidRPr="009B4522" w:rsidRDefault="00F87994" w:rsidP="00F87994">
      <w:pPr>
        <w:pStyle w:val="NormalHanging12a"/>
        <w:ind w:left="567" w:hanging="570"/>
      </w:pPr>
      <w:r w:rsidRPr="009B4522">
        <w:lastRenderedPageBreak/>
        <w:t>16.</w:t>
      </w:r>
      <w:r w:rsidRPr="009B4522">
        <w:tab/>
      </w:r>
      <w:r w:rsidR="003B03DF" w:rsidRPr="009B4522">
        <w:t>υπογραμμίζει τις δυνατότητες παγκόσμιας συνδεσιμότητας της ευρωπαϊκής αγοράς υπό μορφή μαρκών· τονίζει τη σημασία της διεθνούς συνεργασίας προκειμένου να εναρμονιστούν τα κριτήρια, οι αρχές και τα πρότυπα κατηγοριοποίησης· υποστηρίζει το έργο της ΤΔΔ στις πρωτοβουλίες διασυνοριακής συνεργασίας στον τομέα των πληρωμών·</w:t>
      </w:r>
    </w:p>
    <w:p w14:paraId="29519A5A" w14:textId="0D4102DB" w:rsidR="003B03DF" w:rsidRPr="009B4522" w:rsidRDefault="00F87994" w:rsidP="00F87994">
      <w:pPr>
        <w:pStyle w:val="NormalHanging12a"/>
        <w:ind w:left="567" w:hanging="570"/>
      </w:pPr>
      <w:r w:rsidRPr="009B4522">
        <w:t>17.</w:t>
      </w:r>
      <w:r w:rsidRPr="009B4522">
        <w:tab/>
      </w:r>
      <w:r w:rsidR="003B03DF" w:rsidRPr="009B4522">
        <w:t>εκφράζει την ικανοποίησή του για τις συνεχιζόμενες συζητήσεις σχετικά με το πιλοτικό καθεστώς DLT στο πλαίσιο της δέσμης μέτρων για την ολοκλήρωση και την εποπτεία της αγοράς·</w:t>
      </w:r>
    </w:p>
    <w:p w14:paraId="3A9B4217" w14:textId="77777777" w:rsidR="003B03DF" w:rsidRPr="009B4522" w:rsidRDefault="003B03DF" w:rsidP="003B03DF">
      <w:pPr>
        <w:pStyle w:val="Normal12a"/>
      </w:pPr>
      <w:r w:rsidRPr="009B4522">
        <w:rPr>
          <w:b/>
          <w:i/>
        </w:rPr>
        <w:t>Σταθερά κρυπτονομίσματα</w:t>
      </w:r>
    </w:p>
    <w:p w14:paraId="71434C90" w14:textId="62E52ECB" w:rsidR="003B03DF" w:rsidRPr="009B4522" w:rsidRDefault="00F87994" w:rsidP="00F87994">
      <w:pPr>
        <w:pStyle w:val="NormalHanging12a"/>
        <w:ind w:left="567" w:hanging="570"/>
      </w:pPr>
      <w:r w:rsidRPr="009B4522">
        <w:t>18.</w:t>
      </w:r>
      <w:r w:rsidRPr="009B4522">
        <w:tab/>
      </w:r>
      <w:r w:rsidR="003B03DF" w:rsidRPr="009B4522">
        <w:t xml:space="preserve">σημειώνει ότι τα σταθερά κρυπτονομίσματα μπορούν να εμπίπτουν σε δύο κατηγορίες βάσει του νομικού πλαισίου του κανονισμού </w:t>
      </w:r>
      <w:proofErr w:type="spellStart"/>
      <w:r w:rsidR="003B03DF" w:rsidRPr="009B4522">
        <w:t>MiCAR</w:t>
      </w:r>
      <w:proofErr w:type="spellEnd"/>
      <w:r w:rsidR="003B03DF" w:rsidRPr="009B4522">
        <w:t>, ως μάρκες με αναφορά σε περιουσιακά στοιχεία και ως μάρκες ηλεκτρονικού χρήματος·</w:t>
      </w:r>
    </w:p>
    <w:p w14:paraId="3DDD12D8" w14:textId="1593D1D2" w:rsidR="003B03DF" w:rsidRDefault="00F87994" w:rsidP="00F87994">
      <w:pPr>
        <w:pStyle w:val="NormalHanging12a"/>
        <w:ind w:left="567" w:hanging="570"/>
      </w:pPr>
      <w:r>
        <w:t>19.</w:t>
      </w:r>
      <w:r>
        <w:tab/>
      </w:r>
      <w:r w:rsidR="003B03DF" w:rsidRPr="009B4522">
        <w:t xml:space="preserve">σημειώνει ότι τα σταθερά κρυπτονομίσματα είναι μια μορφή δημιουργίας ιδιωτικού χρήματος και ότι η οικονομική λειτουργία τους παρουσιάζει ομοιότητες με τις συναλλαγματικές ισοτιμίες, τα αμοιβαία κεφάλαια της χρηματαγοράς και τις τράπεζες περιορισμένων δυνατοτήτων· τονίζει, ωστόσο, ότι ο κανονισμός </w:t>
      </w:r>
      <w:proofErr w:type="spellStart"/>
      <w:r w:rsidR="003B03DF" w:rsidRPr="009B4522">
        <w:t>MiCAR</w:t>
      </w:r>
      <w:proofErr w:type="spellEnd"/>
      <w:r w:rsidR="003B03DF" w:rsidRPr="009B4522">
        <w:t xml:space="preserve"> απαγορεύει στους εκδότες μαρκών ηλεκτρονικού χρήματος και στους παρόχους υπηρεσιών κρυπτοστοιχείων να χορηγούν άμεσα ή έμμεσα τόκους σε σχέση με μάρκες ηλεκτρονικού χρήματος, και ότι τα σταθερά κρυπτονομίσματα δεν έχουν άμεση πρόσβαση σε κεντρικές τράπεζες και ότι οι κάτοχοί τους δεν καλύπτονται από συστήματα εγγύησης των καταθέσεων· σημειώνει τον κίνδυνο υποτίμησης ή αποσύνδεσης και </w:t>
      </w:r>
      <w:proofErr w:type="spellStart"/>
      <w:r w:rsidR="003B03DF" w:rsidRPr="009B4522">
        <w:t>αποδιαμεσολάβησης</w:t>
      </w:r>
      <w:proofErr w:type="spellEnd"/>
      <w:r w:rsidR="003B03DF" w:rsidRPr="009B4522">
        <w:t xml:space="preserve"> που σχετίζονται με τα σταθερά </w:t>
      </w:r>
      <w:proofErr w:type="spellStart"/>
      <w:r w:rsidR="003B03DF" w:rsidRPr="009B4522">
        <w:t>κρυπτονομίσματα</w:t>
      </w:r>
      <w:proofErr w:type="spellEnd"/>
      <w:r w:rsidR="003B03DF" w:rsidRPr="009B4522">
        <w:t>·</w:t>
      </w:r>
    </w:p>
    <w:p w14:paraId="4B073B8C" w14:textId="22FE6C77" w:rsidR="00497457" w:rsidRPr="009B4522" w:rsidRDefault="00F87994" w:rsidP="00F87994">
      <w:pPr>
        <w:pStyle w:val="NormalHanging12a"/>
        <w:ind w:left="567" w:hanging="570"/>
      </w:pPr>
      <w:r w:rsidRPr="009B4522">
        <w:t>20.</w:t>
      </w:r>
      <w:r w:rsidRPr="009B4522">
        <w:tab/>
      </w:r>
      <w:r w:rsidR="00497457" w:rsidRPr="00497457">
        <w:t xml:space="preserve">σημειώνει με ανησυχία τη συνεχιζόμενη ταχεία επέκταση και κυριαρχία των σταθερών </w:t>
      </w:r>
      <w:proofErr w:type="spellStart"/>
      <w:r w:rsidR="00497457" w:rsidRPr="00497457">
        <w:t>κρυπτονομισμάτων</w:t>
      </w:r>
      <w:proofErr w:type="spellEnd"/>
      <w:r w:rsidR="00497457" w:rsidRPr="00497457">
        <w:t xml:space="preserve"> των ΗΠΑ, τα οποία θα μπορούσαν να αποδυναμώσουν τη νομισματική κυριαρχία της ΕΕ, να αυξήσουν τους κινδύνους για τη χρηματοπιστωτική σταθερότητα, να παρεμποδίσουν τη μετάδοση της νομισματικής πολιτικής και να ενισχύσουν τις εξωτερικές εξαρτήσεις όσον αφορά τις πληρωμές·</w:t>
      </w:r>
    </w:p>
    <w:p w14:paraId="6528BCE9" w14:textId="130ADE4A" w:rsidR="003B03DF" w:rsidRPr="009B4522" w:rsidRDefault="00F87994" w:rsidP="00F87994">
      <w:pPr>
        <w:pStyle w:val="NormalHanging12a"/>
        <w:ind w:left="567" w:hanging="570"/>
      </w:pPr>
      <w:r w:rsidRPr="009B4522">
        <w:t>21.</w:t>
      </w:r>
      <w:r w:rsidRPr="009B4522">
        <w:tab/>
      </w:r>
      <w:r w:rsidR="003B03DF" w:rsidRPr="009B4522">
        <w:t xml:space="preserve">εκφράζει την ικανοποίησή του για την εμφάνιση μαρκών ηλεκτρονικού χρήματος σε ευρώ στο πλαίσιο του </w:t>
      </w:r>
      <w:proofErr w:type="spellStart"/>
      <w:r w:rsidR="003B03DF" w:rsidRPr="009B4522">
        <w:t>MiCAR</w:t>
      </w:r>
      <w:proofErr w:type="spellEnd"/>
      <w:r w:rsidR="003B03DF" w:rsidRPr="009B4522">
        <w:t>· ενθαρρύνει την ανάπτυξή τους για τη στήριξη της καινοτομίας πληρωμών της ΕΕ, της ανταγωνιστικότητας των χρηματοπιστωτικών αγορών της ΕΕ και του διεθνούς ρόλου του ευρώ, μεταξύ άλλων μέσω ταχύτερων και χαμηλότερου κόστους διασυνοριακών πληρωμών, συμπληρωματικών των καταθέσεων σε μάρκες και του CBDC χονδρικής· τονίζει τη σημασία των εναρμονισμένων πλαισίων διαχείρισης κινδύνων ρευστότητας και κρίσεων, συμπεριλαμβανομένων των γραμμών άμυνας για τις εξαγορές και των απαιτήσεων διαχωρισμού των αποθεματικών· σημειώνει ότι η ΕΚΤ υποστηρίζει ότι τα σταθερά κρυπτονομίσματα που δεν εκφράζονται σε ευρώ ενδέχεται να ενέχουν κινδύνους για τη νομισματική πολιτική, εάν η χρήση τους διαδοθεί ευρέως· εκφράζει την επιφυλακτικότητά του για την κατάχρηση της ρήτρας «αντίστροφης προσέλκυσης»·</w:t>
      </w:r>
    </w:p>
    <w:p w14:paraId="66E42BAE" w14:textId="52795050" w:rsidR="003B03DF" w:rsidRPr="009B4522" w:rsidRDefault="00F87994" w:rsidP="00F87994">
      <w:pPr>
        <w:pStyle w:val="NormalHanging12a"/>
        <w:ind w:left="567" w:hanging="570"/>
      </w:pPr>
      <w:r w:rsidRPr="009B4522">
        <w:t>22.</w:t>
      </w:r>
      <w:r w:rsidRPr="009B4522">
        <w:tab/>
      </w:r>
      <w:r w:rsidR="003B03DF" w:rsidRPr="009B4522">
        <w:t xml:space="preserve">αναγνωρίζει την ανάγκη για ασφάλεια δικαίου στο νομικό σύστημα της ΕΕ όσον αφορά τη δυνατότητα πολλαπλής έκδοσης σταθερών κρυπτονομισμάτων από οντότητες της ΕΕ και οντότητες εκτός ΕΕ, σε περίπτωση που τα ψηφιακά σταθερά κρυπτονομίσματα που εκδίδονται από τις δύο οντότητες θα είναι πλήρως ανταλλάξιμα και μη διακριτά· </w:t>
      </w:r>
      <w:r w:rsidR="003B03DF" w:rsidRPr="009B4522">
        <w:lastRenderedPageBreak/>
        <w:t>υπενθυμίζει ότι το ΕΣΣΚ έχει προειδοποιήσει για τις πολλαπλές εκδόσεις ως πιθανό δίαυλο μετάδοσης· τονίζει την ανάγκη να διασφαλιστεί ότι η λειτουργία των εν λόγω συστημάτων στην ΕΕ βασίζεται στην ασφάλεια δικαίου και σε ένα ισχυρό κανονιστικό πλαίσιο που παρέχει ισχυρές διασφαλίσεις προληπτικής εποπτείας, ισχυρές ρυθμίσεις συνεργασίας και ενισχυμένα πρωτόκολλα διαχείρισης κρίσεων· υπογραμμίζει τη σημασία της προώθησης του διεθνούς συντονισμού σχετικά με τη ρύθμιση και την εποπτεία των παγκόσμιων σταθερών κρυπτονομισμάτων, ενόψει της ανάπτυξης διεθνών προτύπων·</w:t>
      </w:r>
    </w:p>
    <w:p w14:paraId="5A6CA7C6" w14:textId="35713133" w:rsidR="003B03DF" w:rsidRPr="009B4522" w:rsidRDefault="00F87994" w:rsidP="00F87994">
      <w:pPr>
        <w:pStyle w:val="NormalHanging12a"/>
        <w:ind w:left="567" w:hanging="570"/>
      </w:pPr>
      <w:r w:rsidRPr="009B4522">
        <w:t>23.</w:t>
      </w:r>
      <w:r w:rsidRPr="009B4522">
        <w:tab/>
      </w:r>
      <w:r w:rsidR="003B03DF" w:rsidRPr="009B4522">
        <w:t>εκφράζει την ικανοποίησή του για την προσωρινή συμφωνία στις προτάσεις για μία οδηγία</w:t>
      </w:r>
      <w:r w:rsidR="00CF3347">
        <w:rPr>
          <w:rStyle w:val="FootnoteReference"/>
        </w:rPr>
        <w:footnoteReference w:id="6"/>
      </w:r>
      <w:r w:rsidR="003B03DF" w:rsidRPr="009B4522">
        <w:t xml:space="preserve"> και έναν κανονισμό</w:t>
      </w:r>
      <w:r w:rsidR="00CF3347">
        <w:rPr>
          <w:rStyle w:val="FootnoteReference"/>
        </w:rPr>
        <w:footnoteReference w:id="7"/>
      </w:r>
      <w:r w:rsidR="003B03DF" w:rsidRPr="009B4522">
        <w:t xml:space="preserve"> για υπηρεσίες πληρωμών και την απλουστευμένη λύση αδειοδότησης για τους παρόχους υπηρεσιών κρυπτοστοιχείων που έχουν ήδη λάβει άδεια βάσει του κανονισμού </w:t>
      </w:r>
      <w:proofErr w:type="spellStart"/>
      <w:r w:rsidR="003B03DF" w:rsidRPr="009B4522">
        <w:t>MiCAR</w:t>
      </w:r>
      <w:proofErr w:type="spellEnd"/>
      <w:r w:rsidR="003B03DF" w:rsidRPr="009B4522">
        <w:t>, ώστε να αποφευχθούν περιττές κανονιστικές αλληλεπικαλύψεις, οι οποίες θα υπόκεινται σε εξορθολογισμένη διαδικασία, διατηρώντας παράλληλα κατάλληλους ελέγχους κινδύνου και παρέχοντας μόνο τις υπηρεσίες που προσδιορίζονται στην αίτηση·</w:t>
      </w:r>
    </w:p>
    <w:p w14:paraId="156D308C" w14:textId="77777777" w:rsidR="003B03DF" w:rsidRPr="009B4522" w:rsidRDefault="003B03DF" w:rsidP="003B03DF">
      <w:pPr>
        <w:pStyle w:val="Normal12a"/>
      </w:pPr>
      <w:r w:rsidRPr="009B4522">
        <w:rPr>
          <w:b/>
          <w:i/>
        </w:rPr>
        <w:t>Οριζόντια ζητήματα</w:t>
      </w:r>
    </w:p>
    <w:p w14:paraId="18EC27A1" w14:textId="06F9BA6A" w:rsidR="003B03DF" w:rsidRPr="009B4522" w:rsidRDefault="00F87994" w:rsidP="00F87994">
      <w:pPr>
        <w:pStyle w:val="NormalHanging12a"/>
        <w:ind w:left="567" w:hanging="570"/>
      </w:pPr>
      <w:r w:rsidRPr="009B4522">
        <w:t>24.</w:t>
      </w:r>
      <w:r w:rsidRPr="009B4522">
        <w:tab/>
      </w:r>
      <w:r w:rsidR="003B03DF" w:rsidRPr="009B4522">
        <w:t xml:space="preserve">υπογραμμίζει ότι η </w:t>
      </w:r>
      <w:proofErr w:type="spellStart"/>
      <w:r w:rsidR="003B03DF" w:rsidRPr="009B4522">
        <w:t>διαλειτουργικότητα</w:t>
      </w:r>
      <w:proofErr w:type="spellEnd"/>
      <w:r w:rsidR="003B03DF" w:rsidRPr="009B4522">
        <w:t xml:space="preserve"> είναι ζωτικής σημασίας στον ψηφιακό χρηματοοικονομικό τομέα, καθώς απαιτεί, για παράδειγμα, φορητά και επαληθεύσιμα διαπιστευτήρια ταυτότητας ως συνιστώσες διευκόλυνσης των υποδομών διαδικτυακής αγοράς· τονίζει ότι οι προσεγγίσεις που χρησιμοποιούν κωδικούς αναγνώρισης νομικών οντοτήτων/επαληθεύσιμους κωδικούς αναγνώρισης νομικών οντοτήτων πρέπει να αξιολογούνται ως εργαλεία σε επίπεδο υποδομής· καλεί την Επιτροπή να συνεργαστεί με ευρωπαϊκούς και διεθνείς οργανισμούς προτύπων για την ανάπτυξη κοινών τεχνικών προτύπων και πρωτοκόλλων για ψηφιακά περιουσιακά στοιχεία, έξυπνες συμβάσεις και ψηφιακές ταυτότητες·</w:t>
      </w:r>
    </w:p>
    <w:p w14:paraId="36B90AE1" w14:textId="5BE54E4D" w:rsidR="003B03DF" w:rsidRPr="009B4522" w:rsidRDefault="00F87994" w:rsidP="00F87994">
      <w:pPr>
        <w:pStyle w:val="NormalHanging12a"/>
        <w:ind w:left="567" w:hanging="570"/>
      </w:pPr>
      <w:r w:rsidRPr="009B4522">
        <w:t>25.</w:t>
      </w:r>
      <w:r w:rsidRPr="009B4522">
        <w:tab/>
      </w:r>
      <w:r w:rsidR="003B03DF" w:rsidRPr="009B4522">
        <w:t>εκφράζει την ικανοποίησή του για τις εν εξελίξει συζητήσεις για το ψηφιακό ευρώ, συμπεριλαμβανομένης της προετοιμασίας για χρήσεις τόσο λιανικής όσο και χονδρικής, και στηρίζει τα εν εξελίξει βραχυπρόθεσμα (</w:t>
      </w:r>
      <w:proofErr w:type="spellStart"/>
      <w:r w:rsidR="003B03DF" w:rsidRPr="009B4522">
        <w:t>Pontes</w:t>
      </w:r>
      <w:proofErr w:type="spellEnd"/>
      <w:r w:rsidR="003B03DF" w:rsidRPr="009B4522">
        <w:t>) και μακροπρόθεσμα (</w:t>
      </w:r>
      <w:proofErr w:type="spellStart"/>
      <w:r w:rsidR="003B03DF" w:rsidRPr="009B4522">
        <w:t>Appia</w:t>
      </w:r>
      <w:proofErr w:type="spellEnd"/>
      <w:r w:rsidR="003B03DF" w:rsidRPr="009B4522">
        <w:t>) έργα DLT για τον διακανονισμό συναλλαγών χονδρικής σε χρήμα κεντρικής τράπεζας· καλεί την Επιτροπή και την ΕΚΤ να διασφαλίσουν ότι οι μελλοντικές λύσεις ψηφιακού ευρώ έχουν σχεδιαστεί για να διευκολύνουν τη διαλειτουργικότητα με τις υποδομές DLT και να διασφαλίσουν τη συμπληρωματικότητα με τα μετρητά·</w:t>
      </w:r>
    </w:p>
    <w:p w14:paraId="73E326D6" w14:textId="78687F37" w:rsidR="003B03DF" w:rsidRPr="009B4522" w:rsidRDefault="00F87994" w:rsidP="00F87994">
      <w:pPr>
        <w:pStyle w:val="NormalHanging12a"/>
        <w:ind w:left="567" w:hanging="570"/>
      </w:pPr>
      <w:r w:rsidRPr="009B4522">
        <w:t>26.</w:t>
      </w:r>
      <w:r w:rsidRPr="009B4522">
        <w:tab/>
      </w:r>
      <w:r w:rsidR="003B03DF" w:rsidRPr="009B4522">
        <w:t>εκφράζει τη λύπη του για την εξάρτηση της ΕΕ από παρόχους υπηρεσιών εκτός ΕΕ για υποδομές DLT· τονίζει ότι ο χειρισμός των ψηφιακών περιουσιακών στοιχείων από την κυβέρνηση των ΗΠΑ θα πρέπει να παρακολουθείται με σύνεση·</w:t>
      </w:r>
    </w:p>
    <w:p w14:paraId="6C55DC6C" w14:textId="7C237C67" w:rsidR="003B03DF" w:rsidRPr="009B4522" w:rsidRDefault="00F87994" w:rsidP="00F87994">
      <w:pPr>
        <w:pStyle w:val="NormalHanging12a"/>
        <w:ind w:left="567" w:hanging="570"/>
      </w:pPr>
      <w:r w:rsidRPr="009B4522">
        <w:lastRenderedPageBreak/>
        <w:t>27.</w:t>
      </w:r>
      <w:r w:rsidRPr="009B4522">
        <w:tab/>
      </w:r>
      <w:r w:rsidR="003B03DF" w:rsidRPr="009B4522">
        <w:t>λαμβάνει υπόψη τις εν εξελίξει συζητήσεις σχετικά με την εποπτεία των παρόχων υπηρεσιών κρυπτοστοιχείων όσον αφορά τον ρόλο της ESMA στο πλαίσιο της δέσμης μέτρων για την ολοκλήρωση και την εποπτεία της αγοράς·</w:t>
      </w:r>
    </w:p>
    <w:p w14:paraId="34F5FEAA" w14:textId="77777777" w:rsidR="003B03DF" w:rsidRPr="009B4522" w:rsidRDefault="003B03DF" w:rsidP="003B03DF">
      <w:pPr>
        <w:pStyle w:val="NormalCenter12a"/>
      </w:pPr>
      <w:r w:rsidRPr="009B4522">
        <w:t>°</w:t>
      </w:r>
    </w:p>
    <w:p w14:paraId="5C379B18" w14:textId="77777777" w:rsidR="003B03DF" w:rsidRPr="009B4522" w:rsidRDefault="003B03DF" w:rsidP="003B03DF">
      <w:pPr>
        <w:pStyle w:val="NormalCenter12a"/>
      </w:pPr>
      <w:r w:rsidRPr="009B4522">
        <w:t>°</w:t>
      </w:r>
      <w:r w:rsidRPr="009B4522">
        <w:tab/>
        <w:t>°</w:t>
      </w:r>
    </w:p>
    <w:p w14:paraId="0AC4C2A3" w14:textId="6A2A8454" w:rsidR="00E365E1" w:rsidRPr="009B4522" w:rsidRDefault="00F87994" w:rsidP="00F87994">
      <w:pPr>
        <w:pStyle w:val="NormalHanging12a"/>
        <w:ind w:left="567" w:hanging="570"/>
      </w:pPr>
      <w:r w:rsidRPr="009B4522">
        <w:t>28.</w:t>
      </w:r>
      <w:r w:rsidRPr="009B4522">
        <w:tab/>
      </w:r>
      <w:r w:rsidR="003B03DF" w:rsidRPr="009B4522">
        <w:t>αναθέτει στην Πρόεδρό του να διαβιβάσει το παρόν ψήφισμα στο Συμβούλιο και στην Επιτροπή.</w:t>
      </w:r>
    </w:p>
    <w:sectPr w:rsidR="00E365E1" w:rsidRPr="009B4522" w:rsidSect="009B4522">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C2E14" w14:textId="77777777" w:rsidR="00A80434" w:rsidRPr="009B4522" w:rsidRDefault="00A80434">
      <w:r w:rsidRPr="009B4522">
        <w:separator/>
      </w:r>
    </w:p>
  </w:endnote>
  <w:endnote w:type="continuationSeparator" w:id="0">
    <w:p w14:paraId="21A6F3B7" w14:textId="77777777" w:rsidR="00A80434" w:rsidRPr="009B4522" w:rsidRDefault="00A80434">
      <w:r w:rsidRPr="009B45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A3054" w14:textId="77777777" w:rsidR="00064002" w:rsidRPr="009B452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7BFED" w14:textId="77777777" w:rsidR="00064002" w:rsidRPr="009B452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9B108" w14:textId="77777777" w:rsidR="00064002" w:rsidRPr="009B45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37BF1" w14:textId="77777777" w:rsidR="00A80434" w:rsidRPr="009B4522" w:rsidRDefault="00A80434">
      <w:r w:rsidRPr="009B4522">
        <w:separator/>
      </w:r>
    </w:p>
  </w:footnote>
  <w:footnote w:type="continuationSeparator" w:id="0">
    <w:p w14:paraId="7B1CF79E" w14:textId="77777777" w:rsidR="00A80434" w:rsidRPr="009B4522" w:rsidRDefault="00A80434">
      <w:r w:rsidRPr="009B4522">
        <w:continuationSeparator/>
      </w:r>
    </w:p>
  </w:footnote>
  <w:footnote w:id="1">
    <w:p w14:paraId="069029C2" w14:textId="2D83EEDE" w:rsidR="00CF3347" w:rsidRPr="009B4522" w:rsidRDefault="00CF3347" w:rsidP="009B4522">
      <w:pPr>
        <w:pStyle w:val="FootnoteText"/>
        <w:ind w:left="567" w:hanging="567"/>
        <w:rPr>
          <w:sz w:val="24"/>
          <w:lang w:val="el-GR"/>
        </w:rPr>
      </w:pPr>
      <w:r>
        <w:rPr>
          <w:rStyle w:val="FootnoteReference"/>
        </w:rPr>
        <w:footnoteRef/>
      </w:r>
      <w:r w:rsidRPr="009B4522">
        <w:rPr>
          <w:sz w:val="24"/>
          <w:lang w:val="el-GR"/>
        </w:rPr>
        <w:t xml:space="preserve"> </w:t>
      </w:r>
      <w:r w:rsidRPr="009B4522">
        <w:rPr>
          <w:sz w:val="24"/>
          <w:lang w:val="el-GR"/>
        </w:rPr>
        <w:tab/>
        <w:t>Διεθνές Νομισματικό Ταμείο, «</w:t>
      </w:r>
      <w:proofErr w:type="spellStart"/>
      <w:r w:rsidRPr="009B4522">
        <w:rPr>
          <w:sz w:val="24"/>
          <w:lang w:val="el-GR"/>
        </w:rPr>
        <w:t>Stablecoins</w:t>
      </w:r>
      <w:proofErr w:type="spellEnd"/>
      <w:r w:rsidRPr="009B4522">
        <w:rPr>
          <w:sz w:val="24"/>
          <w:lang w:val="el-GR"/>
        </w:rPr>
        <w:t xml:space="preserve"> and the </w:t>
      </w:r>
      <w:proofErr w:type="spellStart"/>
      <w:r w:rsidRPr="009B4522">
        <w:rPr>
          <w:sz w:val="24"/>
          <w:lang w:val="el-GR"/>
        </w:rPr>
        <w:t>future</w:t>
      </w:r>
      <w:proofErr w:type="spellEnd"/>
      <w:r w:rsidRPr="009B4522">
        <w:rPr>
          <w:sz w:val="24"/>
          <w:lang w:val="el-GR"/>
        </w:rPr>
        <w:t xml:space="preserve"> of </w:t>
      </w:r>
      <w:proofErr w:type="spellStart"/>
      <w:r w:rsidRPr="009B4522">
        <w:rPr>
          <w:sz w:val="24"/>
          <w:lang w:val="el-GR"/>
        </w:rPr>
        <w:t>finance</w:t>
      </w:r>
      <w:proofErr w:type="spellEnd"/>
      <w:r w:rsidRPr="009B4522">
        <w:rPr>
          <w:sz w:val="24"/>
          <w:lang w:val="el-GR"/>
        </w:rPr>
        <w:t>»,</w:t>
      </w:r>
      <w:r w:rsidRPr="009B4522">
        <w:rPr>
          <w:i/>
          <w:sz w:val="24"/>
          <w:lang w:val="el-GR"/>
        </w:rPr>
        <w:t xml:space="preserve"> </w:t>
      </w:r>
      <w:proofErr w:type="spellStart"/>
      <w:r w:rsidRPr="009B4522">
        <w:rPr>
          <w:i/>
          <w:sz w:val="24"/>
          <w:lang w:val="el-GR"/>
        </w:rPr>
        <w:t>Finance</w:t>
      </w:r>
      <w:proofErr w:type="spellEnd"/>
      <w:r w:rsidRPr="009B4522">
        <w:rPr>
          <w:i/>
          <w:sz w:val="24"/>
          <w:lang w:val="el-GR"/>
        </w:rPr>
        <w:t xml:space="preserve"> &amp; Development</w:t>
      </w:r>
      <w:r w:rsidRPr="009B4522">
        <w:rPr>
          <w:sz w:val="24"/>
          <w:lang w:val="el-GR"/>
        </w:rPr>
        <w:t xml:space="preserve">, τόμος 62, τεύχος 3, 3 Σεπτεμβρίου 2025, Διεθνές Νομισματικό Ταμείο, Ουάσιγκτον, </w:t>
      </w:r>
      <w:hyperlink r:id="rId1" w:tgtFrame="https://doi.org/10.5089/9798400297649.022" w:history="1">
        <w:r w:rsidRPr="009B4522">
          <w:rPr>
            <w:rStyle w:val="Hyperlink"/>
            <w:sz w:val="24"/>
            <w:lang w:val="el-GR"/>
          </w:rPr>
          <w:t>https://doi.org/10.5089/9798400297649.022</w:t>
        </w:r>
      </w:hyperlink>
      <w:r w:rsidRPr="009B4522">
        <w:rPr>
          <w:sz w:val="24"/>
          <w:lang w:val="el-GR"/>
        </w:rPr>
        <w:t>.</w:t>
      </w:r>
    </w:p>
  </w:footnote>
  <w:footnote w:id="2">
    <w:p w14:paraId="2D0A6F47" w14:textId="3A9C0411" w:rsidR="00CF3347" w:rsidRPr="009B4522" w:rsidRDefault="00CF3347" w:rsidP="009B4522">
      <w:pPr>
        <w:pStyle w:val="FootnoteText"/>
        <w:ind w:left="567" w:hanging="567"/>
        <w:rPr>
          <w:sz w:val="24"/>
          <w:lang w:val="el-GR"/>
        </w:rPr>
      </w:pPr>
      <w:r>
        <w:rPr>
          <w:rStyle w:val="FootnoteReference"/>
        </w:rPr>
        <w:footnoteRef/>
      </w:r>
      <w:r w:rsidRPr="009B4522">
        <w:rPr>
          <w:sz w:val="24"/>
          <w:lang w:val="el-GR"/>
        </w:rPr>
        <w:t xml:space="preserve"> </w:t>
      </w:r>
      <w:r w:rsidRPr="009B4522">
        <w:rPr>
          <w:sz w:val="24"/>
          <w:lang w:val="el-GR"/>
        </w:rPr>
        <w:tab/>
        <w:t>Έγγραφα του ΟΟΣΑ για την επιχειρηματική και χρηματοοικονομική πολιτική, αριθ. 75.</w:t>
      </w:r>
    </w:p>
  </w:footnote>
  <w:footnote w:id="3">
    <w:p w14:paraId="2417F44C" w14:textId="676326EC" w:rsidR="00CF3347" w:rsidRPr="009B4522" w:rsidRDefault="00CF3347" w:rsidP="009B4522">
      <w:pPr>
        <w:pStyle w:val="FootnoteText"/>
        <w:ind w:left="567" w:hanging="567"/>
        <w:rPr>
          <w:sz w:val="24"/>
          <w:lang w:val="el-GR"/>
        </w:rPr>
      </w:pPr>
      <w:r>
        <w:rPr>
          <w:rStyle w:val="FootnoteReference"/>
        </w:rPr>
        <w:footnoteRef/>
      </w:r>
      <w:r w:rsidRPr="009B4522">
        <w:rPr>
          <w:sz w:val="24"/>
          <w:lang w:val="el-GR"/>
        </w:rPr>
        <w:t xml:space="preserve"> </w:t>
      </w:r>
      <w:r w:rsidRPr="009B4522">
        <w:rPr>
          <w:sz w:val="24"/>
          <w:lang w:val="el-GR"/>
        </w:rPr>
        <w:tab/>
        <w:t>Κανονισμός (ΕΕ) 2022/858 του Ευρωπαϊκού Κοινοβουλίου και του Συμβουλίου, της 30ής Μαΐου 2022, σχετικά με ένα πιλοτικό καθεστώς για υποδομές της αγοράς που βασίζονται σε τεχνολογία κατανεμημένου καθολικού και την τροποποίηση των κανονισμών (ΕΕ) αριθ. 600/2014 και (ΕΕ) αριθ. 909/2014 και της οδηγίας 2014/65/ΕΕ (ΕΕ L 151 της 2.6.2022, σ. </w:t>
      </w:r>
      <w:r w:rsidRPr="009B4522">
        <w:rPr>
          <w:sz w:val="24"/>
          <w:lang w:val="el-GR"/>
        </w:rPr>
        <w:t xml:space="preserve">1, ELI: </w:t>
      </w:r>
      <w:hyperlink r:id="rId2" w:tgtFrame="http://data.europa.eu/eli/reg/2022/858/oj" w:history="1">
        <w:r w:rsidRPr="009B4522">
          <w:rPr>
            <w:rStyle w:val="Hyperlink"/>
            <w:sz w:val="24"/>
            <w:lang w:val="el-GR"/>
          </w:rPr>
          <w:t>http://data.europa.eu/eli/reg/2022/858/oj)</w:t>
        </w:r>
      </w:hyperlink>
      <w:r w:rsidRPr="009B4522">
        <w:rPr>
          <w:sz w:val="24"/>
          <w:lang w:val="el-GR"/>
        </w:rPr>
        <w:t>.</w:t>
      </w:r>
    </w:p>
  </w:footnote>
  <w:footnote w:id="4">
    <w:p w14:paraId="40FF1DBD" w14:textId="2D34BF39" w:rsidR="00CF3347" w:rsidRPr="009B4522" w:rsidRDefault="00CF3347" w:rsidP="009B4522">
      <w:pPr>
        <w:pStyle w:val="FootnoteText"/>
        <w:ind w:left="567" w:hanging="567"/>
        <w:rPr>
          <w:sz w:val="24"/>
          <w:lang w:val="el-GR"/>
        </w:rPr>
      </w:pPr>
      <w:r>
        <w:rPr>
          <w:rStyle w:val="FootnoteReference"/>
        </w:rPr>
        <w:footnoteRef/>
      </w:r>
      <w:r w:rsidRPr="009B4522">
        <w:rPr>
          <w:sz w:val="24"/>
          <w:lang w:val="el-GR"/>
        </w:rPr>
        <w:t xml:space="preserve"> </w:t>
      </w:r>
      <w:r w:rsidRPr="009B4522">
        <w:rPr>
          <w:sz w:val="24"/>
          <w:lang w:val="el-GR"/>
        </w:rPr>
        <w:tab/>
        <w:t xml:space="preserve">Κανονισμός (ΕΕ) 2023/1114 του Ευρωπαϊκού Κοινοβουλίου και του Συμβουλίου, της 31ης Μαΐου 2023, για τις αγορές κρυπτοστοιχείων και για την τροποποίηση των κανονισμών (ΕΕ) αριθ. 1093/2010 και (ΕΕ) αριθ. 1095/2010 και των οδηγιών 2013/36/ΕΕ και (ΕΕ) 2019/1937 (ΕΕ L 150 της 9.6.2023, σ. </w:t>
      </w:r>
      <w:r w:rsidRPr="009B4522">
        <w:rPr>
          <w:sz w:val="24"/>
          <w:lang w:val="el-GR"/>
        </w:rPr>
        <w:t xml:space="preserve">40, ELI: </w:t>
      </w:r>
      <w:hyperlink r:id="rId3" w:tgtFrame="http://data.europa.eu/eli/reg/2023/1114/oj" w:history="1">
        <w:r w:rsidRPr="009B4522">
          <w:rPr>
            <w:rStyle w:val="Hyperlink"/>
            <w:sz w:val="24"/>
            <w:lang w:val="el-GR"/>
          </w:rPr>
          <w:t>http://data.europa.eu/eli/reg/2023/1114/oj</w:t>
        </w:r>
      </w:hyperlink>
      <w:r w:rsidRPr="009B4522">
        <w:rPr>
          <w:sz w:val="24"/>
          <w:lang w:val="el-GR"/>
        </w:rPr>
        <w:t>).</w:t>
      </w:r>
    </w:p>
  </w:footnote>
  <w:footnote w:id="5">
    <w:p w14:paraId="7EA5517F" w14:textId="42E1C40A" w:rsidR="00CF3347" w:rsidRPr="009B4522" w:rsidRDefault="00CF3347" w:rsidP="009B4522">
      <w:pPr>
        <w:pStyle w:val="FootnoteText"/>
        <w:ind w:left="567" w:hanging="567"/>
        <w:rPr>
          <w:sz w:val="24"/>
          <w:lang w:val="el-GR"/>
        </w:rPr>
      </w:pPr>
      <w:r>
        <w:rPr>
          <w:rStyle w:val="FootnoteReference"/>
        </w:rPr>
        <w:footnoteRef/>
      </w:r>
      <w:r w:rsidRPr="009B4522">
        <w:rPr>
          <w:sz w:val="24"/>
          <w:lang w:val="el-GR"/>
        </w:rPr>
        <w:t xml:space="preserve"> </w:t>
      </w:r>
      <w:r w:rsidRPr="009B4522">
        <w:rPr>
          <w:sz w:val="24"/>
          <w:lang w:val="el-GR"/>
        </w:rPr>
        <w:tab/>
      </w:r>
      <w:r w:rsidRPr="009B4522">
        <w:rPr>
          <w:sz w:val="24"/>
          <w:lang w:val="el-GR"/>
        </w:rPr>
        <w:t xml:space="preserve">Κανονισμός (ΕΕ) 2023/1113 του Ευρωπαϊκού Κοινοβουλίου και του Συμβουλίου, της 31ης Μαΐου 2023, περί στοιχείων που συνοδεύουν τις μεταφορές χρηματικών ποσών και ορισμένων κρυπτοστοιχείων και περί τροποποίησης της οδηγίας (ΕΕ) 2015/849 (ΕΕ L 150 </w:t>
      </w:r>
      <w:r w:rsidR="009B297C">
        <w:rPr>
          <w:sz w:val="24"/>
          <w:lang w:val="el-GR"/>
        </w:rPr>
        <w:t xml:space="preserve">της 9.6.2023, </w:t>
      </w:r>
      <w:r w:rsidRPr="009B4522">
        <w:rPr>
          <w:sz w:val="24"/>
          <w:lang w:val="el-GR"/>
        </w:rPr>
        <w:t xml:space="preserve">σ. 1, ELI: </w:t>
      </w:r>
      <w:hyperlink r:id="rId4" w:tgtFrame="http://data.europa.eu/eli/reg/2023/1113/oj" w:history="1">
        <w:r w:rsidRPr="009B4522">
          <w:rPr>
            <w:rStyle w:val="Hyperlink"/>
            <w:sz w:val="24"/>
            <w:lang w:val="el-GR"/>
          </w:rPr>
          <w:t>http://data.europa.eu/eli/reg/2023/1113/oj</w:t>
        </w:r>
      </w:hyperlink>
      <w:r w:rsidRPr="009B4522">
        <w:rPr>
          <w:sz w:val="24"/>
          <w:lang w:val="el-GR"/>
        </w:rPr>
        <w:t>).</w:t>
      </w:r>
    </w:p>
  </w:footnote>
  <w:footnote w:id="6">
    <w:p w14:paraId="776C60FF" w14:textId="15497556" w:rsidR="00CF3347" w:rsidRPr="009B4522" w:rsidRDefault="00CF3347" w:rsidP="009B4522">
      <w:pPr>
        <w:pStyle w:val="FootnoteText"/>
        <w:ind w:left="567" w:hanging="567"/>
        <w:rPr>
          <w:sz w:val="24"/>
          <w:lang w:val="el-GR"/>
        </w:rPr>
      </w:pPr>
      <w:r>
        <w:rPr>
          <w:rStyle w:val="FootnoteReference"/>
        </w:rPr>
        <w:footnoteRef/>
      </w:r>
      <w:r w:rsidRPr="009B4522">
        <w:rPr>
          <w:sz w:val="24"/>
          <w:lang w:val="el-GR"/>
        </w:rPr>
        <w:t xml:space="preserve"> </w:t>
      </w:r>
      <w:r w:rsidRPr="009B4522">
        <w:rPr>
          <w:sz w:val="24"/>
          <w:lang w:val="el-GR"/>
        </w:rPr>
        <w:tab/>
        <w:t>Πρόταση της Επιτροπής, της 28ης Ιουνίου 2023, για οδηγία του Ευρωπαϊκού Κοινοβουλίου και του Συμβουλίου σχετικά με τις υπηρεσίες πληρωμών και τις υπηρεσίες ηλεκτρονικού χρήματος στην εσωτερική αγορά, την τροποποίηση της οδηγίας 98/26/ΕΚ και την κατάργηση των οδηγιών (ΕΕ) 2015/2366 και 2009/110/ΕΚ (COM(2023)0366).</w:t>
      </w:r>
    </w:p>
  </w:footnote>
  <w:footnote w:id="7">
    <w:p w14:paraId="5F982B0B" w14:textId="158054BE" w:rsidR="00CF3347" w:rsidRPr="009B4522" w:rsidRDefault="00CF3347" w:rsidP="009B4522">
      <w:pPr>
        <w:pStyle w:val="FootnoteText"/>
        <w:ind w:left="567" w:hanging="567"/>
        <w:rPr>
          <w:sz w:val="24"/>
          <w:lang w:val="el-GR"/>
        </w:rPr>
      </w:pPr>
      <w:r>
        <w:rPr>
          <w:rStyle w:val="FootnoteReference"/>
        </w:rPr>
        <w:footnoteRef/>
      </w:r>
      <w:r w:rsidRPr="009B4522">
        <w:rPr>
          <w:sz w:val="24"/>
          <w:lang w:val="el-GR"/>
        </w:rPr>
        <w:t xml:space="preserve"> </w:t>
      </w:r>
      <w:r w:rsidRPr="009B4522">
        <w:rPr>
          <w:sz w:val="24"/>
          <w:lang w:val="el-GR"/>
        </w:rPr>
        <w:tab/>
        <w:t>Πρόταση της Επιτροπής, της 28ης Ιουνίου 2023, για κανονισμό του Ευρωπαϊκού Κοινοβουλίου και του Συμβουλίου σχετικά με τις υπηρεσίες πληρωμών στην εσωτερική αγορά και την τροποποίηση του κανονισμού (ΕΕ) αριθ. 1093/2010 (COM(</w:t>
      </w:r>
      <w:r>
        <w:rPr>
          <w:sz w:val="24"/>
          <w:lang w:val="el-GR"/>
        </w:rPr>
        <w:t>2023)</w:t>
      </w:r>
      <w:r w:rsidRPr="009B4522">
        <w:rPr>
          <w:sz w:val="24"/>
          <w:lang w:val="el-GR"/>
        </w:rPr>
        <w:t>0367).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A4A0E" w14:textId="77777777" w:rsidR="00064002" w:rsidRPr="009B452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5BC7E" w14:textId="77777777" w:rsidR="00064002" w:rsidRPr="009B452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A69D1" w14:textId="77777777" w:rsidR="00064002" w:rsidRPr="009B45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3BD66D5"/>
    <w:multiLevelType w:val="hybridMultilevel"/>
    <w:tmpl w:val="6D5E347A"/>
    <w:lvl w:ilvl="0" w:tplc="619E443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8709514">
    <w:abstractNumId w:val="0"/>
  </w:num>
  <w:num w:numId="2" w16cid:durableId="2029913778">
    <w:abstractNumId w:val="2"/>
  </w:num>
  <w:num w:numId="3" w16cid:durableId="1961567431">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6"/>
    <w:docVar w:name="dvlangue" w:val="EL"/>
    <w:docVar w:name="dvnumam" w:val="0"/>
    <w:docVar w:name="dvpe" w:val="784.381"/>
    <w:docVar w:name="dvrapporteur" w:val="Εισηγητής: "/>
    <w:docVar w:name="dvtitre" w:val="Ψήφισμα του Ευρωπαϊκού Κοινοβουλίου της ... 2026 σχετικά με τα ψηφιακά περιουσιακά στοιχεία — προκλήσεις για την ανταγωνιστικότητα και την ακεραιότητα του χρηματοπιστωτικού συστήματος της Ευρωπαϊκής Ένωσης(2025/2208(INI))"/>
  </w:docVars>
  <w:rsids>
    <w:rsidRoot w:val="00A80434"/>
    <w:rsid w:val="00001F94"/>
    <w:rsid w:val="00002272"/>
    <w:rsid w:val="00064002"/>
    <w:rsid w:val="000677B9"/>
    <w:rsid w:val="000831BA"/>
    <w:rsid w:val="000A42CC"/>
    <w:rsid w:val="000D5408"/>
    <w:rsid w:val="000E7DD9"/>
    <w:rsid w:val="0010095E"/>
    <w:rsid w:val="00125B37"/>
    <w:rsid w:val="00187494"/>
    <w:rsid w:val="001F32AE"/>
    <w:rsid w:val="002767FF"/>
    <w:rsid w:val="002B18FE"/>
    <w:rsid w:val="002B5493"/>
    <w:rsid w:val="00343214"/>
    <w:rsid w:val="00361C00"/>
    <w:rsid w:val="00395FA1"/>
    <w:rsid w:val="00396C74"/>
    <w:rsid w:val="003B03DF"/>
    <w:rsid w:val="003D50E0"/>
    <w:rsid w:val="003E15D4"/>
    <w:rsid w:val="00411CCE"/>
    <w:rsid w:val="0041666E"/>
    <w:rsid w:val="00421060"/>
    <w:rsid w:val="00471C19"/>
    <w:rsid w:val="004867E3"/>
    <w:rsid w:val="00494A28"/>
    <w:rsid w:val="00497457"/>
    <w:rsid w:val="004C0004"/>
    <w:rsid w:val="004C5D52"/>
    <w:rsid w:val="0050519A"/>
    <w:rsid w:val="005072A1"/>
    <w:rsid w:val="00514517"/>
    <w:rsid w:val="00545827"/>
    <w:rsid w:val="00560270"/>
    <w:rsid w:val="005C2568"/>
    <w:rsid w:val="005F1B17"/>
    <w:rsid w:val="005F6A9E"/>
    <w:rsid w:val="006037C0"/>
    <w:rsid w:val="006631B6"/>
    <w:rsid w:val="00680577"/>
    <w:rsid w:val="006E3A22"/>
    <w:rsid w:val="006F74FA"/>
    <w:rsid w:val="00731ADD"/>
    <w:rsid w:val="00734777"/>
    <w:rsid w:val="00747932"/>
    <w:rsid w:val="00751A4A"/>
    <w:rsid w:val="00756632"/>
    <w:rsid w:val="00762C74"/>
    <w:rsid w:val="00786EC0"/>
    <w:rsid w:val="007D1690"/>
    <w:rsid w:val="007E22AD"/>
    <w:rsid w:val="008154B8"/>
    <w:rsid w:val="00817416"/>
    <w:rsid w:val="00842779"/>
    <w:rsid w:val="00865F67"/>
    <w:rsid w:val="008728A7"/>
    <w:rsid w:val="00881A7B"/>
    <w:rsid w:val="008840E5"/>
    <w:rsid w:val="00887B3E"/>
    <w:rsid w:val="008C2AC6"/>
    <w:rsid w:val="00930C23"/>
    <w:rsid w:val="0093193B"/>
    <w:rsid w:val="009509D8"/>
    <w:rsid w:val="00950B64"/>
    <w:rsid w:val="00981893"/>
    <w:rsid w:val="009B297C"/>
    <w:rsid w:val="009B4522"/>
    <w:rsid w:val="00A1687D"/>
    <w:rsid w:val="00A43E52"/>
    <w:rsid w:val="00A4678D"/>
    <w:rsid w:val="00A778C7"/>
    <w:rsid w:val="00A80434"/>
    <w:rsid w:val="00AB2DA8"/>
    <w:rsid w:val="00AB441E"/>
    <w:rsid w:val="00AB6293"/>
    <w:rsid w:val="00AE0928"/>
    <w:rsid w:val="00AF3B82"/>
    <w:rsid w:val="00B12E95"/>
    <w:rsid w:val="00B22876"/>
    <w:rsid w:val="00B558F0"/>
    <w:rsid w:val="00B9589E"/>
    <w:rsid w:val="00BD48FE"/>
    <w:rsid w:val="00BD7BD8"/>
    <w:rsid w:val="00BE6ADC"/>
    <w:rsid w:val="00C05BFE"/>
    <w:rsid w:val="00C23CD4"/>
    <w:rsid w:val="00C61C0C"/>
    <w:rsid w:val="00C941CB"/>
    <w:rsid w:val="00CC2357"/>
    <w:rsid w:val="00CF071A"/>
    <w:rsid w:val="00CF3347"/>
    <w:rsid w:val="00D058B8"/>
    <w:rsid w:val="00D56C11"/>
    <w:rsid w:val="00D834A0"/>
    <w:rsid w:val="00D872DF"/>
    <w:rsid w:val="00D91E21"/>
    <w:rsid w:val="00DA7FCD"/>
    <w:rsid w:val="00E03F1F"/>
    <w:rsid w:val="00E365E1"/>
    <w:rsid w:val="00E820A4"/>
    <w:rsid w:val="00EB006A"/>
    <w:rsid w:val="00EB4772"/>
    <w:rsid w:val="00ED169E"/>
    <w:rsid w:val="00ED4235"/>
    <w:rsid w:val="00F04346"/>
    <w:rsid w:val="00F075DC"/>
    <w:rsid w:val="00F149E9"/>
    <w:rsid w:val="00F5134D"/>
    <w:rsid w:val="00F74202"/>
    <w:rsid w:val="00F87713"/>
    <w:rsid w:val="00F8799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C64DBF"/>
  <w15:chartTrackingRefBased/>
  <w15:docId w15:val="{98354B40-C7AE-4ECD-A32C-4EE8974EF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3B03DF"/>
    <w:pPr>
      <w:widowControl/>
      <w:spacing w:after="240"/>
    </w:pPr>
    <w:rPr>
      <w:szCs w:val="24"/>
      <w:lang w:eastAsia="en-US"/>
    </w:rPr>
  </w:style>
  <w:style w:type="paragraph" w:customStyle="1" w:styleId="NormalHanging12a">
    <w:name w:val="NormalHanging12a"/>
    <w:basedOn w:val="Normal"/>
    <w:rsid w:val="003B03DF"/>
    <w:pPr>
      <w:widowControl/>
      <w:spacing w:after="240"/>
      <w:ind w:left="566" w:hanging="566"/>
    </w:pPr>
    <w:rPr>
      <w:szCs w:val="24"/>
      <w:lang w:eastAsia="en-US"/>
    </w:rPr>
  </w:style>
  <w:style w:type="paragraph" w:customStyle="1" w:styleId="Normal12">
    <w:name w:val="Normal12"/>
    <w:basedOn w:val="Normal"/>
    <w:rsid w:val="003B03DF"/>
    <w:pPr>
      <w:spacing w:after="240"/>
    </w:pPr>
    <w:rPr>
      <w:szCs w:val="24"/>
      <w:lang w:eastAsia="en-US"/>
    </w:rPr>
  </w:style>
  <w:style w:type="paragraph" w:customStyle="1" w:styleId="NormalHanging">
    <w:name w:val="NormalHanging"/>
    <w:basedOn w:val="Normal"/>
    <w:rsid w:val="003B03DF"/>
    <w:pPr>
      <w:spacing w:after="240"/>
      <w:ind w:left="566" w:hanging="566"/>
    </w:pPr>
    <w:rPr>
      <w:szCs w:val="24"/>
      <w:lang w:eastAsia="en-US"/>
    </w:rPr>
  </w:style>
  <w:style w:type="paragraph" w:customStyle="1" w:styleId="NormalCenter12a">
    <w:name w:val="NormalCenter12a"/>
    <w:basedOn w:val="Normal"/>
    <w:rsid w:val="003B03DF"/>
    <w:pPr>
      <w:widowControl/>
      <w:spacing w:after="240"/>
      <w:jc w:val="center"/>
    </w:pPr>
    <w:rPr>
      <w:szCs w:val="24"/>
      <w:lang w:eastAsia="en-US"/>
    </w:rPr>
  </w:style>
  <w:style w:type="character" w:styleId="Hyperlink">
    <w:name w:val="Hyperlink"/>
    <w:basedOn w:val="DefaultParagraphFont"/>
    <w:rsid w:val="003B03DF"/>
    <w:rPr>
      <w:color w:val="0000FF"/>
      <w:u w:val="single"/>
    </w:rPr>
  </w:style>
  <w:style w:type="paragraph" w:styleId="Revision">
    <w:name w:val="Revision"/>
    <w:hidden/>
    <w:uiPriority w:val="99"/>
    <w:semiHidden/>
    <w:rsid w:val="005F6A9E"/>
    <w:rPr>
      <w:sz w:val="24"/>
      <w:lang w:val="el-GR"/>
    </w:rPr>
  </w:style>
  <w:style w:type="character" w:styleId="FollowedHyperlink">
    <w:name w:val="FollowedHyperlink"/>
    <w:basedOn w:val="DefaultParagraphFont"/>
    <w:rsid w:val="009B29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1114/oj" TargetMode="External"/><Relationship Id="rId2" Type="http://schemas.openxmlformats.org/officeDocument/2006/relationships/hyperlink" Target="http://data.europa.eu/eli/reg/2022/858/oj" TargetMode="External"/><Relationship Id="rId1" Type="http://schemas.openxmlformats.org/officeDocument/2006/relationships/hyperlink" Target="https://doi.org/10.5089/9798400297649.022" TargetMode="External"/><Relationship Id="rId4" Type="http://schemas.openxmlformats.org/officeDocument/2006/relationships/hyperlink" Target="http://data.europa.eu/eli/reg/2023/11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2890</Words>
  <Characters>18864</Characters>
  <Application>Microsoft Office Word</Application>
  <DocSecurity>0</DocSecurity>
  <Lines>157</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2026-07-07T12:36:00Z</dcterms:created>
  <dcterms:modified xsi:type="dcterms:W3CDTF">2026-07-07T12:36:00Z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A10-0186/2026</vt:lpwstr>
  </property>
  <property fmtid="{D5CDD505-2E9C-101B-9397-08002B2CF9AE}" pid="4" name="&lt;Type&gt;">
    <vt:lpwstr>RR</vt:lpwstr>
  </property>
</Properties>
</file>