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1AF2" w14:paraId="3BD66D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4BFE83" w14:textId="77777777" w:rsidR="00751A4A" w:rsidRPr="00301AF2" w:rsidRDefault="008849D2" w:rsidP="0010095E">
            <w:pPr>
              <w:pStyle w:val="EPName"/>
            </w:pPr>
            <w:r w:rsidRPr="00301AF2">
              <w:t>Parlamento Europeo</w:t>
            </w:r>
          </w:p>
          <w:p w14:paraId="0F6FD0CB" w14:textId="77777777" w:rsidR="00751A4A" w:rsidRPr="00301A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1AF2">
              <w:t>2024</w:t>
            </w:r>
            <w:r w:rsidR="00817416" w:rsidRPr="00301AF2">
              <w:t>-202</w:t>
            </w:r>
            <w:r w:rsidRPr="00301AF2">
              <w:t>9</w:t>
            </w:r>
          </w:p>
        </w:tc>
        <w:tc>
          <w:tcPr>
            <w:tcW w:w="2268" w:type="dxa"/>
            <w:shd w:val="clear" w:color="auto" w:fill="auto"/>
          </w:tcPr>
          <w:p w14:paraId="4FA9B01F" w14:textId="77777777" w:rsidR="00751A4A" w:rsidRPr="00301AF2" w:rsidRDefault="00187494" w:rsidP="0010095E">
            <w:pPr>
              <w:pStyle w:val="EPLogo"/>
            </w:pPr>
            <w:r w:rsidRPr="00301AF2">
              <w:rPr>
                <w:noProof/>
                <w:lang w:eastAsia="ja-JP"/>
              </w:rPr>
              <w:drawing>
                <wp:inline distT="0" distB="0" distL="0" distR="0" wp14:anchorId="57AFBCA7" wp14:editId="0BE531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402C51" w14:textId="77777777" w:rsidR="00D058B8" w:rsidRPr="00301AF2" w:rsidRDefault="00D058B8" w:rsidP="004C5D52">
      <w:pPr>
        <w:pStyle w:val="LineTop"/>
      </w:pPr>
    </w:p>
    <w:p w14:paraId="34F0F226" w14:textId="77777777" w:rsidR="00680577" w:rsidRPr="00301AF2" w:rsidRDefault="008849D2" w:rsidP="00680577">
      <w:pPr>
        <w:pStyle w:val="EPBodyTA1"/>
      </w:pPr>
      <w:r w:rsidRPr="00301AF2">
        <w:t>TEXTOS APROBADOS</w:t>
      </w:r>
    </w:p>
    <w:p w14:paraId="1A8663AA" w14:textId="77777777" w:rsidR="00D058B8" w:rsidRPr="00301AF2" w:rsidRDefault="00D058B8" w:rsidP="00D058B8">
      <w:pPr>
        <w:pStyle w:val="LineBottom"/>
      </w:pPr>
    </w:p>
    <w:p w14:paraId="30AA2BA7" w14:textId="13D39052" w:rsidR="008849D2" w:rsidRPr="00301AF2" w:rsidRDefault="008849D2" w:rsidP="008849D2">
      <w:pPr>
        <w:pStyle w:val="ATHeading1"/>
      </w:pPr>
      <w:bookmarkStart w:id="0" w:name="TANumber"/>
      <w:r w:rsidRPr="00301AF2">
        <w:t>P10_</w:t>
      </w:r>
      <w:proofErr w:type="gramStart"/>
      <w:r w:rsidRPr="00301AF2">
        <w:t>TA(</w:t>
      </w:r>
      <w:proofErr w:type="gramEnd"/>
      <w:r w:rsidRPr="00301AF2">
        <w:t>2026)0</w:t>
      </w:r>
      <w:r w:rsidR="004E2D3B" w:rsidRPr="00301AF2">
        <w:t>251</w:t>
      </w:r>
      <w:bookmarkEnd w:id="0"/>
    </w:p>
    <w:p w14:paraId="0B5976AB" w14:textId="28A29876" w:rsidR="008849D2" w:rsidRPr="00301AF2" w:rsidRDefault="0021434C" w:rsidP="008849D2">
      <w:pPr>
        <w:pStyle w:val="ATHeading2"/>
      </w:pPr>
      <w:bookmarkStart w:id="1" w:name="title"/>
      <w:r w:rsidRPr="00301AF2">
        <w:t>Activos digitales: retos para la competitividad y la integridad del sistema financiero de la Unión Europea</w:t>
      </w:r>
      <w:bookmarkEnd w:id="1"/>
    </w:p>
    <w:p w14:paraId="022A3F2A" w14:textId="77777777" w:rsidR="008849D2" w:rsidRPr="00301AF2" w:rsidRDefault="008849D2" w:rsidP="008849D2">
      <w:pPr>
        <w:rPr>
          <w:i/>
          <w:vanish/>
        </w:rPr>
      </w:pPr>
      <w:r w:rsidRPr="00301AF2">
        <w:rPr>
          <w:i/>
        </w:rPr>
        <w:fldChar w:fldCharType="begin"/>
      </w:r>
      <w:r w:rsidRPr="00301AF2">
        <w:rPr>
          <w:i/>
        </w:rPr>
        <w:instrText xml:space="preserve"> TC"(</w:instrText>
      </w:r>
      <w:bookmarkStart w:id="2" w:name="DocNumber"/>
      <w:r w:rsidRPr="00301AF2">
        <w:rPr>
          <w:i/>
        </w:rPr>
        <w:instrText>A10-0186/2026</w:instrText>
      </w:r>
      <w:bookmarkEnd w:id="2"/>
      <w:r w:rsidRPr="00301AF2">
        <w:rPr>
          <w:i/>
        </w:rPr>
        <w:instrText xml:space="preserve"> - Ponente: Johan Van </w:instrText>
      </w:r>
      <w:proofErr w:type="spellStart"/>
      <w:r w:rsidRPr="00301AF2">
        <w:rPr>
          <w:i/>
        </w:rPr>
        <w:instrText>Overtveldt</w:instrText>
      </w:r>
      <w:proofErr w:type="spellEnd"/>
      <w:r w:rsidRPr="00301AF2">
        <w:rPr>
          <w:i/>
        </w:rPr>
        <w:instrText xml:space="preserve">)"\l3 \n&gt; \* MERGEFORMAT </w:instrText>
      </w:r>
      <w:r w:rsidRPr="00301AF2">
        <w:rPr>
          <w:i/>
        </w:rPr>
        <w:fldChar w:fldCharType="end"/>
      </w:r>
    </w:p>
    <w:p w14:paraId="29C5D4D9" w14:textId="77777777" w:rsidR="008849D2" w:rsidRPr="00301AF2" w:rsidRDefault="008849D2" w:rsidP="008849D2">
      <w:pPr>
        <w:rPr>
          <w:vanish/>
        </w:rPr>
      </w:pPr>
      <w:bookmarkStart w:id="3" w:name="Commission"/>
      <w:r w:rsidRPr="00301AF2">
        <w:rPr>
          <w:vanish/>
        </w:rPr>
        <w:t>Comisión de Asuntos Económicos y Monetarios</w:t>
      </w:r>
      <w:bookmarkEnd w:id="3"/>
    </w:p>
    <w:p w14:paraId="25835138" w14:textId="77777777" w:rsidR="008849D2" w:rsidRPr="00301AF2" w:rsidRDefault="008849D2" w:rsidP="008849D2">
      <w:pPr>
        <w:rPr>
          <w:vanish/>
        </w:rPr>
      </w:pPr>
      <w:bookmarkStart w:id="4" w:name="PE"/>
      <w:r w:rsidRPr="00301AF2">
        <w:rPr>
          <w:vanish/>
        </w:rPr>
        <w:t>PE784.381</w:t>
      </w:r>
      <w:bookmarkEnd w:id="4"/>
    </w:p>
    <w:p w14:paraId="39CF874B" w14:textId="17DFE5FB" w:rsidR="008849D2" w:rsidRPr="00301AF2" w:rsidRDefault="008849D2" w:rsidP="008849D2">
      <w:pPr>
        <w:pStyle w:val="ATHeading3"/>
      </w:pPr>
      <w:bookmarkStart w:id="5" w:name="Sujet"/>
      <w:r w:rsidRPr="00301AF2">
        <w:t xml:space="preserve">Resolución del Parlamento Europeo, de </w:t>
      </w:r>
      <w:r w:rsidR="0021434C" w:rsidRPr="00301AF2">
        <w:t>7</w:t>
      </w:r>
      <w:r w:rsidRPr="00301AF2">
        <w:t xml:space="preserve"> de julio de 2026, sobre los activos digitales: retos para la competitividad y la integridad del sistema financiero de la Unión Europea</w:t>
      </w:r>
      <w:bookmarkEnd w:id="5"/>
      <w:r w:rsidRPr="00301AF2">
        <w:t xml:space="preserve"> </w:t>
      </w:r>
      <w:bookmarkStart w:id="6" w:name="References"/>
      <w:r w:rsidRPr="00301AF2">
        <w:t>(2025/2208(INI))</w:t>
      </w:r>
      <w:bookmarkEnd w:id="6"/>
    </w:p>
    <w:p w14:paraId="7F9815F6" w14:textId="77777777" w:rsidR="00005F5D" w:rsidRPr="00301AF2" w:rsidRDefault="00005F5D" w:rsidP="0021434C">
      <w:pPr>
        <w:pStyle w:val="Normal12"/>
        <w:spacing w:before="240"/>
        <w:rPr>
          <w:i/>
          <w:iCs/>
          <w:lang w:val="es-ES_tradnl"/>
        </w:rPr>
      </w:pPr>
      <w:r w:rsidRPr="00301AF2">
        <w:rPr>
          <w:i/>
          <w:iCs/>
          <w:lang w:val="es-ES_tradnl"/>
        </w:rPr>
        <w:t>El Parlamento Europeo,</w:t>
      </w:r>
    </w:p>
    <w:p w14:paraId="088F76B5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Vista la revisión de la estabilidad financiera del Banco Central Europeo (BCE) de noviembre de 2025,</w:t>
      </w:r>
    </w:p>
    <w:p w14:paraId="02C9A672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Visto el documento de trabajo del BCE n.º 3199, de 3 marzo de 2026, titulado «</w:t>
      </w:r>
      <w:proofErr w:type="spellStart"/>
      <w:r w:rsidRPr="00301AF2">
        <w:rPr>
          <w:lang w:val="es-ES_tradnl"/>
        </w:rPr>
        <w:t>Stablecoins</w:t>
      </w:r>
      <w:proofErr w:type="spellEnd"/>
      <w:r w:rsidRPr="00301AF2">
        <w:rPr>
          <w:lang w:val="es-ES_tradnl"/>
        </w:rPr>
        <w:t xml:space="preserve"> and </w:t>
      </w:r>
      <w:proofErr w:type="spellStart"/>
      <w:r w:rsidRPr="00301AF2">
        <w:rPr>
          <w:lang w:val="es-ES_tradnl"/>
        </w:rPr>
        <w:t>monetary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policy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transmission</w:t>
      </w:r>
      <w:proofErr w:type="spellEnd"/>
      <w:r w:rsidRPr="00301AF2">
        <w:rPr>
          <w:lang w:val="es-ES_tradnl"/>
        </w:rPr>
        <w:t>» (Las criptomonedas estables y la transmisión de la política monetaria),</w:t>
      </w:r>
    </w:p>
    <w:p w14:paraId="0D0308BB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Vista la Recomendación de la Junta Europea de Riesgo Sistémico (JERS), de 25 de septiembre de 2025, sobre los sistemas de criptomonedas estables de múltiples emisores de terceros países,</w:t>
      </w:r>
    </w:p>
    <w:p w14:paraId="4872B2F2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Visto el informe de la JERS, de octubre de 2025, titulado «</w:t>
      </w:r>
      <w:proofErr w:type="spellStart"/>
      <w:r w:rsidRPr="00301AF2">
        <w:rPr>
          <w:lang w:val="es-ES_tradnl"/>
        </w:rPr>
        <w:t>Crypto-assets</w:t>
      </w:r>
      <w:proofErr w:type="spellEnd"/>
      <w:r w:rsidRPr="00301AF2">
        <w:rPr>
          <w:lang w:val="es-ES_tradnl"/>
        </w:rPr>
        <w:t xml:space="preserve"> and </w:t>
      </w:r>
      <w:proofErr w:type="spellStart"/>
      <w:r w:rsidRPr="00301AF2">
        <w:rPr>
          <w:lang w:val="es-ES_tradnl"/>
        </w:rPr>
        <w:t>decentralised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finance</w:t>
      </w:r>
      <w:proofErr w:type="spellEnd"/>
      <w:r w:rsidRPr="00301AF2">
        <w:rPr>
          <w:lang w:val="es-ES_tradnl"/>
        </w:rPr>
        <w:t xml:space="preserve"> – </w:t>
      </w:r>
      <w:proofErr w:type="spellStart"/>
      <w:r w:rsidRPr="00301AF2">
        <w:rPr>
          <w:lang w:val="es-ES_tradnl"/>
        </w:rPr>
        <w:t>Report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on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stablecoins</w:t>
      </w:r>
      <w:proofErr w:type="spellEnd"/>
      <w:r w:rsidRPr="00301AF2">
        <w:rPr>
          <w:lang w:val="es-ES_tradnl"/>
        </w:rPr>
        <w:t xml:space="preserve">, </w:t>
      </w:r>
      <w:proofErr w:type="spellStart"/>
      <w:r w:rsidRPr="00301AF2">
        <w:rPr>
          <w:lang w:val="es-ES_tradnl"/>
        </w:rPr>
        <w:t>criptoinvestment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products</w:t>
      </w:r>
      <w:proofErr w:type="spellEnd"/>
      <w:r w:rsidRPr="00301AF2">
        <w:rPr>
          <w:lang w:val="es-ES_tradnl"/>
        </w:rPr>
        <w:t xml:space="preserve"> and </w:t>
      </w:r>
      <w:proofErr w:type="spellStart"/>
      <w:r w:rsidRPr="00301AF2">
        <w:rPr>
          <w:lang w:val="es-ES_tradnl"/>
        </w:rPr>
        <w:t>multi-function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groups</w:t>
      </w:r>
      <w:proofErr w:type="spellEnd"/>
      <w:r w:rsidRPr="00301AF2">
        <w:rPr>
          <w:lang w:val="es-ES_tradnl"/>
        </w:rPr>
        <w:t>» (Criptoactivos y finanzas descentralizadas – Informe sobre las criptomonedas estables, los productos de inversión en criptoactivos y los grupos multifuncionales),</w:t>
      </w:r>
    </w:p>
    <w:p w14:paraId="7347C38C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Vistas las Directrices de la Autoridad Europea de Valores y Mercados, de 19 de marzo de 2025, sobre las condiciones y los criterios para la calificación de los criptoactivos como instrumentos financieros,</w:t>
      </w:r>
    </w:p>
    <w:p w14:paraId="2325B404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Visto el informe de la Autoridad Bancaria Europea (ABE), de diciembre de 2024, titulado «</w:t>
      </w:r>
      <w:proofErr w:type="spellStart"/>
      <w:r w:rsidRPr="00301AF2">
        <w:rPr>
          <w:lang w:val="es-ES_tradnl"/>
        </w:rPr>
        <w:t>Report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on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tokenised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deposits</w:t>
      </w:r>
      <w:proofErr w:type="spellEnd"/>
      <w:r w:rsidRPr="00301AF2">
        <w:rPr>
          <w:lang w:val="es-ES_tradnl"/>
        </w:rPr>
        <w:t>» (Informe sobre los depósitos toquenizados),</w:t>
      </w:r>
    </w:p>
    <w:p w14:paraId="7877D57E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Visto el informe de la ABE, de octubre de 2025, titulado «</w:t>
      </w:r>
      <w:proofErr w:type="spellStart"/>
      <w:r w:rsidRPr="00301AF2">
        <w:rPr>
          <w:lang w:val="es-ES_tradnl"/>
        </w:rPr>
        <w:t>Report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on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tackling</w:t>
      </w:r>
      <w:proofErr w:type="spellEnd"/>
      <w:r w:rsidRPr="00301AF2">
        <w:rPr>
          <w:lang w:val="es-ES_tradnl"/>
        </w:rPr>
        <w:t xml:space="preserve"> ML/TF </w:t>
      </w:r>
      <w:proofErr w:type="spellStart"/>
      <w:r w:rsidRPr="00301AF2">
        <w:rPr>
          <w:lang w:val="es-ES_tradnl"/>
        </w:rPr>
        <w:t>risks</w:t>
      </w:r>
      <w:proofErr w:type="spellEnd"/>
      <w:r w:rsidRPr="00301AF2">
        <w:rPr>
          <w:lang w:val="es-ES_tradnl"/>
        </w:rPr>
        <w:t xml:space="preserve"> in </w:t>
      </w:r>
      <w:proofErr w:type="spellStart"/>
      <w:r w:rsidRPr="00301AF2">
        <w:rPr>
          <w:lang w:val="es-ES_tradnl"/>
        </w:rPr>
        <w:t>crypto-asset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services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through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supervision</w:t>
      </w:r>
      <w:proofErr w:type="spellEnd"/>
      <w:r w:rsidRPr="00301AF2">
        <w:rPr>
          <w:lang w:val="es-ES_tradnl"/>
        </w:rPr>
        <w:t xml:space="preserve"> – </w:t>
      </w:r>
      <w:proofErr w:type="spellStart"/>
      <w:r w:rsidRPr="00301AF2">
        <w:rPr>
          <w:lang w:val="es-ES_tradnl"/>
        </w:rPr>
        <w:t>Lessons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learned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from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recent</w:t>
      </w:r>
      <w:proofErr w:type="spellEnd"/>
      <w:r w:rsidRPr="00301AF2">
        <w:rPr>
          <w:lang w:val="es-ES_tradnl"/>
        </w:rPr>
        <w:t xml:space="preserve"> cases» (Informe sobre la lucha contra los riesgos de blanqueo de capitales y financiación del terrorismo en los servicios de criptoactivos mediante la supervisión – Experiencia adquirida en casos recientes),</w:t>
      </w:r>
    </w:p>
    <w:p w14:paraId="28462D06" w14:textId="48AAE27A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lastRenderedPageBreak/>
        <w:t>–</w:t>
      </w:r>
      <w:r w:rsidRPr="00301AF2">
        <w:rPr>
          <w:lang w:val="es-ES_tradnl"/>
        </w:rPr>
        <w:tab/>
        <w:t>Vista la edición de septiembre de 2025 de la revista «</w:t>
      </w:r>
      <w:proofErr w:type="spellStart"/>
      <w:r w:rsidRPr="00301AF2">
        <w:rPr>
          <w:lang w:val="es-ES_tradnl"/>
        </w:rPr>
        <w:t>Finance</w:t>
      </w:r>
      <w:proofErr w:type="spellEnd"/>
      <w:r w:rsidRPr="00301AF2">
        <w:rPr>
          <w:lang w:val="es-ES_tradnl"/>
        </w:rPr>
        <w:t xml:space="preserve"> and </w:t>
      </w:r>
      <w:proofErr w:type="spellStart"/>
      <w:r w:rsidRPr="00301AF2">
        <w:rPr>
          <w:lang w:val="es-ES_tradnl"/>
        </w:rPr>
        <w:t>Development</w:t>
      </w:r>
      <w:proofErr w:type="spellEnd"/>
      <w:r w:rsidRPr="00301AF2">
        <w:rPr>
          <w:lang w:val="es-ES_tradnl"/>
        </w:rPr>
        <w:t>» (Finanzas y desarrollo) del Fondo Monetario Internacional, titulada «</w:t>
      </w:r>
      <w:proofErr w:type="spellStart"/>
      <w:r w:rsidRPr="00301AF2">
        <w:rPr>
          <w:lang w:val="es-ES_tradnl"/>
        </w:rPr>
        <w:t>Stablecoins</w:t>
      </w:r>
      <w:proofErr w:type="spellEnd"/>
      <w:r w:rsidRPr="00301AF2">
        <w:rPr>
          <w:lang w:val="es-ES_tradnl"/>
        </w:rPr>
        <w:t xml:space="preserve"> and </w:t>
      </w:r>
      <w:proofErr w:type="spellStart"/>
      <w:r w:rsidRPr="00301AF2">
        <w:rPr>
          <w:lang w:val="es-ES_tradnl"/>
        </w:rPr>
        <w:t>the</w:t>
      </w:r>
      <w:proofErr w:type="spellEnd"/>
      <w:r w:rsidRPr="00301AF2">
        <w:rPr>
          <w:lang w:val="es-ES_tradnl"/>
        </w:rPr>
        <w:t xml:space="preserve"> future </w:t>
      </w:r>
      <w:proofErr w:type="spellStart"/>
      <w:r w:rsidRPr="00301AF2">
        <w:rPr>
          <w:lang w:val="es-ES_tradnl"/>
        </w:rPr>
        <w:t>of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finance</w:t>
      </w:r>
      <w:proofErr w:type="spellEnd"/>
      <w:r w:rsidRPr="00301AF2">
        <w:rPr>
          <w:lang w:val="es-ES_tradnl"/>
        </w:rPr>
        <w:t>» (Criptomonedas estables y el futuro de las finanzas)</w:t>
      </w:r>
      <w:r w:rsidR="0021434C" w:rsidRPr="00301AF2">
        <w:rPr>
          <w:rStyle w:val="FootnoteReference"/>
          <w:lang w:val="es-ES_tradnl"/>
        </w:rPr>
        <w:footnoteReference w:id="1"/>
      </w:r>
      <w:r w:rsidRPr="00301AF2">
        <w:rPr>
          <w:lang w:val="es-ES_tradnl"/>
        </w:rPr>
        <w:t>,</w:t>
      </w:r>
    </w:p>
    <w:p w14:paraId="273A0889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Visto el informe de la Organización Internacional de Comisiones de Valores, de noviembre de 2025, titulado «</w:t>
      </w:r>
      <w:proofErr w:type="spellStart"/>
      <w:r w:rsidRPr="00301AF2">
        <w:rPr>
          <w:lang w:val="es-ES_tradnl"/>
        </w:rPr>
        <w:t>Tokenization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of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financial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assets</w:t>
      </w:r>
      <w:proofErr w:type="spellEnd"/>
      <w:r w:rsidRPr="00301AF2">
        <w:rPr>
          <w:lang w:val="es-ES_tradnl"/>
        </w:rPr>
        <w:t>» (</w:t>
      </w:r>
      <w:proofErr w:type="spellStart"/>
      <w:r w:rsidRPr="00301AF2">
        <w:rPr>
          <w:lang w:val="es-ES_tradnl"/>
        </w:rPr>
        <w:t>Toquenización</w:t>
      </w:r>
      <w:proofErr w:type="spellEnd"/>
      <w:r w:rsidRPr="00301AF2">
        <w:rPr>
          <w:lang w:val="es-ES_tradnl"/>
        </w:rPr>
        <w:t xml:space="preserve"> de activos financieros),</w:t>
      </w:r>
    </w:p>
    <w:p w14:paraId="786642F0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Visto el Informe Económico Anual del Banco de Pagos Internacionales (BPI), de junio de 2025,</w:t>
      </w:r>
    </w:p>
    <w:p w14:paraId="0622E2DC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Visto el informe del Consejo de Estabilidad Financiera, de 16 de octubre de 2025, titulado «</w:t>
      </w:r>
      <w:proofErr w:type="spellStart"/>
      <w:r w:rsidRPr="00301AF2">
        <w:rPr>
          <w:lang w:val="es-ES_tradnl"/>
        </w:rPr>
        <w:t>Thematic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Review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on</w:t>
      </w:r>
      <w:proofErr w:type="spellEnd"/>
      <w:r w:rsidRPr="00301AF2">
        <w:rPr>
          <w:lang w:val="es-ES_tradnl"/>
        </w:rPr>
        <w:t xml:space="preserve"> FSB Global </w:t>
      </w:r>
      <w:proofErr w:type="spellStart"/>
      <w:r w:rsidRPr="00301AF2">
        <w:rPr>
          <w:lang w:val="es-ES_tradnl"/>
        </w:rPr>
        <w:t>Regulatory</w:t>
      </w:r>
      <w:proofErr w:type="spellEnd"/>
      <w:r w:rsidRPr="00301AF2">
        <w:rPr>
          <w:lang w:val="es-ES_tradnl"/>
        </w:rPr>
        <w:t xml:space="preserve"> Framework </w:t>
      </w:r>
      <w:proofErr w:type="spellStart"/>
      <w:r w:rsidRPr="00301AF2">
        <w:rPr>
          <w:lang w:val="es-ES_tradnl"/>
        </w:rPr>
        <w:t>for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Crypto-asset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Activities</w:t>
      </w:r>
      <w:proofErr w:type="spellEnd"/>
      <w:r w:rsidRPr="00301AF2">
        <w:rPr>
          <w:lang w:val="es-ES_tradnl"/>
        </w:rPr>
        <w:t>» (Revisión temática del marco normativo mundial del Consejo de Estabilidad Financiera para las actividades de criptoactivos),</w:t>
      </w:r>
    </w:p>
    <w:p w14:paraId="0365B42B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 xml:space="preserve">Visto el informe de situación del Consejo de Estabilidad Financiera, de 22 de octubre de 2024, titulado «G20 </w:t>
      </w:r>
      <w:proofErr w:type="spellStart"/>
      <w:r w:rsidRPr="00301AF2">
        <w:rPr>
          <w:lang w:val="es-ES_tradnl"/>
        </w:rPr>
        <w:t>Crypto-asset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Policy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Implementation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Roadmap</w:t>
      </w:r>
      <w:proofErr w:type="spellEnd"/>
      <w:r w:rsidRPr="00301AF2">
        <w:rPr>
          <w:lang w:val="es-ES_tradnl"/>
        </w:rPr>
        <w:t>» (Hoja de ruta para la aplicación de la política de criptoactivos del G20),</w:t>
      </w:r>
    </w:p>
    <w:p w14:paraId="6FBD8978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Visto el informe de situación del Consejo de Estabilidad Financiera, de 22 de octubre de 2024, titulado «</w:t>
      </w:r>
      <w:proofErr w:type="spellStart"/>
      <w:r w:rsidRPr="00301AF2">
        <w:rPr>
          <w:lang w:val="es-ES_tradnl"/>
        </w:rPr>
        <w:t>The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financial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stability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implications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of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tokenisation</w:t>
      </w:r>
      <w:proofErr w:type="spellEnd"/>
      <w:r w:rsidRPr="00301AF2">
        <w:rPr>
          <w:lang w:val="es-ES_tradnl"/>
        </w:rPr>
        <w:t xml:space="preserve">» (Las implicaciones de la </w:t>
      </w:r>
      <w:proofErr w:type="spellStart"/>
      <w:r w:rsidRPr="00301AF2">
        <w:rPr>
          <w:lang w:val="es-ES_tradnl"/>
        </w:rPr>
        <w:t>toquenización</w:t>
      </w:r>
      <w:proofErr w:type="spellEnd"/>
      <w:r w:rsidRPr="00301AF2">
        <w:rPr>
          <w:lang w:val="es-ES_tradnl"/>
        </w:rPr>
        <w:t xml:space="preserve"> para la estabilidad financiera),</w:t>
      </w:r>
    </w:p>
    <w:p w14:paraId="554FB51B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Visto el documento de consulta del Banco de Inglaterra, de 10 de noviembre de 2025, titulado «</w:t>
      </w:r>
      <w:proofErr w:type="spellStart"/>
      <w:r w:rsidRPr="00301AF2">
        <w:rPr>
          <w:lang w:val="es-ES_tradnl"/>
        </w:rPr>
        <w:t>Proposed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regulatory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regime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for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sterling-denominated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systemic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stablecoins</w:t>
      </w:r>
      <w:proofErr w:type="spellEnd"/>
      <w:r w:rsidRPr="00301AF2">
        <w:rPr>
          <w:lang w:val="es-ES_tradnl"/>
        </w:rPr>
        <w:t>» (Propuesta de régimen regulador de las criptomonedas estables sistémicas denominadas en libras esterlinas),</w:t>
      </w:r>
    </w:p>
    <w:p w14:paraId="6DE3B807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 xml:space="preserve">Visto el briefing de la Unidad de Control de la Gobernanza Económica y de la UEM, de noviembre de 2025, titulado «Digital </w:t>
      </w:r>
      <w:proofErr w:type="spellStart"/>
      <w:r w:rsidRPr="00301AF2">
        <w:rPr>
          <w:lang w:val="es-ES_tradnl"/>
        </w:rPr>
        <w:t>assets</w:t>
      </w:r>
      <w:proofErr w:type="spellEnd"/>
      <w:r w:rsidRPr="00301AF2">
        <w:rPr>
          <w:lang w:val="es-ES_tradnl"/>
        </w:rPr>
        <w:t xml:space="preserve">: EU </w:t>
      </w:r>
      <w:proofErr w:type="spellStart"/>
      <w:r w:rsidRPr="00301AF2">
        <w:rPr>
          <w:lang w:val="es-ES_tradnl"/>
        </w:rPr>
        <w:t>regulatory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framework</w:t>
      </w:r>
      <w:proofErr w:type="spellEnd"/>
      <w:r w:rsidRPr="00301AF2">
        <w:rPr>
          <w:lang w:val="es-ES_tradnl"/>
        </w:rPr>
        <w:t xml:space="preserve">, </w:t>
      </w:r>
      <w:proofErr w:type="spellStart"/>
      <w:r w:rsidRPr="00301AF2">
        <w:rPr>
          <w:lang w:val="es-ES_tradnl"/>
        </w:rPr>
        <w:t>market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uptake</w:t>
      </w:r>
      <w:proofErr w:type="spellEnd"/>
      <w:r w:rsidRPr="00301AF2">
        <w:rPr>
          <w:lang w:val="es-ES_tradnl"/>
        </w:rPr>
        <w:t xml:space="preserve">, </w:t>
      </w:r>
      <w:proofErr w:type="spellStart"/>
      <w:r w:rsidRPr="00301AF2">
        <w:rPr>
          <w:lang w:val="es-ES_tradnl"/>
        </w:rPr>
        <w:t>risks</w:t>
      </w:r>
      <w:proofErr w:type="spellEnd"/>
      <w:r w:rsidRPr="00301AF2">
        <w:rPr>
          <w:lang w:val="es-ES_tradnl"/>
        </w:rPr>
        <w:t xml:space="preserve"> and </w:t>
      </w:r>
      <w:proofErr w:type="spellStart"/>
      <w:r w:rsidRPr="00301AF2">
        <w:rPr>
          <w:lang w:val="es-ES_tradnl"/>
        </w:rPr>
        <w:t>challenges</w:t>
      </w:r>
      <w:proofErr w:type="spellEnd"/>
      <w:r w:rsidRPr="00301AF2">
        <w:rPr>
          <w:lang w:val="es-ES_tradnl"/>
        </w:rPr>
        <w:t>» (Activos digitales: Marco regulador de la UE, adopción por el mercado, riesgos y desafíos),</w:t>
      </w:r>
    </w:p>
    <w:p w14:paraId="5417E1F9" w14:textId="18AD8966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Visto el documento de orientación de la Organización de Cooperación y Desarrollo Económicos (OCDE), de 9 de enero de 2025, titulado «</w:t>
      </w:r>
      <w:proofErr w:type="spellStart"/>
      <w:r w:rsidRPr="00301AF2">
        <w:rPr>
          <w:lang w:val="es-ES_tradnl"/>
        </w:rPr>
        <w:t>Tokenisation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of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assets</w:t>
      </w:r>
      <w:proofErr w:type="spellEnd"/>
      <w:r w:rsidRPr="00301AF2">
        <w:rPr>
          <w:lang w:val="es-ES_tradnl"/>
        </w:rPr>
        <w:t xml:space="preserve"> and </w:t>
      </w:r>
      <w:proofErr w:type="spellStart"/>
      <w:r w:rsidRPr="00301AF2">
        <w:rPr>
          <w:lang w:val="es-ES_tradnl"/>
        </w:rPr>
        <w:t>distributed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ledger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technologies</w:t>
      </w:r>
      <w:proofErr w:type="spellEnd"/>
      <w:r w:rsidRPr="00301AF2">
        <w:rPr>
          <w:lang w:val="es-ES_tradnl"/>
        </w:rPr>
        <w:t xml:space="preserve"> in </w:t>
      </w:r>
      <w:proofErr w:type="spellStart"/>
      <w:r w:rsidRPr="00301AF2">
        <w:rPr>
          <w:lang w:val="es-ES_tradnl"/>
        </w:rPr>
        <w:t>financial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markets</w:t>
      </w:r>
      <w:proofErr w:type="spellEnd"/>
      <w:r w:rsidRPr="00301AF2">
        <w:rPr>
          <w:lang w:val="es-ES_tradnl"/>
        </w:rPr>
        <w:t xml:space="preserve"> – </w:t>
      </w:r>
      <w:proofErr w:type="spellStart"/>
      <w:r w:rsidRPr="00301AF2">
        <w:rPr>
          <w:lang w:val="es-ES_tradnl"/>
        </w:rPr>
        <w:t>Potential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impediments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to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market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development</w:t>
      </w:r>
      <w:proofErr w:type="spellEnd"/>
      <w:r w:rsidRPr="00301AF2">
        <w:rPr>
          <w:lang w:val="es-ES_tradnl"/>
        </w:rPr>
        <w:t xml:space="preserve"> and </w:t>
      </w:r>
      <w:proofErr w:type="spellStart"/>
      <w:r w:rsidRPr="00301AF2">
        <w:rPr>
          <w:lang w:val="es-ES_tradnl"/>
        </w:rPr>
        <w:t>policy</w:t>
      </w:r>
      <w:proofErr w:type="spellEnd"/>
      <w:r w:rsidRPr="00301AF2">
        <w:rPr>
          <w:lang w:val="es-ES_tradnl"/>
        </w:rPr>
        <w:t xml:space="preserve"> </w:t>
      </w:r>
      <w:proofErr w:type="spellStart"/>
      <w:r w:rsidRPr="00301AF2">
        <w:rPr>
          <w:lang w:val="es-ES_tradnl"/>
        </w:rPr>
        <w:t>implications</w:t>
      </w:r>
      <w:proofErr w:type="spellEnd"/>
      <w:r w:rsidRPr="00301AF2">
        <w:rPr>
          <w:lang w:val="es-ES_tradnl"/>
        </w:rPr>
        <w:t>» (</w:t>
      </w:r>
      <w:proofErr w:type="spellStart"/>
      <w:r w:rsidRPr="00301AF2">
        <w:rPr>
          <w:lang w:val="es-ES_tradnl"/>
        </w:rPr>
        <w:t>Toquenización</w:t>
      </w:r>
      <w:proofErr w:type="spellEnd"/>
      <w:r w:rsidRPr="00301AF2">
        <w:rPr>
          <w:lang w:val="es-ES_tradnl"/>
        </w:rPr>
        <w:t xml:space="preserve"> de activos y tecnologías de registro descentralizado en los mercados financieros – Posibles obstáculos al desarrollo del mercado e implicaciones políticas)</w:t>
      </w:r>
      <w:r w:rsidR="0021434C" w:rsidRPr="00301AF2">
        <w:rPr>
          <w:rStyle w:val="FootnoteReference"/>
          <w:lang w:val="es-ES_tradnl"/>
        </w:rPr>
        <w:footnoteReference w:id="2"/>
      </w:r>
      <w:r w:rsidRPr="00301AF2">
        <w:rPr>
          <w:lang w:val="es-ES_tradnl"/>
        </w:rPr>
        <w:t>,</w:t>
      </w:r>
    </w:p>
    <w:p w14:paraId="3344E9FF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Visto el artículo 55 de su Reglamento interno,</w:t>
      </w:r>
    </w:p>
    <w:p w14:paraId="75D19B9F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–</w:t>
      </w:r>
      <w:r w:rsidRPr="00301AF2">
        <w:rPr>
          <w:lang w:val="es-ES_tradnl"/>
        </w:rPr>
        <w:tab/>
        <w:t>Visto el informe de la Comisión de Asuntos Económicos y Monetarios (A10-0186/2026),</w:t>
      </w:r>
    </w:p>
    <w:p w14:paraId="054C279D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A.</w:t>
      </w:r>
      <w:r w:rsidRPr="00301AF2">
        <w:rPr>
          <w:lang w:val="es-ES_tradnl"/>
        </w:rPr>
        <w:tab/>
        <w:t xml:space="preserve">Considerando que, según la encuesta del BCE de noviembre de 2024 sobre las </w:t>
      </w:r>
      <w:r w:rsidRPr="00301AF2">
        <w:rPr>
          <w:lang w:val="es-ES_tradnl"/>
        </w:rPr>
        <w:lastRenderedPageBreak/>
        <w:t>expectativas de los consumidores, una media del 9,7 % de los encuestados o alguien de su hogar poseía criptoactivos, de los cuales el 54 % notificó tenencias por un valor inferior a 1 000 EUR y el 91 %, tenencias por un valor inferior a 20 000 EUR;</w:t>
      </w:r>
    </w:p>
    <w:p w14:paraId="55986775" w14:textId="6B20E3EA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B.</w:t>
      </w:r>
      <w:r w:rsidRPr="00301AF2">
        <w:rPr>
          <w:lang w:val="es-ES_tradnl"/>
        </w:rPr>
        <w:tab/>
        <w:t>Considerando que la capitalización total de los criptoactivos en el mercado mundial ascendía a 2,03 billones EUR el 10 de febrero de 2026, con una cuota de mercado del 12,9 %, es decir, 261 000 millones EUR, en el caso de las criptomonedas estables, según fuentes de datos privadas; que, según el documento de trabajo n.º 3199 del BCE, las expectativas del mercado apuntan a un fuerte crecimiento de la emisión de criptomonedas estables;</w:t>
      </w:r>
    </w:p>
    <w:p w14:paraId="52C5E0E6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C.</w:t>
      </w:r>
      <w:r w:rsidRPr="00301AF2">
        <w:rPr>
          <w:lang w:val="es-ES_tradnl"/>
        </w:rPr>
        <w:tab/>
        <w:t>Considerando que los activos toquenizados representaban alrededor del 1 % de los activos digitales mundiales en febrero de 2026, una proporción que está creciendo rápidamente, sobre la base de fuentes de datos privadas no armonizadas;</w:t>
      </w:r>
    </w:p>
    <w:p w14:paraId="0C51B8E4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D.</w:t>
      </w:r>
      <w:r w:rsidRPr="00301AF2">
        <w:rPr>
          <w:lang w:val="es-ES_tradnl"/>
        </w:rPr>
        <w:tab/>
        <w:t>Considerando que, en 2025, la mano de obra mundial en el ámbito de las criptomonedas ascendía a más de 1,6 millones de profesionales, de los cuales la Unión alberga una proporción grande pero decreciente, sobre la base de fuentes de datos privadas;</w:t>
      </w:r>
    </w:p>
    <w:p w14:paraId="362EB46E" w14:textId="0D5767BC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E.</w:t>
      </w:r>
      <w:r w:rsidRPr="00301AF2">
        <w:rPr>
          <w:lang w:val="es-ES_tradnl"/>
        </w:rPr>
        <w:tab/>
        <w:t>Considerando que en el artículo 2, punto 1, del Reglamento (UE) 2022/858</w:t>
      </w:r>
      <w:r w:rsidR="0021434C" w:rsidRPr="00301AF2">
        <w:rPr>
          <w:rStyle w:val="FootnoteReference"/>
          <w:lang w:val="es-ES_tradnl"/>
        </w:rPr>
        <w:footnoteReference w:id="3"/>
      </w:r>
      <w:r w:rsidRPr="00301AF2">
        <w:rPr>
          <w:lang w:val="es-ES_tradnl"/>
        </w:rPr>
        <w:t>sobre un régimen piloto de la tecnología de registro descentralizado se define «tecnología de registro descentralizado» o «TRD» como «una tecnología que permite el funcionamiento y el uso de registros descentralizados»; que en el artículo 2, punto 2, de este Reglamento se define «registro descentralizado» como «un repositorio de información que lleva registros de operaciones y se comparte a través de un conjunto de nodos de red TRD y está sincronizado entre dichos nodos, utilizando un mecanismo de consenso»;</w:t>
      </w:r>
    </w:p>
    <w:p w14:paraId="38CCC33E" w14:textId="1B6ED16F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F.</w:t>
      </w:r>
      <w:r w:rsidRPr="00301AF2">
        <w:rPr>
          <w:lang w:val="es-ES_tradnl"/>
        </w:rPr>
        <w:tab/>
        <w:t>Considerando que el Reglamento (UE) 2023/1114 relativo a los mercados de criptoactivos</w:t>
      </w:r>
      <w:r w:rsidR="0021434C" w:rsidRPr="00301AF2">
        <w:rPr>
          <w:rStyle w:val="FootnoteReference"/>
          <w:lang w:val="es-ES_tradnl"/>
        </w:rPr>
        <w:footnoteReference w:id="4"/>
      </w:r>
      <w:r w:rsidRPr="00301AF2">
        <w:rPr>
          <w:lang w:val="es-ES_tradnl"/>
        </w:rPr>
        <w:t xml:space="preserve"> (</w:t>
      </w:r>
      <w:proofErr w:type="spellStart"/>
      <w:r w:rsidRPr="00301AF2">
        <w:rPr>
          <w:lang w:val="es-ES_tradnl"/>
        </w:rPr>
        <w:t>MiCAR</w:t>
      </w:r>
      <w:proofErr w:type="spellEnd"/>
      <w:r w:rsidRPr="00301AF2">
        <w:rPr>
          <w:lang w:val="es-ES_tradnl"/>
        </w:rPr>
        <w:t>) establece un marco armonizado en la Unión para los criptoactivos y distingue entre tres categorías principales, a saber, las fichas de dinero electrónico, que tratan de mantener estable su valor haciendo referencia a una única moneda oficial, las fichas referenciadas a activos, cuyo objetivo es mantener un valor estable referenciado a otro valor o derecho, o a una combinación de ambos, incluidas una o varias monedas oficiales, y otros criptoactivos, es decir, una representación digital de un valor o de un derecho que puede transferirse y almacenarse electrónicamente mediante la tecnología de registro descentralizado o una tecnología similar, y que no entra en las demás categorías;</w:t>
      </w:r>
    </w:p>
    <w:p w14:paraId="226AEEDA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G.</w:t>
      </w:r>
      <w:r w:rsidRPr="00301AF2">
        <w:rPr>
          <w:lang w:val="es-ES_tradnl"/>
        </w:rPr>
        <w:tab/>
        <w:t xml:space="preserve">Considerando que el </w:t>
      </w:r>
      <w:proofErr w:type="spellStart"/>
      <w:r w:rsidRPr="00301AF2">
        <w:rPr>
          <w:lang w:val="es-ES_tradnl"/>
        </w:rPr>
        <w:t>MiCAR</w:t>
      </w:r>
      <w:proofErr w:type="spellEnd"/>
      <w:r w:rsidRPr="00301AF2">
        <w:rPr>
          <w:lang w:val="es-ES_tradnl"/>
        </w:rPr>
        <w:t xml:space="preserve"> excluye de su ámbito de aplicación, de conformidad con su artículo 2, apartado 4, los criptoactivos que se consideren instrumentos financieros, depósitos, fondos, titulizaciones o productos de seguros o de pensiones con arreglo al </w:t>
      </w:r>
      <w:r w:rsidRPr="00301AF2">
        <w:rPr>
          <w:lang w:val="es-ES_tradnl"/>
        </w:rPr>
        <w:lastRenderedPageBreak/>
        <w:t>Derecho de la Unión vigente, garantizando así que dichos criptoactivos sigan estando sujetos a los marcos legislativos sectoriales pertinentes y reflejando el modelo de supervisión basado en productos de la legislación de la Unión en materia de servicios financieros;</w:t>
      </w:r>
    </w:p>
    <w:p w14:paraId="7B59E60D" w14:textId="77777777" w:rsidR="00005F5D" w:rsidRPr="00301AF2" w:rsidRDefault="00005F5D" w:rsidP="00005F5D">
      <w:pPr>
        <w:pStyle w:val="NormalHanging"/>
        <w:rPr>
          <w:lang w:val="es-ES_tradnl"/>
        </w:rPr>
      </w:pPr>
      <w:r w:rsidRPr="00301AF2">
        <w:rPr>
          <w:lang w:val="es-ES_tradnl"/>
        </w:rPr>
        <w:t>H.</w:t>
      </w:r>
      <w:r w:rsidRPr="00301AF2">
        <w:rPr>
          <w:lang w:val="es-ES_tradnl"/>
        </w:rPr>
        <w:tab/>
        <w:t>Considerando que el nuevo Gobierno de los Estados Unidos tiene una actitud mucho más abierta en relación con los criptoactivos, lo que ha resultado en la adopción de legislación clave y de un enfoque más permisivo por lo que respecta a la aplicación de la ley por parte de las autoridades de supervisión; que el enfoque regulador en los Estados Unidos sigue en fase de desarrollo y que los responsables políticos y reguladores estadounidenses se refieren en general a «activos digitales», un término que, comúnmente, se entiende que engloba representaciones digitales criptográficas de valor o derechos garantizados en un registro descentralizado, incluidas las criptomonedas, también las estables, y determinados instrumentos toquenizados;</w:t>
      </w:r>
    </w:p>
    <w:p w14:paraId="42DB7E27" w14:textId="77777777" w:rsidR="00005F5D" w:rsidRPr="00301AF2" w:rsidRDefault="00005F5D" w:rsidP="00005F5D">
      <w:pPr>
        <w:pStyle w:val="Normal12a"/>
        <w:rPr>
          <w:lang w:val="es-ES_tradnl"/>
        </w:rPr>
      </w:pPr>
      <w:r w:rsidRPr="00301AF2">
        <w:rPr>
          <w:b/>
          <w:i/>
          <w:lang w:val="es-ES_tradnl"/>
        </w:rPr>
        <w:t>Resumen</w:t>
      </w:r>
    </w:p>
    <w:p w14:paraId="79837AB4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1.</w:t>
      </w:r>
      <w:r w:rsidRPr="00301AF2">
        <w:rPr>
          <w:lang w:val="es-ES_tradnl"/>
        </w:rPr>
        <w:tab/>
        <w:t>Apoya el objetivo a largo plazo de un enfoque sistémico, basado en las actividades y tecnológicamente neutro para el marco regulador de la Unión en materia de servicios financieros;</w:t>
      </w:r>
    </w:p>
    <w:p w14:paraId="440731BE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2.</w:t>
      </w:r>
      <w:r w:rsidRPr="00301AF2">
        <w:rPr>
          <w:lang w:val="es-ES_tradnl"/>
        </w:rPr>
        <w:tab/>
        <w:t xml:space="preserve">Subraya que las TRD y la </w:t>
      </w:r>
      <w:proofErr w:type="spellStart"/>
      <w:r w:rsidRPr="00301AF2">
        <w:rPr>
          <w:lang w:val="es-ES_tradnl"/>
        </w:rPr>
        <w:t>toquenización</w:t>
      </w:r>
      <w:proofErr w:type="spellEnd"/>
      <w:r w:rsidRPr="00301AF2">
        <w:rPr>
          <w:lang w:val="es-ES_tradnl"/>
        </w:rPr>
        <w:t xml:space="preserve"> de activos tienen el potencial de respaldar los objetivos de la Unión de Ahorros e Inversiones al facilitar la inversión transfronteriza, reducir la fragmentación del mercado y permitir una infraestructura más eficiente e inclusiva del mercado de capitales en toda la Unión; enfatiza el papel fundamental de la interoperabilidad;</w:t>
      </w:r>
    </w:p>
    <w:p w14:paraId="630C24A8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3.</w:t>
      </w:r>
      <w:r w:rsidRPr="00301AF2">
        <w:rPr>
          <w:lang w:val="es-ES_tradnl"/>
        </w:rPr>
        <w:tab/>
        <w:t>Hace hincapié en que la aparición de nuevas tecnologías en el ámbito de las finanzas plantea nuevos retos para el marco regulador y de supervisión; toma nota de la diversidad de activos digitales y reconoce que los riesgos asociados y el potencial de negocio difieren en función de la categoría; afirma su compromiso con la revisión específica de los marcos reglamentarios de la Unión al objeto de desarrollar una infraestructura de pagos y mercados de capitales de la Unión sólidos y posibilitados por los activos digitales; insta a la Comisión a que evalúe la necesidad y viabilidad de regular los préstamos y empréstitos de criptoactivos, incluido el «</w:t>
      </w:r>
      <w:proofErr w:type="spellStart"/>
      <w:r w:rsidRPr="00301AF2">
        <w:rPr>
          <w:lang w:val="es-ES_tradnl"/>
        </w:rPr>
        <w:t>staking</w:t>
      </w:r>
      <w:proofErr w:type="spellEnd"/>
      <w:r w:rsidRPr="00301AF2">
        <w:rPr>
          <w:lang w:val="es-ES_tradnl"/>
        </w:rPr>
        <w:t xml:space="preserve">» (bloqueo), los </w:t>
      </w:r>
      <w:proofErr w:type="spellStart"/>
      <w:r w:rsidRPr="00301AF2">
        <w:rPr>
          <w:lang w:val="es-ES_tradnl"/>
        </w:rPr>
        <w:t>tóquenes</w:t>
      </w:r>
      <w:proofErr w:type="spellEnd"/>
      <w:r w:rsidRPr="00301AF2">
        <w:rPr>
          <w:lang w:val="es-ES_tradnl"/>
        </w:rPr>
        <w:t xml:space="preserve"> no fungibles y las finanzas descentralizadas, en el marco del </w:t>
      </w:r>
      <w:proofErr w:type="spellStart"/>
      <w:r w:rsidRPr="00301AF2">
        <w:rPr>
          <w:lang w:val="es-ES_tradnl"/>
        </w:rPr>
        <w:t>MiCAR</w:t>
      </w:r>
      <w:proofErr w:type="spellEnd"/>
      <w:r w:rsidRPr="00301AF2">
        <w:rPr>
          <w:lang w:val="es-ES_tradnl"/>
        </w:rPr>
        <w:t>;</w:t>
      </w:r>
    </w:p>
    <w:p w14:paraId="63E72AAE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4.</w:t>
      </w:r>
      <w:r w:rsidRPr="00301AF2">
        <w:rPr>
          <w:lang w:val="es-ES_tradnl"/>
        </w:rPr>
        <w:tab/>
        <w:t>Subraya las capacidades de innovación y conectividad potenciales de los registros descentralizados con seguridad criptográfica y las tecnologías similares para la infraestructura de servicios financieros, tanto dentro de la Unión como para su papel a nivel mundial; hace hincapié en que un entorno normativo previsible y favorable a la innovación será esencial para garantizar que la inversión y el desarrollo tecnológico permanezcan dentro de la Unión y fomentar la competitividad y la confianza en una estructura financiera denominada en euros;</w:t>
      </w:r>
    </w:p>
    <w:p w14:paraId="365D3366" w14:textId="77777777" w:rsidR="00005F5D" w:rsidRPr="00301AF2" w:rsidRDefault="00005F5D" w:rsidP="00005F5D">
      <w:pPr>
        <w:pStyle w:val="Normal12a"/>
        <w:rPr>
          <w:lang w:val="es-ES_tradnl"/>
        </w:rPr>
      </w:pPr>
      <w:r w:rsidRPr="00301AF2">
        <w:rPr>
          <w:b/>
          <w:i/>
          <w:lang w:val="es-ES_tradnl"/>
        </w:rPr>
        <w:t>Criptoactivos</w:t>
      </w:r>
    </w:p>
    <w:p w14:paraId="30898FE5" w14:textId="62241FA6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5.</w:t>
      </w:r>
      <w:r w:rsidRPr="00301AF2">
        <w:rPr>
          <w:lang w:val="es-ES_tradnl"/>
        </w:rPr>
        <w:tab/>
        <w:t xml:space="preserve">Reconoce que la Unión fue una de las primeras jurisdicciones en aprobar y ejecutar un régimen específico para los criptoactivos, con el </w:t>
      </w:r>
      <w:proofErr w:type="spellStart"/>
      <w:r w:rsidRPr="00301AF2">
        <w:rPr>
          <w:lang w:val="es-ES_tradnl"/>
        </w:rPr>
        <w:t>MiCAR</w:t>
      </w:r>
      <w:proofErr w:type="spellEnd"/>
      <w:r w:rsidRPr="00301AF2">
        <w:rPr>
          <w:lang w:val="es-ES_tradnl"/>
        </w:rPr>
        <w:t xml:space="preserve">, y en aplicar la TRD en el sector financiero; pide a la Comisión que, en estrecha cooperación con la ABE, la Autoridad Europea de Valores y Mercados, la Autoridad de Lucha contra el Blanqueo de Capitales y la Financiación del Terrorismo y las autoridades nacionales competentes, </w:t>
      </w:r>
      <w:r w:rsidRPr="00301AF2">
        <w:rPr>
          <w:lang w:val="es-ES_tradnl"/>
        </w:rPr>
        <w:lastRenderedPageBreak/>
        <w:t xml:space="preserve">garantice la aplicación efectiva del </w:t>
      </w:r>
      <w:proofErr w:type="spellStart"/>
      <w:r w:rsidRPr="00301AF2">
        <w:rPr>
          <w:lang w:val="es-ES_tradnl"/>
        </w:rPr>
        <w:t>MiCAR</w:t>
      </w:r>
      <w:proofErr w:type="spellEnd"/>
      <w:r w:rsidRPr="00301AF2">
        <w:rPr>
          <w:lang w:val="es-ES_tradnl"/>
        </w:rPr>
        <w:t xml:space="preserve">; pide a los Estados miembros que se abstengan de introducir requisitos y responsabilidades adicionales más allá de los marcos del </w:t>
      </w:r>
      <w:proofErr w:type="spellStart"/>
      <w:r w:rsidRPr="00301AF2">
        <w:rPr>
          <w:lang w:val="es-ES_tradnl"/>
        </w:rPr>
        <w:t>MiCAR</w:t>
      </w:r>
      <w:proofErr w:type="spellEnd"/>
      <w:r w:rsidRPr="00301AF2">
        <w:rPr>
          <w:lang w:val="es-ES_tradnl"/>
        </w:rPr>
        <w:t xml:space="preserve"> o del Reglamento relativo a las transferencias de fondos</w:t>
      </w:r>
      <w:r w:rsidR="0021434C" w:rsidRPr="00301AF2">
        <w:rPr>
          <w:rStyle w:val="FootnoteReference"/>
          <w:lang w:val="es-ES_tradnl"/>
        </w:rPr>
        <w:footnoteReference w:id="5"/>
      </w:r>
      <w:r w:rsidRPr="00301AF2">
        <w:rPr>
          <w:lang w:val="es-ES_tradnl"/>
        </w:rPr>
        <w:t>;</w:t>
      </w:r>
    </w:p>
    <w:p w14:paraId="286214BE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6.</w:t>
      </w:r>
      <w:r w:rsidRPr="00301AF2">
        <w:rPr>
          <w:lang w:val="es-ES_tradnl"/>
        </w:rPr>
        <w:tab/>
        <w:t>Destaca la importancia de reforzar las capacidades de datos, en particular en lo que respecta al apalancamiento en el sector de los criptoactivos y las interrelaciones con el sector de las instituciones financieras no bancarias; insta a la Comisión a que siga supervisando la interconexión de los criptoactivos con el sistema financiero; señala que los criptoactivos no respaldados por activos pueden tender a generar riesgos y volatilidad adicionales;</w:t>
      </w:r>
    </w:p>
    <w:p w14:paraId="55C27A9D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7.</w:t>
      </w:r>
      <w:r w:rsidRPr="00301AF2">
        <w:rPr>
          <w:lang w:val="es-ES_tradnl"/>
        </w:rPr>
        <w:tab/>
        <w:t xml:space="preserve">Pide a la ABE, a la Autoridad Europea de Valores y Mercados, a la Autoridad de Lucha contra el Blanqueo de Capitales y la Financiación del Terrorismo, a la Autoridad Europea de Seguros y Pensiones de Jubilación, a las autoridades nacionales competentes, al BCE y a la JERS que refuercen el diálogo en materia de supervisión sobre los grupos multifuncionales significativos; subraya la necesidad de armonizar el marco político del </w:t>
      </w:r>
      <w:proofErr w:type="spellStart"/>
      <w:r w:rsidRPr="00301AF2">
        <w:rPr>
          <w:lang w:val="es-ES_tradnl"/>
        </w:rPr>
        <w:t>MiCAR</w:t>
      </w:r>
      <w:proofErr w:type="spellEnd"/>
      <w:r w:rsidRPr="00301AF2">
        <w:rPr>
          <w:lang w:val="es-ES_tradnl"/>
        </w:rPr>
        <w:t xml:space="preserve"> para los grupos multifuncionales significativos no bancarios;</w:t>
      </w:r>
    </w:p>
    <w:p w14:paraId="20E6BEB7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8.</w:t>
      </w:r>
      <w:r w:rsidRPr="00301AF2">
        <w:rPr>
          <w:lang w:val="es-ES_tradnl"/>
        </w:rPr>
        <w:tab/>
        <w:t>Reconoce que las tecnologías de registro descentralizado introducen nuevas consideraciones tecnológicas y operativas para los supervisores financieros, incluidas cuestiones relacionadas con la seguridad de los contratos inteligentes, la gobernanza de las redes descentralizadas, la ciberresiliencia y la gestión del riesgo operativo; pide a las autoridades de supervisión que desarrollen los conocimientos técnicos suficientes para comprender estas infraestructuras de mercado emergentes y realizar un seguimiento eficaz de las mismas;</w:t>
      </w:r>
    </w:p>
    <w:p w14:paraId="4F2F389D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9.</w:t>
      </w:r>
      <w:r w:rsidRPr="00301AF2">
        <w:rPr>
          <w:lang w:val="es-ES_tradnl"/>
        </w:rPr>
        <w:tab/>
        <w:t>Expresa su preocupación por el papel que desempeñan los criptoactivos a la hora de eludir la normativa y las sanciones en materia de lucha contra el blanqueo de capitales y la financiación del terrorismo; pone de relieve la importancia de reforzar las herramientas de supervisión, la aplicación y las normas en materia de cumplimiento para hacer frente a los riesgos relacionados con el blanqueo de capitales y la financiación del terrorismo, incluidas unas normas «conozca a su cliente» eficaces y el seguimiento de los pagos; subraya que es importante que las autoridades de investigación utilicen la tecnología que subyace a los criptoactivos a fin de desalentar los criptodelitos y cooperen entre sí para bloquear las transacciones ilegales que se hayan detectado o denunciado;</w:t>
      </w:r>
    </w:p>
    <w:p w14:paraId="619BB979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10.</w:t>
      </w:r>
      <w:r w:rsidRPr="00301AF2">
        <w:rPr>
          <w:lang w:val="es-ES_tradnl"/>
        </w:rPr>
        <w:tab/>
        <w:t>Toma nota de la aparición de productos híbridos que combinan características de los criptoactivos y los instrumentos financieros tradicionales y que pueden crear inseguridad jurídica;</w:t>
      </w:r>
    </w:p>
    <w:p w14:paraId="2E273A03" w14:textId="77777777" w:rsidR="00005F5D" w:rsidRPr="00301AF2" w:rsidRDefault="00005F5D" w:rsidP="00005F5D">
      <w:pPr>
        <w:pStyle w:val="Normal12a"/>
        <w:rPr>
          <w:lang w:val="es-ES_tradnl"/>
        </w:rPr>
      </w:pPr>
      <w:proofErr w:type="spellStart"/>
      <w:r w:rsidRPr="00301AF2">
        <w:rPr>
          <w:b/>
          <w:i/>
          <w:lang w:val="es-ES_tradnl"/>
        </w:rPr>
        <w:t>Toquenización</w:t>
      </w:r>
      <w:proofErr w:type="spellEnd"/>
      <w:r w:rsidRPr="00301AF2">
        <w:rPr>
          <w:b/>
          <w:i/>
          <w:lang w:val="es-ES_tradnl"/>
        </w:rPr>
        <w:t xml:space="preserve"> de los instrumentos financieros</w:t>
      </w:r>
    </w:p>
    <w:p w14:paraId="31E963E0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11.</w:t>
      </w:r>
      <w:r w:rsidRPr="00301AF2">
        <w:rPr>
          <w:lang w:val="es-ES_tradnl"/>
        </w:rPr>
        <w:tab/>
        <w:t>Observa que en el considerando 3 del Reglamento (UE) 2022/858 se define la «</w:t>
      </w:r>
      <w:proofErr w:type="spellStart"/>
      <w:r w:rsidRPr="00301AF2">
        <w:rPr>
          <w:lang w:val="es-ES_tradnl"/>
        </w:rPr>
        <w:t>toquenización</w:t>
      </w:r>
      <w:proofErr w:type="spellEnd"/>
      <w:r w:rsidRPr="00301AF2">
        <w:rPr>
          <w:lang w:val="es-ES_tradnl"/>
        </w:rPr>
        <w:t xml:space="preserve">» de los instrumentos financieros como la representación digital de instrumentos financieros mediante sistemas basados en tecnología de registro descentralizado o la emisión de activos de tipo tradicional en forma de autenticación por </w:t>
      </w:r>
      <w:proofErr w:type="spellStart"/>
      <w:r w:rsidRPr="00301AF2">
        <w:rPr>
          <w:lang w:val="es-ES_tradnl"/>
        </w:rPr>
        <w:lastRenderedPageBreak/>
        <w:t>tóquenes</w:t>
      </w:r>
      <w:proofErr w:type="spellEnd"/>
      <w:r w:rsidRPr="00301AF2">
        <w:rPr>
          <w:lang w:val="es-ES_tradnl"/>
        </w:rPr>
        <w:t xml:space="preserve"> para que puedan ser emitidos, almacenados y transferidos empleando un registro descentralizado;</w:t>
      </w:r>
    </w:p>
    <w:p w14:paraId="61A95998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12.</w:t>
      </w:r>
      <w:r w:rsidRPr="00301AF2">
        <w:rPr>
          <w:lang w:val="es-ES_tradnl"/>
        </w:rPr>
        <w:tab/>
        <w:t xml:space="preserve">Destaca que la </w:t>
      </w:r>
      <w:proofErr w:type="spellStart"/>
      <w:r w:rsidRPr="00301AF2">
        <w:rPr>
          <w:lang w:val="es-ES_tradnl"/>
        </w:rPr>
        <w:t>toquenización</w:t>
      </w:r>
      <w:proofErr w:type="spellEnd"/>
      <w:r w:rsidRPr="00301AF2">
        <w:rPr>
          <w:lang w:val="es-ES_tradnl"/>
        </w:rPr>
        <w:t xml:space="preserve"> de los activos financieros no altera en sí misma la naturaleza jurídica ni las características económicas fundamentales de estos activos; hace hincapié en que los instrumentos financieros toquenizados deben otorgar derechos equivalentes a los vinculados a los valores tradicionales con el fin de evitar el arbitraje regulatorio y salvaguardar la protección de los inversores;</w:t>
      </w:r>
    </w:p>
    <w:p w14:paraId="38DF1887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13.</w:t>
      </w:r>
      <w:r w:rsidRPr="00301AF2">
        <w:rPr>
          <w:lang w:val="es-ES_tradnl"/>
        </w:rPr>
        <w:tab/>
        <w:t xml:space="preserve">Acoge con satisfacción los beneficios potenciales de la </w:t>
      </w:r>
      <w:proofErr w:type="spellStart"/>
      <w:r w:rsidRPr="00301AF2">
        <w:rPr>
          <w:lang w:val="es-ES_tradnl"/>
        </w:rPr>
        <w:t>toquenización</w:t>
      </w:r>
      <w:proofErr w:type="spellEnd"/>
      <w:r w:rsidRPr="00301AF2">
        <w:rPr>
          <w:lang w:val="es-ES_tradnl"/>
        </w:rPr>
        <w:t xml:space="preserve"> para la negociación de activos financieros, como el aumento de la eficiencia y la transparencia, la reducción de los riesgos de contraparte y de los costes operativos, los contratos inteligentes y la mejora de la liquidez mediante la propiedad fraccionaria, al mismo tiempo que señala que sus vulnerabilidades deben ser objeto de seguimiento;</w:t>
      </w:r>
    </w:p>
    <w:p w14:paraId="61BCB3A1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14.</w:t>
      </w:r>
      <w:r w:rsidRPr="00301AF2">
        <w:rPr>
          <w:lang w:val="es-ES_tradnl"/>
        </w:rPr>
        <w:tab/>
        <w:t xml:space="preserve">Insta a la Comisión a que facilite y fomente la </w:t>
      </w:r>
      <w:proofErr w:type="spellStart"/>
      <w:r w:rsidRPr="00301AF2">
        <w:rPr>
          <w:lang w:val="es-ES_tradnl"/>
        </w:rPr>
        <w:t>toquenización</w:t>
      </w:r>
      <w:proofErr w:type="spellEnd"/>
      <w:r w:rsidRPr="00301AF2">
        <w:rPr>
          <w:lang w:val="es-ES_tradnl"/>
        </w:rPr>
        <w:t xml:space="preserve"> en todos los servicios financieros, insistiendo en la interoperabilidad y evitando la fragmentación mediante la defensa de las normas en todo el mercado único y la provisión de infraestructuras;</w:t>
      </w:r>
    </w:p>
    <w:p w14:paraId="1F44175C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15.</w:t>
      </w:r>
      <w:r w:rsidRPr="00301AF2">
        <w:rPr>
          <w:lang w:val="es-ES_tradnl"/>
        </w:rPr>
        <w:tab/>
        <w:t>Reconoce los esfuerzos del BCE por ofrecer soluciones, incluida una infraestructura que ofrezca una opción para la moneda digital de banco central mayorista que permita liquidar los componentes del efectivo y los activos en un registro compartido, como complemento a los depósitos de bancos comerciales toquenizados y las criptomonedas estables;</w:t>
      </w:r>
    </w:p>
    <w:p w14:paraId="1240DF2B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16.</w:t>
      </w:r>
      <w:r w:rsidRPr="00301AF2">
        <w:rPr>
          <w:lang w:val="es-ES_tradnl"/>
        </w:rPr>
        <w:tab/>
        <w:t xml:space="preserve">Subraya el potencial para la conectividad mundial del mercado europeo </w:t>
      </w:r>
      <w:proofErr w:type="spellStart"/>
      <w:r w:rsidRPr="00301AF2">
        <w:rPr>
          <w:lang w:val="es-ES_tradnl"/>
        </w:rPr>
        <w:t>toquenizado</w:t>
      </w:r>
      <w:proofErr w:type="spellEnd"/>
      <w:r w:rsidRPr="00301AF2">
        <w:rPr>
          <w:lang w:val="es-ES_tradnl"/>
        </w:rPr>
        <w:t>; enfatiza la importancia de la cooperación internacional para armonizar los criterios, los principios y las normas de categorización; respalda la labor del BPI en las iniciativas de colaboración transfronteriza en materia de pagos;</w:t>
      </w:r>
    </w:p>
    <w:p w14:paraId="5DBE37AE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17.</w:t>
      </w:r>
      <w:r w:rsidRPr="00301AF2">
        <w:rPr>
          <w:lang w:val="es-ES_tradnl"/>
        </w:rPr>
        <w:tab/>
        <w:t>Acoge con satisfacción los debates en curso sobre el régimen piloto de la TRD como parte del paquete de integración y supervisión del mercado;</w:t>
      </w:r>
    </w:p>
    <w:p w14:paraId="656AFDDA" w14:textId="77777777" w:rsidR="00005F5D" w:rsidRPr="00301AF2" w:rsidRDefault="00005F5D" w:rsidP="00005F5D">
      <w:pPr>
        <w:pStyle w:val="Normal12a"/>
        <w:rPr>
          <w:lang w:val="es-ES_tradnl"/>
        </w:rPr>
      </w:pPr>
      <w:r w:rsidRPr="00301AF2">
        <w:rPr>
          <w:b/>
          <w:i/>
          <w:lang w:val="es-ES_tradnl"/>
        </w:rPr>
        <w:t>Criptomonedas estables</w:t>
      </w:r>
    </w:p>
    <w:p w14:paraId="549986C2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18.</w:t>
      </w:r>
      <w:r w:rsidRPr="00301AF2">
        <w:rPr>
          <w:lang w:val="es-ES_tradnl"/>
        </w:rPr>
        <w:tab/>
        <w:t xml:space="preserve">Señala que las criptomonedas estables pueden pertenecer a dos categorías en virtud del marco jurídico del </w:t>
      </w:r>
      <w:proofErr w:type="spellStart"/>
      <w:r w:rsidRPr="00301AF2">
        <w:rPr>
          <w:lang w:val="es-ES_tradnl"/>
        </w:rPr>
        <w:t>MiCAR</w:t>
      </w:r>
      <w:proofErr w:type="spellEnd"/>
      <w:r w:rsidRPr="00301AF2">
        <w:rPr>
          <w:lang w:val="es-ES_tradnl"/>
        </w:rPr>
        <w:t>, a saber, las fichas referenciadas a activos y las fichas de dinero electrónico;</w:t>
      </w:r>
    </w:p>
    <w:p w14:paraId="20D3B644" w14:textId="77777777" w:rsidR="00005F5D" w:rsidRPr="00301AF2" w:rsidRDefault="00005F5D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19.</w:t>
      </w:r>
      <w:r w:rsidRPr="00301AF2">
        <w:rPr>
          <w:lang w:val="es-ES_tradnl"/>
        </w:rPr>
        <w:tab/>
        <w:t xml:space="preserve">Observa que las criptomonedas estables son una forma de creación de dinero privado y que su función económica presenta similitudes con los tipos de cambio fijos, los fondos del mercado monetario y la banca estrecha; resalta, no obstante, que el </w:t>
      </w:r>
      <w:proofErr w:type="spellStart"/>
      <w:r w:rsidRPr="00301AF2">
        <w:rPr>
          <w:lang w:val="es-ES_tradnl"/>
        </w:rPr>
        <w:t>MiCAR</w:t>
      </w:r>
      <w:proofErr w:type="spellEnd"/>
      <w:r w:rsidRPr="00301AF2">
        <w:rPr>
          <w:lang w:val="es-ES_tradnl"/>
        </w:rPr>
        <w:t xml:space="preserve"> prohíbe a los emisores de fichas de dinero electrónico y a los proveedores de servicios de criptoactivos conceder, directa o indirectamente, intereses en relación con las fichas de dinero electrónico, y que las criptomonedas estables no tienen acceso directo a los bancos centrales ni a sus titulares y no están cubiertas por sistemas de garantía de depósito; señala los riesgos de devaluación o desvinculación y desintermediación relacionados con las criptomonedas estables;</w:t>
      </w:r>
    </w:p>
    <w:p w14:paraId="2064E9DB" w14:textId="5CB6BA52" w:rsidR="004E2D3B" w:rsidRPr="00301AF2" w:rsidRDefault="001E5D5E" w:rsidP="00005F5D">
      <w:pPr>
        <w:pStyle w:val="NormalHanging12a"/>
        <w:rPr>
          <w:bCs/>
          <w:iCs/>
          <w:lang w:val="es-ES_tradnl"/>
        </w:rPr>
      </w:pPr>
      <w:r w:rsidRPr="00301AF2">
        <w:rPr>
          <w:bCs/>
          <w:iCs/>
        </w:rPr>
        <w:t>20</w:t>
      </w:r>
      <w:r w:rsidR="004E2D3B" w:rsidRPr="00301AF2">
        <w:rPr>
          <w:bCs/>
          <w:iCs/>
        </w:rPr>
        <w:t>.</w:t>
      </w:r>
      <w:r w:rsidR="004E2D3B" w:rsidRPr="00301AF2">
        <w:rPr>
          <w:bCs/>
          <w:iCs/>
        </w:rPr>
        <w:tab/>
        <w:t xml:space="preserve">Observa con preocupación la continua y rápida expansión y dominio de las criptomonedas estables denominadas en dólares estadounidenses, lo que podría debilitar la soberanía monetaria de la Unión, aumentar los riesgos para la estabilidad financiera, </w:t>
      </w:r>
      <w:r w:rsidR="004E2D3B" w:rsidRPr="00301AF2">
        <w:rPr>
          <w:bCs/>
          <w:iCs/>
        </w:rPr>
        <w:lastRenderedPageBreak/>
        <w:t>menoscabar la transmisión de la política monetaria y reforzar las dependencias externas en los pagos;</w:t>
      </w:r>
    </w:p>
    <w:p w14:paraId="750416DB" w14:textId="3D0EAE29" w:rsidR="00005F5D" w:rsidRPr="00301AF2" w:rsidRDefault="001E5D5E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21</w:t>
      </w:r>
      <w:r w:rsidR="00005F5D" w:rsidRPr="00301AF2">
        <w:rPr>
          <w:lang w:val="es-ES_tradnl"/>
        </w:rPr>
        <w:t>.</w:t>
      </w:r>
      <w:r w:rsidR="00005F5D" w:rsidRPr="00301AF2">
        <w:rPr>
          <w:lang w:val="es-ES_tradnl"/>
        </w:rPr>
        <w:tab/>
        <w:t xml:space="preserve">Acoge con satisfacción la aparición de las fichas de dinero electrónico denominadas en euros en el marco del </w:t>
      </w:r>
      <w:proofErr w:type="spellStart"/>
      <w:r w:rsidR="00005F5D" w:rsidRPr="00301AF2">
        <w:rPr>
          <w:lang w:val="es-ES_tradnl"/>
        </w:rPr>
        <w:t>MiCAR</w:t>
      </w:r>
      <w:proofErr w:type="spellEnd"/>
      <w:r w:rsidR="00005F5D" w:rsidRPr="00301AF2">
        <w:rPr>
          <w:lang w:val="es-ES_tradnl"/>
        </w:rPr>
        <w:t xml:space="preserve"> y alienta su desarrollo para apoyar la innovación en materia de pagos de la Unión, la competitividad de los mercados financieros de la UE y el papel internacional del euro, en particular mediante pagos transfronterizos más rápidos y a menor coste, como complemento de los depósitos toquenizados y las monedas digitales de banco central mayoristas; destaca la importancia de unos marcos armonizados de gestión del riesgo de liquidez y de crisis, que contemplen la prelación de los reembolsos y los requisitos de segregación de las reservas; observa que el BCE sostiene que las criptomonedas estables no denominadas en euros pueden plantear riesgos para la política monetaria si su uso se generaliza; expresa su cautela ante el recurso indebido a la cláusula de «comercialización pasiva»;</w:t>
      </w:r>
    </w:p>
    <w:p w14:paraId="38EDCCB1" w14:textId="773C3F38" w:rsidR="00005F5D" w:rsidRPr="00301AF2" w:rsidRDefault="001E5D5E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22</w:t>
      </w:r>
      <w:r w:rsidR="00005F5D" w:rsidRPr="00301AF2">
        <w:rPr>
          <w:lang w:val="es-ES_tradnl"/>
        </w:rPr>
        <w:t>.</w:t>
      </w:r>
      <w:r w:rsidR="00005F5D" w:rsidRPr="00301AF2">
        <w:rPr>
          <w:lang w:val="es-ES_tradnl"/>
        </w:rPr>
        <w:tab/>
        <w:t>Reconoce la necesidad de seguridad jurídica en el Derecho de la Unión en relación con la posible emisión múltiple de criptomonedas estables por parte de una entidad de la Unión y una entidad no perteneciente a esta si las criptomonedas estables digitales emitidas por ambas entidades fueran plenamente fungibles e indistinguibles; recuerda que la JERS ha advertido de que la emisión múltiple constituye un canal de contagio posible; destaca la necesidad de garantizar que el funcionamiento de estos regímenes en la Unión se base en la seguridad jurídica y en un marco regulador sólido que proporcione salvaguardias prudenciales sólidas, acuerdos de cooperación robustos y protocolos de gestión de crisis mejorados; subraya la importancia de promover la coordinación internacional en materia de regulación y supervisión de las criptomonedas estables mundiales, con vistas a elaborar normas internacionales;</w:t>
      </w:r>
    </w:p>
    <w:p w14:paraId="15D262F8" w14:textId="5D524FDD" w:rsidR="00005F5D" w:rsidRPr="00301AF2" w:rsidRDefault="001E5D5E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23</w:t>
      </w:r>
      <w:r w:rsidR="00005F5D" w:rsidRPr="00301AF2">
        <w:rPr>
          <w:lang w:val="es-ES_tradnl"/>
        </w:rPr>
        <w:t>.</w:t>
      </w:r>
      <w:r w:rsidR="00005F5D" w:rsidRPr="00301AF2">
        <w:rPr>
          <w:lang w:val="es-ES_tradnl"/>
        </w:rPr>
        <w:tab/>
        <w:t xml:space="preserve">Acoge con satisfacción el acuerdo provisional sobre la propuesta de Directiva </w:t>
      </w:r>
      <w:r w:rsidR="0021434C" w:rsidRPr="00301AF2">
        <w:rPr>
          <w:rStyle w:val="FootnoteReference"/>
          <w:lang w:val="es-ES_tradnl"/>
        </w:rPr>
        <w:footnoteReference w:id="6"/>
      </w:r>
      <w:r w:rsidR="00005F5D" w:rsidRPr="00301AF2">
        <w:rPr>
          <w:lang w:val="es-ES_tradnl"/>
        </w:rPr>
        <w:t xml:space="preserve"> y de Reglamento </w:t>
      </w:r>
      <w:r w:rsidR="0021434C" w:rsidRPr="00301AF2">
        <w:rPr>
          <w:rStyle w:val="FootnoteReference"/>
          <w:lang w:val="es-ES_tradnl"/>
        </w:rPr>
        <w:footnoteReference w:id="7"/>
      </w:r>
      <w:r w:rsidR="00005F5D" w:rsidRPr="00301AF2">
        <w:rPr>
          <w:lang w:val="es-ES_tradnl"/>
        </w:rPr>
        <w:t xml:space="preserve"> relativos a los servicios de pago y la solución de autorización simplificada para los proveedores de servicios de criptoactivos ya autorizados en virtud del </w:t>
      </w:r>
      <w:proofErr w:type="spellStart"/>
      <w:r w:rsidR="00005F5D" w:rsidRPr="00301AF2">
        <w:rPr>
          <w:lang w:val="es-ES_tradnl"/>
        </w:rPr>
        <w:t>MiCAR</w:t>
      </w:r>
      <w:proofErr w:type="spellEnd"/>
      <w:r w:rsidR="00005F5D" w:rsidRPr="00301AF2">
        <w:rPr>
          <w:lang w:val="es-ES_tradnl"/>
        </w:rPr>
        <w:t xml:space="preserve"> a fin de evitar solapamientos normativos innecesarios, que estarían sujetos a un procedimiento racionalizado, manteniendo al mismo tiempo controles de riesgos adecuados y prestando únicamente los servicios especificados en la solicitud;</w:t>
      </w:r>
    </w:p>
    <w:p w14:paraId="432B6E34" w14:textId="77777777" w:rsidR="00005F5D" w:rsidRPr="00301AF2" w:rsidRDefault="00005F5D" w:rsidP="00005F5D">
      <w:pPr>
        <w:pStyle w:val="Normal12a"/>
        <w:rPr>
          <w:lang w:val="es-ES_tradnl"/>
        </w:rPr>
      </w:pPr>
      <w:r w:rsidRPr="00301AF2">
        <w:rPr>
          <w:b/>
          <w:i/>
          <w:lang w:val="es-ES_tradnl"/>
        </w:rPr>
        <w:t>Consideraciones transversales</w:t>
      </w:r>
    </w:p>
    <w:p w14:paraId="742F9DE0" w14:textId="39CEA954" w:rsidR="00005F5D" w:rsidRPr="00301AF2" w:rsidRDefault="001E5D5E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24</w:t>
      </w:r>
      <w:r w:rsidR="00005F5D" w:rsidRPr="00301AF2">
        <w:rPr>
          <w:lang w:val="es-ES_tradnl"/>
        </w:rPr>
        <w:t>.</w:t>
      </w:r>
      <w:r w:rsidR="00005F5D" w:rsidRPr="00301AF2">
        <w:rPr>
          <w:lang w:val="es-ES_tradnl"/>
        </w:rPr>
        <w:tab/>
        <w:t xml:space="preserve">Subraya que la interoperabilidad es crucial en las finanzas digitales, ya que requiere, por ejemplo, una identidad portable y credenciales verificables como componentes facilitadores de la infraestructura del mercado entre redes; destaca que los enfoques de tipo identificador de entidad jurídica / identificador de entidad jurídica verificable deben evaluarse como herramientas de monitorización de infraestructuras; pide a la Comisión que colabore con las organizaciones de normalización europeas e internacionales con </w:t>
      </w:r>
      <w:r w:rsidR="00005F5D" w:rsidRPr="00301AF2">
        <w:rPr>
          <w:lang w:val="es-ES_tradnl"/>
        </w:rPr>
        <w:lastRenderedPageBreak/>
        <w:t>vistas a elaborar normas y protocolos técnicos comunes para los activos digitales, los contratos inteligentes y las identidades digitales;</w:t>
      </w:r>
    </w:p>
    <w:p w14:paraId="61C8842C" w14:textId="4842BF67" w:rsidR="00005F5D" w:rsidRPr="00301AF2" w:rsidRDefault="001E5D5E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25</w:t>
      </w:r>
      <w:r w:rsidR="00005F5D" w:rsidRPr="00301AF2">
        <w:rPr>
          <w:lang w:val="es-ES_tradnl"/>
        </w:rPr>
        <w:t>.</w:t>
      </w:r>
      <w:r w:rsidR="00005F5D" w:rsidRPr="00301AF2">
        <w:rPr>
          <w:lang w:val="es-ES_tradnl"/>
        </w:rPr>
        <w:tab/>
        <w:t>Acoge con satisfacción los debates en curso sobre el euro digital, incluidos los preparativos para los usos tanto minoristas como mayoristas, y apoya los proyectos de tecnologías de registro descentralizado a corto plazo (Pontes) y a largo plazo (</w:t>
      </w:r>
      <w:proofErr w:type="spellStart"/>
      <w:r w:rsidR="00005F5D" w:rsidRPr="00301AF2">
        <w:rPr>
          <w:lang w:val="es-ES_tradnl"/>
        </w:rPr>
        <w:t>Appia</w:t>
      </w:r>
      <w:proofErr w:type="spellEnd"/>
      <w:r w:rsidR="00005F5D" w:rsidRPr="00301AF2">
        <w:rPr>
          <w:lang w:val="es-ES_tradnl"/>
        </w:rPr>
        <w:t>) actuales para la liquidación del dinero de banco central mayorista; pide a la Comisión y al BCE que garanticen que las futuras soluciones que ofrece el euro digital se diseñen para fomentar la interoperabilidad con las infraestructuras basadas en la TRD y garanticen la complementariedad con el efectivo;</w:t>
      </w:r>
    </w:p>
    <w:p w14:paraId="6483781B" w14:textId="43B59B9F" w:rsidR="00005F5D" w:rsidRPr="00301AF2" w:rsidRDefault="001E5D5E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26</w:t>
      </w:r>
      <w:r w:rsidR="00005F5D" w:rsidRPr="00301AF2">
        <w:rPr>
          <w:lang w:val="es-ES_tradnl"/>
        </w:rPr>
        <w:t>.</w:t>
      </w:r>
      <w:r w:rsidR="00005F5D" w:rsidRPr="00301AF2">
        <w:rPr>
          <w:lang w:val="es-ES_tradnl"/>
        </w:rPr>
        <w:tab/>
        <w:t>Lamenta la dependencia de la Unión de proveedores de servicios no pertenecientes a la Unión para las infraestructuras basadas en la TRD; hace hincapié en que el tratamiento de los activos digitales por parte del Gobierno estadounidense debe supervisarse con cautela;</w:t>
      </w:r>
    </w:p>
    <w:p w14:paraId="22A381C5" w14:textId="29200E5C" w:rsidR="00005F5D" w:rsidRPr="00301AF2" w:rsidRDefault="001E5D5E" w:rsidP="00005F5D">
      <w:pPr>
        <w:pStyle w:val="NormalHanging12a"/>
        <w:rPr>
          <w:lang w:val="es-ES_tradnl"/>
        </w:rPr>
      </w:pPr>
      <w:r w:rsidRPr="00301AF2">
        <w:rPr>
          <w:lang w:val="es-ES_tradnl"/>
        </w:rPr>
        <w:t>27</w:t>
      </w:r>
      <w:r w:rsidR="00005F5D" w:rsidRPr="00301AF2">
        <w:rPr>
          <w:lang w:val="es-ES_tradnl"/>
        </w:rPr>
        <w:t>.</w:t>
      </w:r>
      <w:r w:rsidR="00005F5D" w:rsidRPr="00301AF2">
        <w:rPr>
          <w:lang w:val="es-ES_tradnl"/>
        </w:rPr>
        <w:tab/>
        <w:t>Toma nota de los debates en curso sobre el papel de la Autoridad Europea de Valores y Mercados como parte del paquete de integración y supervisión del mercado;</w:t>
      </w:r>
    </w:p>
    <w:p w14:paraId="75B633DC" w14:textId="77777777" w:rsidR="00005F5D" w:rsidRPr="00301AF2" w:rsidRDefault="00005F5D" w:rsidP="00005F5D">
      <w:pPr>
        <w:pStyle w:val="NormalCenter12a"/>
        <w:rPr>
          <w:lang w:val="es-ES_tradnl"/>
        </w:rPr>
      </w:pPr>
      <w:r w:rsidRPr="00301AF2">
        <w:rPr>
          <w:lang w:val="es-ES_tradnl"/>
        </w:rPr>
        <w:t>°</w:t>
      </w:r>
    </w:p>
    <w:p w14:paraId="69F08232" w14:textId="77777777" w:rsidR="00005F5D" w:rsidRPr="00301AF2" w:rsidRDefault="00005F5D" w:rsidP="00005F5D">
      <w:pPr>
        <w:pStyle w:val="NormalCenter12a"/>
        <w:rPr>
          <w:lang w:val="es-ES_tradnl"/>
        </w:rPr>
      </w:pPr>
      <w:r w:rsidRPr="00301AF2">
        <w:rPr>
          <w:lang w:val="es-ES_tradnl"/>
        </w:rPr>
        <w:t>°</w:t>
      </w:r>
      <w:r w:rsidRPr="00301AF2">
        <w:rPr>
          <w:lang w:val="es-ES_tradnl"/>
        </w:rPr>
        <w:tab/>
        <w:t>°</w:t>
      </w:r>
    </w:p>
    <w:p w14:paraId="54EB3A64" w14:textId="4DD3B2F7" w:rsidR="00E365E1" w:rsidRPr="00301AF2" w:rsidRDefault="001E5D5E" w:rsidP="004E2D3B">
      <w:pPr>
        <w:pStyle w:val="NormalHanging12a"/>
      </w:pPr>
      <w:r w:rsidRPr="00301AF2">
        <w:rPr>
          <w:lang w:val="es-ES_tradnl"/>
        </w:rPr>
        <w:t>28</w:t>
      </w:r>
      <w:r w:rsidR="00005F5D" w:rsidRPr="00301AF2">
        <w:rPr>
          <w:lang w:val="es-ES_tradnl"/>
        </w:rPr>
        <w:t>.</w:t>
      </w:r>
      <w:r w:rsidR="00005F5D" w:rsidRPr="00301AF2">
        <w:rPr>
          <w:lang w:val="es-ES_tradnl"/>
        </w:rPr>
        <w:tab/>
        <w:t>Encarga a su presidenta que transmita la presente Resolución al Consejo y a la Comisión.</w:t>
      </w:r>
    </w:p>
    <w:sectPr w:rsidR="00E365E1" w:rsidRPr="00301AF2" w:rsidSect="009F3090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34AAD" w14:textId="77777777" w:rsidR="008849D2" w:rsidRPr="009F3090" w:rsidRDefault="008849D2">
      <w:r w:rsidRPr="009F3090">
        <w:separator/>
      </w:r>
    </w:p>
  </w:endnote>
  <w:endnote w:type="continuationSeparator" w:id="0">
    <w:p w14:paraId="7CC7FF71" w14:textId="77777777" w:rsidR="008849D2" w:rsidRPr="009F3090" w:rsidRDefault="008849D2">
      <w:r w:rsidRPr="009F30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80E" w14:textId="77777777" w:rsidR="008849D2" w:rsidRPr="009F3090" w:rsidRDefault="008849D2">
      <w:r w:rsidRPr="009F3090">
        <w:separator/>
      </w:r>
    </w:p>
  </w:footnote>
  <w:footnote w:type="continuationSeparator" w:id="0">
    <w:p w14:paraId="2E2AF314" w14:textId="77777777" w:rsidR="008849D2" w:rsidRPr="009F3090" w:rsidRDefault="008849D2">
      <w:r w:rsidRPr="009F3090">
        <w:continuationSeparator/>
      </w:r>
    </w:p>
  </w:footnote>
  <w:footnote w:id="1">
    <w:p w14:paraId="3E01085E" w14:textId="6AB2D435" w:rsidR="0021434C" w:rsidRPr="009F3090" w:rsidRDefault="0021434C" w:rsidP="009F3090">
      <w:pPr>
        <w:pStyle w:val="FootnoteText"/>
        <w:ind w:left="567" w:hanging="567"/>
        <w:rPr>
          <w:sz w:val="24"/>
          <w:lang w:val="es-ES_tradnl"/>
        </w:rPr>
      </w:pPr>
      <w:r>
        <w:rPr>
          <w:rStyle w:val="FootnoteReference"/>
        </w:rPr>
        <w:footnoteRef/>
      </w:r>
      <w:r w:rsidRPr="009F3090">
        <w:rPr>
          <w:sz w:val="24"/>
          <w:lang w:val="es-ES_tradnl"/>
        </w:rPr>
        <w:t xml:space="preserve"> </w:t>
      </w:r>
      <w:r w:rsidRPr="009F3090">
        <w:rPr>
          <w:sz w:val="24"/>
          <w:lang w:val="es-ES_tradnl"/>
        </w:rPr>
        <w:tab/>
        <w:t>Fondo Monetario Internacional, «</w:t>
      </w:r>
      <w:proofErr w:type="spellStart"/>
      <w:r w:rsidRPr="009F3090">
        <w:rPr>
          <w:sz w:val="24"/>
          <w:lang w:val="es-ES_tradnl"/>
        </w:rPr>
        <w:t>Stablecoins</w:t>
      </w:r>
      <w:proofErr w:type="spellEnd"/>
      <w:r w:rsidRPr="009F3090">
        <w:rPr>
          <w:sz w:val="24"/>
          <w:lang w:val="es-ES_tradnl"/>
        </w:rPr>
        <w:t xml:space="preserve"> and </w:t>
      </w:r>
      <w:proofErr w:type="spellStart"/>
      <w:r w:rsidRPr="009F3090">
        <w:rPr>
          <w:sz w:val="24"/>
          <w:lang w:val="es-ES_tradnl"/>
        </w:rPr>
        <w:t>the</w:t>
      </w:r>
      <w:proofErr w:type="spellEnd"/>
      <w:r w:rsidRPr="009F3090">
        <w:rPr>
          <w:sz w:val="24"/>
          <w:lang w:val="es-ES_tradnl"/>
        </w:rPr>
        <w:t xml:space="preserve"> future </w:t>
      </w:r>
      <w:proofErr w:type="spellStart"/>
      <w:r w:rsidRPr="009F3090">
        <w:rPr>
          <w:sz w:val="24"/>
          <w:lang w:val="es-ES_tradnl"/>
        </w:rPr>
        <w:t>of</w:t>
      </w:r>
      <w:proofErr w:type="spellEnd"/>
      <w:r w:rsidRPr="009F3090">
        <w:rPr>
          <w:sz w:val="24"/>
          <w:lang w:val="es-ES_tradnl"/>
        </w:rPr>
        <w:t xml:space="preserve"> </w:t>
      </w:r>
      <w:proofErr w:type="spellStart"/>
      <w:r w:rsidRPr="009F3090">
        <w:rPr>
          <w:sz w:val="24"/>
          <w:lang w:val="es-ES_tradnl"/>
        </w:rPr>
        <w:t>finance</w:t>
      </w:r>
      <w:proofErr w:type="spellEnd"/>
      <w:r w:rsidRPr="009F3090">
        <w:rPr>
          <w:sz w:val="24"/>
          <w:lang w:val="es-ES_tradnl"/>
        </w:rPr>
        <w:t xml:space="preserve">» (Criptomonedas estables y el futuro de las finanzas), </w:t>
      </w:r>
      <w:proofErr w:type="spellStart"/>
      <w:r w:rsidRPr="009F3090">
        <w:rPr>
          <w:i/>
          <w:sz w:val="24"/>
          <w:lang w:val="es-ES_tradnl"/>
        </w:rPr>
        <w:t>Finance</w:t>
      </w:r>
      <w:proofErr w:type="spellEnd"/>
      <w:r w:rsidRPr="009F3090">
        <w:rPr>
          <w:i/>
          <w:sz w:val="24"/>
          <w:lang w:val="es-ES_tradnl"/>
        </w:rPr>
        <w:t xml:space="preserve"> &amp; </w:t>
      </w:r>
      <w:proofErr w:type="spellStart"/>
      <w:r w:rsidRPr="009F3090">
        <w:rPr>
          <w:i/>
          <w:sz w:val="24"/>
          <w:lang w:val="es-ES_tradnl"/>
        </w:rPr>
        <w:t>Development</w:t>
      </w:r>
      <w:proofErr w:type="spellEnd"/>
      <w:r w:rsidRPr="009F3090">
        <w:rPr>
          <w:sz w:val="24"/>
          <w:lang w:val="es-ES_tradnl"/>
        </w:rPr>
        <w:t xml:space="preserve">, vol. 62, núm. 3, 3 de septiembre de 2025, Fondo Monetario Internacional, Washington, </w:t>
      </w:r>
      <w:hyperlink r:id="rId1" w:tgtFrame="https://doi.org/10.5089/9798400297649.022" w:history="1">
        <w:r w:rsidRPr="009F3090">
          <w:rPr>
            <w:rStyle w:val="Hyperlink"/>
            <w:sz w:val="24"/>
            <w:lang w:val="es-ES_tradnl"/>
          </w:rPr>
          <w:t>https://doi.org/10.5089/9798400297649.022</w:t>
        </w:r>
      </w:hyperlink>
      <w:r w:rsidRPr="009F3090">
        <w:rPr>
          <w:sz w:val="24"/>
          <w:lang w:val="es-ES_tradnl"/>
        </w:rPr>
        <w:t>.</w:t>
      </w:r>
    </w:p>
  </w:footnote>
  <w:footnote w:id="2">
    <w:p w14:paraId="35C9C594" w14:textId="509AD5C5" w:rsidR="0021434C" w:rsidRPr="009F3090" w:rsidRDefault="0021434C" w:rsidP="009F3090">
      <w:pPr>
        <w:pStyle w:val="FootnoteText"/>
        <w:ind w:left="567" w:hanging="567"/>
        <w:rPr>
          <w:sz w:val="24"/>
          <w:lang w:val="es-ES_tradnl"/>
        </w:rPr>
      </w:pPr>
      <w:r>
        <w:rPr>
          <w:rStyle w:val="FootnoteReference"/>
        </w:rPr>
        <w:footnoteRef/>
      </w:r>
      <w:r w:rsidRPr="009F3090">
        <w:rPr>
          <w:sz w:val="24"/>
          <w:lang w:val="es-ES_tradnl"/>
        </w:rPr>
        <w:t xml:space="preserve"> </w:t>
      </w:r>
      <w:r w:rsidRPr="009F3090">
        <w:rPr>
          <w:sz w:val="24"/>
          <w:lang w:val="es-ES_tradnl"/>
        </w:rPr>
        <w:tab/>
        <w:t>Documentos de política empresarial y financiera de la OCDE, n.º 75.</w:t>
      </w:r>
    </w:p>
  </w:footnote>
  <w:footnote w:id="3">
    <w:p w14:paraId="53D78007" w14:textId="641BBBD9" w:rsidR="0021434C" w:rsidRPr="009F3090" w:rsidRDefault="0021434C" w:rsidP="009F3090">
      <w:pPr>
        <w:pStyle w:val="FootnoteText"/>
        <w:ind w:left="567" w:hanging="567"/>
        <w:rPr>
          <w:sz w:val="24"/>
          <w:lang w:val="es-ES_tradnl"/>
        </w:rPr>
      </w:pPr>
      <w:r>
        <w:rPr>
          <w:rStyle w:val="FootnoteReference"/>
        </w:rPr>
        <w:footnoteRef/>
      </w:r>
      <w:r w:rsidRPr="009F3090">
        <w:rPr>
          <w:sz w:val="24"/>
          <w:lang w:val="es-ES_tradnl"/>
        </w:rPr>
        <w:t xml:space="preserve"> </w:t>
      </w:r>
      <w:r w:rsidRPr="009F3090">
        <w:rPr>
          <w:sz w:val="24"/>
          <w:lang w:val="es-ES_tradnl"/>
        </w:rPr>
        <w:tab/>
        <w:t xml:space="preserve">Reglamento (UE) 2022/858 del Parlamento Europeo y del Consejo, de 30 de mayo de 2022, sobre un régimen piloto de infraestructuras del mercado basadas en la tecnología de registro descentralizado y por el que se modifican los Reglamentos (UE) n.º 600/2014 y (UE) n.º 909/2014 y la Directiva 2014/65/UE (DO L 151 de 2.6.2022, p. 1, ELI: </w:t>
      </w:r>
      <w:hyperlink r:id="rId2" w:tgtFrame="http://data.europa.eu/eli/reg/2022/858/oj" w:history="1">
        <w:r w:rsidRPr="009F3090">
          <w:rPr>
            <w:rStyle w:val="Hyperlink"/>
            <w:sz w:val="24"/>
            <w:lang w:val="es-ES_tradnl"/>
          </w:rPr>
          <w:t>http://data.europa.eu/eli/reg/2022/858/oj)</w:t>
        </w:r>
      </w:hyperlink>
      <w:r w:rsidRPr="009F3090">
        <w:rPr>
          <w:sz w:val="24"/>
          <w:lang w:val="es-ES_tradnl"/>
        </w:rPr>
        <w:t>.</w:t>
      </w:r>
    </w:p>
  </w:footnote>
  <w:footnote w:id="4">
    <w:p w14:paraId="70377ACC" w14:textId="18D7831D" w:rsidR="0021434C" w:rsidRPr="009F3090" w:rsidRDefault="0021434C" w:rsidP="009F3090">
      <w:pPr>
        <w:pStyle w:val="FootnoteText"/>
        <w:ind w:left="567" w:hanging="567"/>
        <w:rPr>
          <w:sz w:val="24"/>
          <w:lang w:val="es-ES_tradnl"/>
        </w:rPr>
      </w:pPr>
      <w:r>
        <w:rPr>
          <w:rStyle w:val="FootnoteReference"/>
        </w:rPr>
        <w:footnoteRef/>
      </w:r>
      <w:r w:rsidRPr="009F3090">
        <w:rPr>
          <w:sz w:val="24"/>
          <w:lang w:val="es-ES_tradnl"/>
        </w:rPr>
        <w:t xml:space="preserve"> </w:t>
      </w:r>
      <w:r w:rsidRPr="009F3090">
        <w:rPr>
          <w:sz w:val="24"/>
          <w:lang w:val="es-ES_tradnl"/>
        </w:rPr>
        <w:tab/>
        <w:t xml:space="preserve">Reglamento (UE) 2023/1114 del Parlamento Europeo y del Consejo, de 31 de mayo de 2023, relativo a los mercados de criptoactivos y por el que se modifican los Reglamentos (UE) n.º 1093/2010 y (UE) n.º 1095/2010 y las Directivas 2013/36/UE y (UE) 2019/1937 (DO L 150 de 9.6.2023, p. 40, ELI: </w:t>
      </w:r>
      <w:hyperlink r:id="rId3" w:tgtFrame="http://data.europa.eu/eli/reg/2023/1114/oj" w:history="1">
        <w:r w:rsidRPr="009F3090">
          <w:rPr>
            <w:rStyle w:val="Hyperlink"/>
            <w:sz w:val="24"/>
            <w:lang w:val="es-ES_tradnl"/>
          </w:rPr>
          <w:t>http://data.europa.eu/eli/reg/2023/1114/oj</w:t>
        </w:r>
      </w:hyperlink>
      <w:r w:rsidRPr="009F3090">
        <w:rPr>
          <w:sz w:val="24"/>
          <w:lang w:val="es-ES_tradnl"/>
        </w:rPr>
        <w:t>).</w:t>
      </w:r>
    </w:p>
  </w:footnote>
  <w:footnote w:id="5">
    <w:p w14:paraId="70B1700A" w14:textId="6ED2A162" w:rsidR="0021434C" w:rsidRPr="009F3090" w:rsidRDefault="0021434C" w:rsidP="009F3090">
      <w:pPr>
        <w:pStyle w:val="FootnoteText"/>
        <w:ind w:left="567" w:hanging="567"/>
        <w:rPr>
          <w:sz w:val="24"/>
          <w:lang w:val="es-ES_tradnl"/>
        </w:rPr>
      </w:pPr>
      <w:r>
        <w:rPr>
          <w:rStyle w:val="FootnoteReference"/>
        </w:rPr>
        <w:footnoteRef/>
      </w:r>
      <w:r w:rsidRPr="009F3090">
        <w:rPr>
          <w:sz w:val="24"/>
          <w:lang w:val="es-ES_tradnl"/>
        </w:rPr>
        <w:t xml:space="preserve"> </w:t>
      </w:r>
      <w:r w:rsidRPr="009F3090">
        <w:rPr>
          <w:sz w:val="24"/>
          <w:lang w:val="es-ES_tradnl"/>
        </w:rPr>
        <w:tab/>
        <w:t xml:space="preserve">Reglamento (UE) 2023/1113 del Parlamento Europeo y del Consejo, de 31 de mayo de 2023, relativo a la información que acompaña a las transferencias de fondos y de determinados criptoactivos y por el que se modifica la Directiva (UE) 2015/849 (DO L 150 de 9.6.2023, p. 1, ELI: </w:t>
      </w:r>
      <w:hyperlink r:id="rId4" w:tgtFrame="http://data.europa.eu/eli/reg/2023/1113/oj" w:history="1">
        <w:r w:rsidRPr="009F3090">
          <w:rPr>
            <w:rStyle w:val="Hyperlink"/>
            <w:sz w:val="24"/>
            <w:lang w:val="es-ES_tradnl"/>
          </w:rPr>
          <w:t>http://data.europa.eu/eli/reg/2023/1113/oj</w:t>
        </w:r>
      </w:hyperlink>
      <w:r w:rsidRPr="009F3090">
        <w:rPr>
          <w:sz w:val="24"/>
          <w:lang w:val="es-ES_tradnl"/>
        </w:rPr>
        <w:t>).</w:t>
      </w:r>
    </w:p>
  </w:footnote>
  <w:footnote w:id="6">
    <w:p w14:paraId="67921F94" w14:textId="4A316242" w:rsidR="0021434C" w:rsidRPr="009F3090" w:rsidRDefault="0021434C" w:rsidP="009F3090">
      <w:pPr>
        <w:pStyle w:val="FootnoteText"/>
        <w:ind w:left="567" w:hanging="567"/>
        <w:rPr>
          <w:sz w:val="24"/>
          <w:lang w:val="es-ES_tradnl"/>
        </w:rPr>
      </w:pPr>
      <w:r>
        <w:rPr>
          <w:rStyle w:val="FootnoteReference"/>
        </w:rPr>
        <w:footnoteRef/>
      </w:r>
      <w:r w:rsidRPr="009F3090">
        <w:rPr>
          <w:sz w:val="24"/>
          <w:lang w:val="es-ES_tradnl"/>
        </w:rPr>
        <w:t xml:space="preserve"> </w:t>
      </w:r>
      <w:r w:rsidRPr="009F3090">
        <w:rPr>
          <w:sz w:val="24"/>
          <w:lang w:val="es-ES_tradnl"/>
        </w:rPr>
        <w:tab/>
        <w:t>Propuesta de la Comisión, de 28 de junio de 2023, de Directiva del Parlamento Europeo y del Consejo relativa a los servicios de pago y los servicios de dinero electrónico en el mercado interior y por la que se modifica la Directiva 98/26/CE y se derogan las Directivas (UE) 2015/2366 y 2009/110/CE (</w:t>
      </w:r>
      <w:proofErr w:type="gramStart"/>
      <w:r w:rsidRPr="009F3090">
        <w:rPr>
          <w:sz w:val="24"/>
          <w:lang w:val="es-ES_tradnl"/>
        </w:rPr>
        <w:t>COM(</w:t>
      </w:r>
      <w:proofErr w:type="gramEnd"/>
      <w:r w:rsidRPr="009F3090">
        <w:rPr>
          <w:sz w:val="24"/>
          <w:lang w:val="es-ES_tradnl"/>
        </w:rPr>
        <w:t>2023)0366).</w:t>
      </w:r>
    </w:p>
  </w:footnote>
  <w:footnote w:id="7">
    <w:p w14:paraId="47F1ADBE" w14:textId="79C3FA2C" w:rsidR="0021434C" w:rsidRPr="009F3090" w:rsidRDefault="0021434C" w:rsidP="009F3090">
      <w:pPr>
        <w:pStyle w:val="FootnoteText"/>
        <w:ind w:left="567" w:hanging="567"/>
        <w:rPr>
          <w:sz w:val="24"/>
          <w:lang w:val="es-ES_tradnl"/>
        </w:rPr>
      </w:pPr>
      <w:r>
        <w:rPr>
          <w:rStyle w:val="FootnoteReference"/>
        </w:rPr>
        <w:footnoteRef/>
      </w:r>
      <w:r w:rsidRPr="009F3090">
        <w:rPr>
          <w:sz w:val="24"/>
          <w:lang w:val="es-ES_tradnl"/>
        </w:rPr>
        <w:t xml:space="preserve"> </w:t>
      </w:r>
      <w:r w:rsidRPr="009F3090">
        <w:rPr>
          <w:sz w:val="24"/>
          <w:lang w:val="es-ES_tradnl"/>
        </w:rPr>
        <w:tab/>
        <w:t>Propuesta de la Comisión, de 28 de junio de 2023, de Reglamento del Parlamento Europeo y del Consejo relativo a los servicios de pago en el mercado interior y por el que se modifica el Reglamento (UE) n.º 1093/2010 (</w:t>
      </w:r>
      <w:proofErr w:type="gramStart"/>
      <w:r w:rsidRPr="009F3090">
        <w:rPr>
          <w:sz w:val="24"/>
          <w:lang w:val="es-ES_tradnl"/>
        </w:rPr>
        <w:t>COM(</w:t>
      </w:r>
      <w:proofErr w:type="gramEnd"/>
      <w:r w:rsidRPr="009F3090">
        <w:rPr>
          <w:sz w:val="24"/>
          <w:lang w:val="es-ES_tradnl"/>
        </w:rPr>
        <w:t>2023)0367).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49908063">
    <w:abstractNumId w:val="9"/>
  </w:num>
  <w:num w:numId="2" w16cid:durableId="1547372539">
    <w:abstractNumId w:val="9"/>
  </w:num>
  <w:num w:numId="3" w16cid:durableId="1230994334">
    <w:abstractNumId w:val="7"/>
  </w:num>
  <w:num w:numId="4" w16cid:durableId="1091970758">
    <w:abstractNumId w:val="7"/>
  </w:num>
  <w:num w:numId="5" w16cid:durableId="1391226016">
    <w:abstractNumId w:val="6"/>
  </w:num>
  <w:num w:numId="6" w16cid:durableId="25454129">
    <w:abstractNumId w:val="6"/>
  </w:num>
  <w:num w:numId="7" w16cid:durableId="1469711300">
    <w:abstractNumId w:val="5"/>
  </w:num>
  <w:num w:numId="8" w16cid:durableId="1791589472">
    <w:abstractNumId w:val="5"/>
  </w:num>
  <w:num w:numId="9" w16cid:durableId="215548421">
    <w:abstractNumId w:val="4"/>
  </w:num>
  <w:num w:numId="10" w16cid:durableId="1833062767">
    <w:abstractNumId w:val="4"/>
  </w:num>
  <w:num w:numId="11" w16cid:durableId="151063090">
    <w:abstractNumId w:val="8"/>
  </w:num>
  <w:num w:numId="12" w16cid:durableId="1115714402">
    <w:abstractNumId w:val="8"/>
  </w:num>
  <w:num w:numId="13" w16cid:durableId="265118420">
    <w:abstractNumId w:val="3"/>
  </w:num>
  <w:num w:numId="14" w16cid:durableId="1941906591">
    <w:abstractNumId w:val="3"/>
  </w:num>
  <w:num w:numId="15" w16cid:durableId="1618485730">
    <w:abstractNumId w:val="2"/>
  </w:num>
  <w:num w:numId="16" w16cid:durableId="598373078">
    <w:abstractNumId w:val="2"/>
  </w:num>
  <w:num w:numId="17" w16cid:durableId="39742495">
    <w:abstractNumId w:val="1"/>
  </w:num>
  <w:num w:numId="18" w16cid:durableId="2010399472">
    <w:abstractNumId w:val="1"/>
  </w:num>
  <w:num w:numId="19" w16cid:durableId="285433055">
    <w:abstractNumId w:val="0"/>
  </w:num>
  <w:num w:numId="20" w16cid:durableId="1577128015">
    <w:abstractNumId w:val="0"/>
  </w:num>
  <w:num w:numId="21" w16cid:durableId="1281691083">
    <w:abstractNumId w:val="9"/>
  </w:num>
  <w:num w:numId="22" w16cid:durableId="1463841831">
    <w:abstractNumId w:val="7"/>
  </w:num>
  <w:num w:numId="23" w16cid:durableId="2130737709">
    <w:abstractNumId w:val="6"/>
  </w:num>
  <w:num w:numId="24" w16cid:durableId="1848322892">
    <w:abstractNumId w:val="5"/>
  </w:num>
  <w:num w:numId="25" w16cid:durableId="539630806">
    <w:abstractNumId w:val="4"/>
  </w:num>
  <w:num w:numId="26" w16cid:durableId="1838763529">
    <w:abstractNumId w:val="8"/>
  </w:num>
  <w:num w:numId="27" w16cid:durableId="418135263">
    <w:abstractNumId w:val="3"/>
  </w:num>
  <w:num w:numId="28" w16cid:durableId="71204281">
    <w:abstractNumId w:val="2"/>
  </w:num>
  <w:num w:numId="29" w16cid:durableId="1230112434">
    <w:abstractNumId w:val="1"/>
  </w:num>
  <w:num w:numId="30" w16cid:durableId="1298992847">
    <w:abstractNumId w:val="0"/>
  </w:num>
  <w:num w:numId="31" w16cid:durableId="811556661">
    <w:abstractNumId w:val="9"/>
  </w:num>
  <w:num w:numId="32" w16cid:durableId="258873881">
    <w:abstractNumId w:val="7"/>
  </w:num>
  <w:num w:numId="33" w16cid:durableId="1102921633">
    <w:abstractNumId w:val="6"/>
  </w:num>
  <w:num w:numId="34" w16cid:durableId="471218678">
    <w:abstractNumId w:val="5"/>
  </w:num>
  <w:num w:numId="35" w16cid:durableId="595864250">
    <w:abstractNumId w:val="4"/>
  </w:num>
  <w:num w:numId="36" w16cid:durableId="1389722639">
    <w:abstractNumId w:val="8"/>
  </w:num>
  <w:num w:numId="37" w16cid:durableId="1919365450">
    <w:abstractNumId w:val="3"/>
  </w:num>
  <w:num w:numId="38" w16cid:durableId="1932616290">
    <w:abstractNumId w:val="2"/>
  </w:num>
  <w:num w:numId="39" w16cid:durableId="198014013">
    <w:abstractNumId w:val="1"/>
  </w:num>
  <w:num w:numId="40" w16cid:durableId="852761567">
    <w:abstractNumId w:val="0"/>
  </w:num>
  <w:num w:numId="41" w16cid:durableId="237911687">
    <w:abstractNumId w:val="10"/>
  </w:num>
  <w:num w:numId="42" w16cid:durableId="762802925">
    <w:abstractNumId w:val="10"/>
  </w:num>
  <w:num w:numId="43" w16cid:durableId="274364439">
    <w:abstractNumId w:val="10"/>
  </w:num>
  <w:num w:numId="44" w16cid:durableId="16155574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6"/>
    <w:docVar w:name="dvlangue" w:val="ES"/>
    <w:docVar w:name="dvnumam" w:val="0"/>
    <w:docVar w:name="dvpe" w:val="784.381"/>
    <w:docVar w:name="dvrapporteur" w:val="Ponente: "/>
    <w:docVar w:name="dvtitre" w:val="Resolución del Parlamento Europeo, de x de julio de 2026, sobre los activos digitales: retos para la competitividad y la integridad del sistema financiero de la Unión Europea(2025/2208(INI))"/>
  </w:docVars>
  <w:rsids>
    <w:rsidRoot w:val="008849D2"/>
    <w:rsid w:val="00002272"/>
    <w:rsid w:val="00005F5D"/>
    <w:rsid w:val="00064002"/>
    <w:rsid w:val="000677B9"/>
    <w:rsid w:val="000831BA"/>
    <w:rsid w:val="000A42CC"/>
    <w:rsid w:val="000E7DD9"/>
    <w:rsid w:val="0010095E"/>
    <w:rsid w:val="00125B37"/>
    <w:rsid w:val="00187494"/>
    <w:rsid w:val="001E5D5E"/>
    <w:rsid w:val="001F32AE"/>
    <w:rsid w:val="0021434C"/>
    <w:rsid w:val="002767FF"/>
    <w:rsid w:val="002B18FE"/>
    <w:rsid w:val="002B5493"/>
    <w:rsid w:val="00301AF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2868"/>
    <w:rsid w:val="004C0004"/>
    <w:rsid w:val="004C5D52"/>
    <w:rsid w:val="004E2D3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49D2"/>
    <w:rsid w:val="00887B3E"/>
    <w:rsid w:val="008C2AC6"/>
    <w:rsid w:val="00930C23"/>
    <w:rsid w:val="0093193B"/>
    <w:rsid w:val="009509D8"/>
    <w:rsid w:val="00950B64"/>
    <w:rsid w:val="00981893"/>
    <w:rsid w:val="009F3090"/>
    <w:rsid w:val="00A1454A"/>
    <w:rsid w:val="00A1687D"/>
    <w:rsid w:val="00A43E52"/>
    <w:rsid w:val="00A46604"/>
    <w:rsid w:val="00A4678D"/>
    <w:rsid w:val="00A56BC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56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017C8D"/>
  <w15:chartTrackingRefBased/>
  <w15:docId w15:val="{52697DDC-6CE8-4E0F-9987-71267510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005F5D"/>
    <w:pPr>
      <w:widowControl/>
      <w:spacing w:after="240"/>
    </w:pPr>
    <w:rPr>
      <w:szCs w:val="24"/>
      <w:lang w:val="es-ES" w:eastAsia="en-US"/>
    </w:rPr>
  </w:style>
  <w:style w:type="paragraph" w:customStyle="1" w:styleId="NormalHanging12a">
    <w:name w:val="NormalHanging12a"/>
    <w:basedOn w:val="Normal"/>
    <w:rsid w:val="00005F5D"/>
    <w:pPr>
      <w:widowControl/>
      <w:spacing w:after="240"/>
      <w:ind w:left="566" w:hanging="566"/>
    </w:pPr>
    <w:rPr>
      <w:szCs w:val="24"/>
      <w:lang w:val="es-ES" w:eastAsia="en-US"/>
    </w:rPr>
  </w:style>
  <w:style w:type="paragraph" w:customStyle="1" w:styleId="Normal12">
    <w:name w:val="Normal12"/>
    <w:basedOn w:val="Normal"/>
    <w:rsid w:val="00005F5D"/>
    <w:pPr>
      <w:spacing w:after="240"/>
    </w:pPr>
    <w:rPr>
      <w:szCs w:val="24"/>
      <w:lang w:val="es-ES" w:eastAsia="en-US"/>
    </w:rPr>
  </w:style>
  <w:style w:type="paragraph" w:customStyle="1" w:styleId="NormalHanging">
    <w:name w:val="NormalHanging"/>
    <w:basedOn w:val="Normal"/>
    <w:rsid w:val="00005F5D"/>
    <w:pPr>
      <w:spacing w:after="240"/>
      <w:ind w:left="566" w:hanging="566"/>
    </w:pPr>
    <w:rPr>
      <w:szCs w:val="24"/>
      <w:lang w:val="es-ES" w:eastAsia="en-US"/>
    </w:rPr>
  </w:style>
  <w:style w:type="paragraph" w:customStyle="1" w:styleId="NormalCenter12a">
    <w:name w:val="NormalCenter12a"/>
    <w:basedOn w:val="Normal"/>
    <w:rsid w:val="00005F5D"/>
    <w:pPr>
      <w:widowControl/>
      <w:spacing w:after="240"/>
      <w:jc w:val="center"/>
    </w:pPr>
    <w:rPr>
      <w:szCs w:val="24"/>
      <w:lang w:val="es-ES" w:eastAsia="en-US"/>
    </w:rPr>
  </w:style>
  <w:style w:type="character" w:styleId="Hyperlink">
    <w:name w:val="Hyperlink"/>
    <w:basedOn w:val="DefaultParagraphFont"/>
    <w:rsid w:val="00005F5D"/>
    <w:rPr>
      <w:color w:val="0000FF"/>
      <w:u w:val="single"/>
    </w:rPr>
  </w:style>
  <w:style w:type="paragraph" w:styleId="Revision">
    <w:name w:val="Revision"/>
    <w:hidden/>
    <w:uiPriority w:val="99"/>
    <w:semiHidden/>
    <w:rsid w:val="0021434C"/>
    <w:rPr>
      <w:sz w:val="24"/>
      <w:lang w:val="es-ES_tradnl"/>
    </w:rPr>
  </w:style>
  <w:style w:type="character" w:styleId="CommentReference">
    <w:name w:val="annotation reference"/>
    <w:basedOn w:val="DefaultParagraphFont"/>
    <w:rsid w:val="004E2D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2D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2D3B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4E2D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2D3B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3/1114/oj" TargetMode="External"/><Relationship Id="rId2" Type="http://schemas.openxmlformats.org/officeDocument/2006/relationships/hyperlink" Target="http://data.europa.eu/eli/reg/2022/858/oj" TargetMode="External"/><Relationship Id="rId1" Type="http://schemas.openxmlformats.org/officeDocument/2006/relationships/hyperlink" Target="https://doi.org/10.5089/9798400297649.022" TargetMode="External"/><Relationship Id="rId4" Type="http://schemas.openxmlformats.org/officeDocument/2006/relationships/hyperlink" Target="http://data.europa.eu/eli/reg/2023/11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3177</Words>
  <Characters>18091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 (EP)</dc:creator>
  <cp:keywords/>
  <cp:lastModifiedBy>Fernan Rodriguez (EP)</cp:lastModifiedBy>
  <cp:revision>2</cp:revision>
  <cp:lastPrinted>2004-11-19T15:42:00Z</cp:lastPrinted>
  <dcterms:created xsi:type="dcterms:W3CDTF">2026-07-07T14:16:00Z</dcterms:created>
  <dcterms:modified xsi:type="dcterms:W3CDTF">2026-07-07T14:16:00Z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A10-0186/2026</vt:lpwstr>
  </property>
  <property fmtid="{D5CDD505-2E9C-101B-9397-08002B2CF9AE}" pid="4" name="&lt;Type&gt;">
    <vt:lpwstr>RR</vt:lpwstr>
  </property>
</Properties>
</file>