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D7670" w14:paraId="218E7CF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4AAFA37" w14:textId="02EF46FA" w:rsidR="00751A4A" w:rsidRPr="000D7670" w:rsidRDefault="00CB6BB8" w:rsidP="0010095E">
            <w:pPr>
              <w:pStyle w:val="EPName"/>
            </w:pPr>
            <w:r w:rsidRPr="000D7670">
              <w:t>Euroopan parlamentti</w:t>
            </w:r>
          </w:p>
          <w:p w14:paraId="0E4E0938" w14:textId="77777777" w:rsidR="00751A4A" w:rsidRPr="000D767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7670">
              <w:t>2024</w:t>
            </w:r>
            <w:r w:rsidR="00817416" w:rsidRPr="000D7670">
              <w:t>-202</w:t>
            </w:r>
            <w:r w:rsidRPr="000D7670">
              <w:t>9</w:t>
            </w:r>
          </w:p>
        </w:tc>
        <w:tc>
          <w:tcPr>
            <w:tcW w:w="2268" w:type="dxa"/>
            <w:shd w:val="clear" w:color="auto" w:fill="auto"/>
          </w:tcPr>
          <w:p w14:paraId="62C458C6" w14:textId="77777777" w:rsidR="00751A4A" w:rsidRPr="000D7670" w:rsidRDefault="00187494" w:rsidP="0010095E">
            <w:pPr>
              <w:pStyle w:val="EPLogo"/>
            </w:pPr>
            <w:r w:rsidRPr="000D7670">
              <w:rPr>
                <w:noProof/>
                <w:lang w:eastAsia="ja-JP"/>
              </w:rPr>
              <w:drawing>
                <wp:inline distT="0" distB="0" distL="0" distR="0" wp14:anchorId="34C4895E" wp14:editId="72D6BDE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5C21A8" w14:textId="77777777" w:rsidR="00D058B8" w:rsidRPr="000D7670" w:rsidRDefault="00D058B8" w:rsidP="004C5D52">
      <w:pPr>
        <w:pStyle w:val="LineTop"/>
      </w:pPr>
    </w:p>
    <w:p w14:paraId="538430C0" w14:textId="1EF697D1" w:rsidR="00680577" w:rsidRPr="000D7670" w:rsidRDefault="00CB6BB8" w:rsidP="00680577">
      <w:pPr>
        <w:pStyle w:val="EPBodyTA1"/>
      </w:pPr>
      <w:r w:rsidRPr="000D7670">
        <w:t>HYVÄKSYTYT TEKSTIT</w:t>
      </w:r>
    </w:p>
    <w:p w14:paraId="114F265F" w14:textId="77777777" w:rsidR="00D058B8" w:rsidRPr="000D7670" w:rsidRDefault="00D058B8" w:rsidP="00D058B8">
      <w:pPr>
        <w:pStyle w:val="LineBottom"/>
      </w:pPr>
    </w:p>
    <w:p w14:paraId="570FDF78" w14:textId="6622B1C2" w:rsidR="00CB6BB8" w:rsidRPr="000D7670" w:rsidRDefault="00CB6BB8" w:rsidP="00CB6BB8">
      <w:pPr>
        <w:pStyle w:val="ATHeading1"/>
      </w:pPr>
      <w:bookmarkStart w:id="0" w:name="TANumber"/>
      <w:r w:rsidRPr="000D7670">
        <w:t>P10_TA(2026)0</w:t>
      </w:r>
      <w:r w:rsidR="00542B3A">
        <w:t>251</w:t>
      </w:r>
      <w:bookmarkEnd w:id="0"/>
    </w:p>
    <w:p w14:paraId="41C21FE7" w14:textId="3C3BF638" w:rsidR="00CB6BB8" w:rsidRPr="000D7670" w:rsidRDefault="00355D8E" w:rsidP="00CB6BB8">
      <w:pPr>
        <w:pStyle w:val="ATHeading2"/>
      </w:pPr>
      <w:bookmarkStart w:id="1" w:name="title"/>
      <w:r w:rsidRPr="000D7670">
        <w:t>D</w:t>
      </w:r>
      <w:r w:rsidRPr="000D7670">
        <w:rPr>
          <w:bCs/>
        </w:rPr>
        <w:t>igitaaliset varat – Euroopan unionin rahoitusjärjestelmän kilpailukyvyn ja eheyden haasteet</w:t>
      </w:r>
      <w:bookmarkEnd w:id="1"/>
    </w:p>
    <w:p w14:paraId="6EC29EC1" w14:textId="77777777" w:rsidR="00CB6BB8" w:rsidRPr="000D7670" w:rsidRDefault="00CB6BB8" w:rsidP="00CB6BB8">
      <w:pPr>
        <w:rPr>
          <w:i/>
          <w:vanish/>
        </w:rPr>
      </w:pPr>
      <w:r w:rsidRPr="000D7670">
        <w:rPr>
          <w:i/>
        </w:rPr>
        <w:fldChar w:fldCharType="begin"/>
      </w:r>
      <w:r w:rsidRPr="000D7670">
        <w:rPr>
          <w:i/>
        </w:rPr>
        <w:instrText xml:space="preserve"> TC"(</w:instrText>
      </w:r>
      <w:bookmarkStart w:id="2" w:name="DocNumber"/>
      <w:r w:rsidRPr="000D7670">
        <w:rPr>
          <w:i/>
        </w:rPr>
        <w:instrText>A10-0186/2026</w:instrText>
      </w:r>
      <w:bookmarkEnd w:id="2"/>
      <w:r w:rsidRPr="000D7670">
        <w:rPr>
          <w:i/>
        </w:rPr>
        <w:instrText xml:space="preserve"> - Esittelijä: Johan Van Overtveldt)"\l3 \n&gt; \* MERGEFORMAT </w:instrText>
      </w:r>
      <w:r w:rsidRPr="000D7670">
        <w:rPr>
          <w:i/>
        </w:rPr>
        <w:fldChar w:fldCharType="end"/>
      </w:r>
    </w:p>
    <w:p w14:paraId="3130A386" w14:textId="77777777" w:rsidR="00CB6BB8" w:rsidRPr="000D7670" w:rsidRDefault="00CB6BB8" w:rsidP="00CB6BB8">
      <w:pPr>
        <w:rPr>
          <w:vanish/>
        </w:rPr>
      </w:pPr>
      <w:bookmarkStart w:id="3" w:name="Commission"/>
      <w:r w:rsidRPr="000D7670">
        <w:rPr>
          <w:vanish/>
        </w:rPr>
        <w:t>Talous- ja raha-asioiden valiokunta</w:t>
      </w:r>
      <w:bookmarkEnd w:id="3"/>
    </w:p>
    <w:p w14:paraId="2FA8CF36" w14:textId="77777777" w:rsidR="00CB6BB8" w:rsidRPr="000D7670" w:rsidRDefault="00CB6BB8" w:rsidP="00CB6BB8">
      <w:pPr>
        <w:rPr>
          <w:vanish/>
        </w:rPr>
      </w:pPr>
      <w:bookmarkStart w:id="4" w:name="PE"/>
      <w:r w:rsidRPr="000D7670">
        <w:rPr>
          <w:vanish/>
        </w:rPr>
        <w:t>PE784.381</w:t>
      </w:r>
      <w:bookmarkEnd w:id="4"/>
    </w:p>
    <w:p w14:paraId="0692F3C8" w14:textId="54853FFB" w:rsidR="00CB6BB8" w:rsidRPr="000D7670" w:rsidRDefault="00CB6BB8" w:rsidP="00CB6BB8">
      <w:pPr>
        <w:pStyle w:val="ATHeading3"/>
      </w:pPr>
      <w:bookmarkStart w:id="5" w:name="Sujet"/>
      <w:r w:rsidRPr="000D7670">
        <w:t xml:space="preserve">Euroopan parlamentin päätöslauselma </w:t>
      </w:r>
      <w:r w:rsidR="006C7D5A" w:rsidRPr="000D7670">
        <w:t>7</w:t>
      </w:r>
      <w:r w:rsidRPr="000D7670">
        <w:t>. heinäkuuta 2026 digitaalisista varoista – Euroopan unionin rahoitusjärjestelmän kilpailukyvyn ja eheyden haasteet</w:t>
      </w:r>
      <w:bookmarkEnd w:id="5"/>
      <w:r w:rsidRPr="000D7670">
        <w:t xml:space="preserve"> </w:t>
      </w:r>
      <w:bookmarkStart w:id="6" w:name="References"/>
      <w:r w:rsidRPr="000D7670">
        <w:t>(2025/2208(INI))</w:t>
      </w:r>
      <w:bookmarkEnd w:id="6"/>
    </w:p>
    <w:p w14:paraId="6253264A" w14:textId="77777777" w:rsidR="00605F89" w:rsidRPr="000D7670" w:rsidRDefault="00605F89" w:rsidP="006C7D5A">
      <w:pPr>
        <w:pStyle w:val="Normal12"/>
        <w:widowControl/>
      </w:pPr>
      <w:r w:rsidRPr="000D7670">
        <w:rPr>
          <w:i/>
        </w:rPr>
        <w:t>Euroopan parlamentti</w:t>
      </w:r>
      <w:r w:rsidRPr="000D7670">
        <w:t>, joka</w:t>
      </w:r>
    </w:p>
    <w:p w14:paraId="2AF0D760" w14:textId="77777777" w:rsidR="00605F89" w:rsidRPr="000D7670" w:rsidRDefault="00605F89" w:rsidP="006C7D5A">
      <w:pPr>
        <w:pStyle w:val="NormalHanging"/>
        <w:widowControl/>
      </w:pPr>
      <w:r w:rsidRPr="000D7670">
        <w:t>–</w:t>
      </w:r>
      <w:r w:rsidRPr="000D7670">
        <w:tab/>
        <w:t>ottaa huomioon marraskuussa 2025 julkaistun rahoitusvakautta koskevan Euroopan keskuspankin (EKP) selonteon,</w:t>
      </w:r>
    </w:p>
    <w:p w14:paraId="74834654" w14:textId="77777777" w:rsidR="00605F89" w:rsidRPr="000D7670" w:rsidRDefault="00605F89" w:rsidP="006C7D5A">
      <w:pPr>
        <w:pStyle w:val="NormalHanging"/>
        <w:widowControl/>
      </w:pPr>
      <w:r w:rsidRPr="000D7670">
        <w:t>–</w:t>
      </w:r>
      <w:r w:rsidRPr="000D7670">
        <w:tab/>
        <w:t xml:space="preserve">ottaa huomioon </w:t>
      </w:r>
      <w:proofErr w:type="spellStart"/>
      <w:r w:rsidRPr="000D7670">
        <w:t>stablecoineista</w:t>
      </w:r>
      <w:proofErr w:type="spellEnd"/>
      <w:r w:rsidRPr="000D7670">
        <w:t xml:space="preserve"> ja rahapolitiikan välittymismekanismista 3. maaliskuuta 2026 julkaistun EKP:n valmisteluasiakirjan nro 3199 ”</w:t>
      </w:r>
      <w:proofErr w:type="spellStart"/>
      <w:r w:rsidRPr="000D7670">
        <w:t>Stablecoins</w:t>
      </w:r>
      <w:proofErr w:type="spellEnd"/>
      <w:r w:rsidRPr="000D7670">
        <w:t xml:space="preserve"> and </w:t>
      </w:r>
      <w:proofErr w:type="spellStart"/>
      <w:r w:rsidRPr="000D7670">
        <w:t>monetary</w:t>
      </w:r>
      <w:proofErr w:type="spellEnd"/>
      <w:r w:rsidRPr="000D7670">
        <w:t xml:space="preserve"> </w:t>
      </w:r>
      <w:proofErr w:type="spellStart"/>
      <w:r w:rsidRPr="000D7670">
        <w:t>policy</w:t>
      </w:r>
      <w:proofErr w:type="spellEnd"/>
      <w:r w:rsidRPr="000D7670">
        <w:t xml:space="preserve"> transmission”,</w:t>
      </w:r>
    </w:p>
    <w:p w14:paraId="6B2DF727" w14:textId="77777777" w:rsidR="00605F89" w:rsidRPr="000D7670" w:rsidRDefault="00605F89" w:rsidP="006C7D5A">
      <w:pPr>
        <w:pStyle w:val="NormalHanging"/>
        <w:widowControl/>
      </w:pPr>
      <w:r w:rsidRPr="000D7670">
        <w:t>–</w:t>
      </w:r>
      <w:r w:rsidRPr="000D7670">
        <w:tab/>
        <w:t xml:space="preserve">ottaa huomioon Euroopan järjestelmäriskikomitean (EJRK) 25. syyskuuta 2025 antaman suosituksen kolmansien maiden usean liikkeeseenlaskijan </w:t>
      </w:r>
      <w:proofErr w:type="spellStart"/>
      <w:r w:rsidRPr="000D7670">
        <w:t>stablecoin</w:t>
      </w:r>
      <w:proofErr w:type="spellEnd"/>
      <w:r w:rsidRPr="000D7670">
        <w:t>-järjestelmistä,</w:t>
      </w:r>
    </w:p>
    <w:p w14:paraId="5D6F9012" w14:textId="77777777" w:rsidR="00605F89" w:rsidRPr="000D7670" w:rsidRDefault="00605F89" w:rsidP="006C7D5A">
      <w:pPr>
        <w:pStyle w:val="NormalHanging"/>
        <w:widowControl/>
      </w:pPr>
      <w:r w:rsidRPr="000D7670">
        <w:t>–</w:t>
      </w:r>
      <w:r w:rsidRPr="000D7670">
        <w:tab/>
        <w:t xml:space="preserve">ottaa huomioon </w:t>
      </w:r>
      <w:proofErr w:type="spellStart"/>
      <w:r w:rsidRPr="000D7670">
        <w:t>EJRK:n</w:t>
      </w:r>
      <w:proofErr w:type="spellEnd"/>
      <w:r w:rsidRPr="000D7670">
        <w:t xml:space="preserve"> lokakuussa 2025 julkaiseman raportin </w:t>
      </w:r>
      <w:proofErr w:type="spellStart"/>
      <w:r w:rsidRPr="000D7670">
        <w:t>kryptovaroista</w:t>
      </w:r>
      <w:proofErr w:type="spellEnd"/>
      <w:r w:rsidRPr="000D7670">
        <w:t xml:space="preserve"> ja hajautetusta rahoituksesta ”</w:t>
      </w:r>
      <w:proofErr w:type="spellStart"/>
      <w:r w:rsidRPr="000D7670">
        <w:t>Crypto-assets</w:t>
      </w:r>
      <w:proofErr w:type="spellEnd"/>
      <w:r w:rsidRPr="000D7670">
        <w:t xml:space="preserve"> and </w:t>
      </w:r>
      <w:proofErr w:type="spellStart"/>
      <w:r w:rsidRPr="000D7670">
        <w:t>decentralised</w:t>
      </w:r>
      <w:proofErr w:type="spellEnd"/>
      <w:r w:rsidRPr="000D7670">
        <w:t xml:space="preserve"> finance – Report on </w:t>
      </w:r>
      <w:proofErr w:type="spellStart"/>
      <w:r w:rsidRPr="000D7670">
        <w:t>stablecoins</w:t>
      </w:r>
      <w:proofErr w:type="spellEnd"/>
      <w:r w:rsidRPr="000D7670">
        <w:t xml:space="preserve">, </w:t>
      </w:r>
      <w:proofErr w:type="spellStart"/>
      <w:r w:rsidRPr="000D7670">
        <w:t>crypto-investment</w:t>
      </w:r>
      <w:proofErr w:type="spellEnd"/>
      <w:r w:rsidRPr="000D7670">
        <w:t xml:space="preserve"> products and multi-</w:t>
      </w:r>
      <w:proofErr w:type="spellStart"/>
      <w:r w:rsidRPr="000D7670">
        <w:t>function</w:t>
      </w:r>
      <w:proofErr w:type="spellEnd"/>
      <w:r w:rsidRPr="000D7670">
        <w:t xml:space="preserve"> </w:t>
      </w:r>
      <w:proofErr w:type="spellStart"/>
      <w:r w:rsidRPr="000D7670">
        <w:t>groups</w:t>
      </w:r>
      <w:proofErr w:type="spellEnd"/>
      <w:r w:rsidRPr="000D7670">
        <w:t>”,</w:t>
      </w:r>
    </w:p>
    <w:p w14:paraId="1BF6FAF4" w14:textId="77777777" w:rsidR="00605F89" w:rsidRPr="000D7670" w:rsidRDefault="00605F89" w:rsidP="006C7D5A">
      <w:pPr>
        <w:pStyle w:val="NormalHanging"/>
        <w:widowControl/>
      </w:pPr>
      <w:r w:rsidRPr="000D7670">
        <w:t>–</w:t>
      </w:r>
      <w:r w:rsidRPr="000D7670">
        <w:tab/>
        <w:t>ottaa huomioon 19. maaliskuuta 2025 annetut Euroopan arvopaperimarkkinaviranomaisen (ESMA) ohjeet </w:t>
      </w:r>
      <w:proofErr w:type="spellStart"/>
      <w:r w:rsidRPr="000D7670">
        <w:t>kryptovarojen</w:t>
      </w:r>
      <w:proofErr w:type="spellEnd"/>
      <w:r w:rsidRPr="000D7670">
        <w:t xml:space="preserve"> määrittämistä rahoitusvälineiksi koskevista edellytyksistä ja kriteereistä,</w:t>
      </w:r>
    </w:p>
    <w:p w14:paraId="6D061225" w14:textId="77777777" w:rsidR="00605F89" w:rsidRPr="000D7670" w:rsidRDefault="00605F89" w:rsidP="006C7D5A">
      <w:pPr>
        <w:pStyle w:val="NormalHanging"/>
        <w:widowControl/>
      </w:pPr>
      <w:r w:rsidRPr="000D7670">
        <w:t>–</w:t>
      </w:r>
      <w:r w:rsidRPr="000D7670">
        <w:tab/>
        <w:t xml:space="preserve">ottaa huomioon Euroopan pankkiviranomaisen (EPV) joulukuussa 2024 julkaiseman raportin </w:t>
      </w:r>
      <w:proofErr w:type="spellStart"/>
      <w:r w:rsidRPr="000D7670">
        <w:t>tokenisoiduista</w:t>
      </w:r>
      <w:proofErr w:type="spellEnd"/>
      <w:r w:rsidRPr="000D7670">
        <w:t xml:space="preserve"> talletuksista ”Report on </w:t>
      </w:r>
      <w:proofErr w:type="spellStart"/>
      <w:r w:rsidRPr="000D7670">
        <w:t>tokenised</w:t>
      </w:r>
      <w:proofErr w:type="spellEnd"/>
      <w:r w:rsidRPr="000D7670">
        <w:t xml:space="preserve"> </w:t>
      </w:r>
      <w:proofErr w:type="spellStart"/>
      <w:r w:rsidRPr="000D7670">
        <w:t>deposits</w:t>
      </w:r>
      <w:proofErr w:type="spellEnd"/>
      <w:r w:rsidRPr="000D7670">
        <w:t>”,</w:t>
      </w:r>
    </w:p>
    <w:p w14:paraId="1CF2F56D" w14:textId="77777777" w:rsidR="00605F89" w:rsidRPr="000D7670" w:rsidRDefault="00605F89" w:rsidP="006C7D5A">
      <w:pPr>
        <w:pStyle w:val="NormalHanging"/>
        <w:widowControl/>
      </w:pPr>
      <w:r w:rsidRPr="000D7670">
        <w:t>–</w:t>
      </w:r>
      <w:r w:rsidRPr="000D7670">
        <w:tab/>
        <w:t xml:space="preserve">ottaa huomioon rahanpesun ja terrorismin rahoituksen torjunnasta </w:t>
      </w:r>
      <w:proofErr w:type="spellStart"/>
      <w:r w:rsidRPr="000D7670">
        <w:t>kryptovarapalveluissa</w:t>
      </w:r>
      <w:proofErr w:type="spellEnd"/>
      <w:r w:rsidRPr="000D7670">
        <w:t xml:space="preserve"> lokakuussa 2025 annetun </w:t>
      </w:r>
      <w:proofErr w:type="spellStart"/>
      <w:r w:rsidRPr="000D7670">
        <w:t>EPV:n</w:t>
      </w:r>
      <w:proofErr w:type="spellEnd"/>
      <w:r w:rsidRPr="000D7670">
        <w:t xml:space="preserve"> raportin ”Report on </w:t>
      </w:r>
      <w:proofErr w:type="spellStart"/>
      <w:r w:rsidRPr="000D7670">
        <w:t>tackling</w:t>
      </w:r>
      <w:proofErr w:type="spellEnd"/>
      <w:r w:rsidRPr="000D7670">
        <w:t xml:space="preserve"> ML/TF </w:t>
      </w:r>
      <w:proofErr w:type="spellStart"/>
      <w:r w:rsidRPr="000D7670">
        <w:t>risks</w:t>
      </w:r>
      <w:proofErr w:type="spellEnd"/>
      <w:r w:rsidRPr="000D7670">
        <w:t xml:space="preserve"> in </w:t>
      </w:r>
      <w:proofErr w:type="spellStart"/>
      <w:r w:rsidRPr="000D7670">
        <w:t>crypto-asset</w:t>
      </w:r>
      <w:proofErr w:type="spellEnd"/>
      <w:r w:rsidRPr="000D7670">
        <w:t xml:space="preserve"> </w:t>
      </w:r>
      <w:proofErr w:type="spellStart"/>
      <w:r w:rsidRPr="000D7670">
        <w:t>services</w:t>
      </w:r>
      <w:proofErr w:type="spellEnd"/>
      <w:r w:rsidRPr="000D7670">
        <w:t xml:space="preserve"> </w:t>
      </w:r>
      <w:proofErr w:type="spellStart"/>
      <w:r w:rsidRPr="000D7670">
        <w:t>through</w:t>
      </w:r>
      <w:proofErr w:type="spellEnd"/>
      <w:r w:rsidRPr="000D7670">
        <w:t xml:space="preserve"> supervision – </w:t>
      </w:r>
      <w:proofErr w:type="spellStart"/>
      <w:r w:rsidRPr="000D7670">
        <w:t>Lessons</w:t>
      </w:r>
      <w:proofErr w:type="spellEnd"/>
      <w:r w:rsidRPr="000D7670">
        <w:t xml:space="preserve"> </w:t>
      </w:r>
      <w:proofErr w:type="spellStart"/>
      <w:r w:rsidRPr="000D7670">
        <w:t>learned</w:t>
      </w:r>
      <w:proofErr w:type="spellEnd"/>
      <w:r w:rsidRPr="000D7670">
        <w:t xml:space="preserve"> </w:t>
      </w:r>
      <w:proofErr w:type="spellStart"/>
      <w:r w:rsidRPr="000D7670">
        <w:t>from</w:t>
      </w:r>
      <w:proofErr w:type="spellEnd"/>
      <w:r w:rsidRPr="000D7670">
        <w:t xml:space="preserve"> </w:t>
      </w:r>
      <w:proofErr w:type="spellStart"/>
      <w:r w:rsidRPr="000D7670">
        <w:t>recent</w:t>
      </w:r>
      <w:proofErr w:type="spellEnd"/>
      <w:r w:rsidRPr="000D7670">
        <w:t xml:space="preserve"> </w:t>
      </w:r>
      <w:proofErr w:type="spellStart"/>
      <w:r w:rsidRPr="000D7670">
        <w:t>cases</w:t>
      </w:r>
      <w:proofErr w:type="spellEnd"/>
      <w:r w:rsidRPr="000D7670">
        <w:t>”,</w:t>
      </w:r>
    </w:p>
    <w:p w14:paraId="2FBE244D" w14:textId="203212C7" w:rsidR="00605F89" w:rsidRPr="000D7670" w:rsidRDefault="00605F89" w:rsidP="006C7D5A">
      <w:pPr>
        <w:pStyle w:val="NormalHanging"/>
        <w:widowControl/>
      </w:pPr>
      <w:r w:rsidRPr="000D7670">
        <w:lastRenderedPageBreak/>
        <w:t>–</w:t>
      </w:r>
      <w:r w:rsidRPr="000D7670">
        <w:tab/>
        <w:t xml:space="preserve">ottaa huomioon syyskuussa 2025 julkaistun Kansainvälisen valuuttarahaston julkaisun ”Finance and </w:t>
      </w:r>
      <w:proofErr w:type="spellStart"/>
      <w:r w:rsidRPr="000D7670">
        <w:t>Development</w:t>
      </w:r>
      <w:proofErr w:type="spellEnd"/>
      <w:r w:rsidRPr="000D7670">
        <w:t xml:space="preserve">” </w:t>
      </w:r>
      <w:proofErr w:type="spellStart"/>
      <w:r w:rsidRPr="000D7670">
        <w:t>stablecoineista</w:t>
      </w:r>
      <w:proofErr w:type="spellEnd"/>
      <w:r w:rsidRPr="000D7670">
        <w:t xml:space="preserve"> ja rahoitusalan tulevaisuudesta ”</w:t>
      </w:r>
      <w:proofErr w:type="spellStart"/>
      <w:r w:rsidRPr="000D7670">
        <w:t>Stablecoins</w:t>
      </w:r>
      <w:proofErr w:type="spellEnd"/>
      <w:r w:rsidRPr="000D7670">
        <w:t xml:space="preserve"> and </w:t>
      </w:r>
      <w:proofErr w:type="spellStart"/>
      <w:r w:rsidRPr="000D7670">
        <w:t>the</w:t>
      </w:r>
      <w:proofErr w:type="spellEnd"/>
      <w:r w:rsidRPr="000D7670">
        <w:t xml:space="preserve"> </w:t>
      </w:r>
      <w:proofErr w:type="spellStart"/>
      <w:r w:rsidRPr="000D7670">
        <w:t>future</w:t>
      </w:r>
      <w:proofErr w:type="spellEnd"/>
      <w:r w:rsidRPr="000D7670">
        <w:t xml:space="preserve"> of finance”</w:t>
      </w:r>
      <w:r w:rsidR="006C7D5A" w:rsidRPr="000D7670">
        <w:rPr>
          <w:rStyle w:val="FootnoteReference"/>
        </w:rPr>
        <w:footnoteReference w:id="1"/>
      </w:r>
      <w:r w:rsidRPr="000D7670">
        <w:t>,</w:t>
      </w:r>
    </w:p>
    <w:p w14:paraId="2C835F50" w14:textId="77777777" w:rsidR="00605F89" w:rsidRPr="000D7670" w:rsidRDefault="00605F89" w:rsidP="006C7D5A">
      <w:pPr>
        <w:pStyle w:val="NormalHanging"/>
        <w:widowControl/>
      </w:pPr>
      <w:r w:rsidRPr="000D7670">
        <w:t>–</w:t>
      </w:r>
      <w:r w:rsidRPr="000D7670">
        <w:tab/>
        <w:t xml:space="preserve">ottaa huomioon marraskuussa 2025 julkaistun kansainvälisen arvopaperimarkkinavalvojien yhteisön raportin rahoitusvarojen </w:t>
      </w:r>
      <w:proofErr w:type="spellStart"/>
      <w:r w:rsidRPr="000D7670">
        <w:t>tokenisaatiosta</w:t>
      </w:r>
      <w:proofErr w:type="spellEnd"/>
      <w:r w:rsidRPr="000D7670">
        <w:t xml:space="preserve"> ”</w:t>
      </w:r>
      <w:proofErr w:type="spellStart"/>
      <w:r w:rsidRPr="000D7670">
        <w:t>Tokenization</w:t>
      </w:r>
      <w:proofErr w:type="spellEnd"/>
      <w:r w:rsidRPr="000D7670">
        <w:t xml:space="preserve"> of </w:t>
      </w:r>
      <w:proofErr w:type="spellStart"/>
      <w:r w:rsidRPr="000D7670">
        <w:t>financial</w:t>
      </w:r>
      <w:proofErr w:type="spellEnd"/>
      <w:r w:rsidRPr="000D7670">
        <w:t xml:space="preserve"> </w:t>
      </w:r>
      <w:proofErr w:type="spellStart"/>
      <w:r w:rsidRPr="000D7670">
        <w:t>assets</w:t>
      </w:r>
      <w:proofErr w:type="spellEnd"/>
      <w:r w:rsidRPr="000D7670">
        <w:t>”,</w:t>
      </w:r>
    </w:p>
    <w:p w14:paraId="46EC4286" w14:textId="77777777" w:rsidR="00605F89" w:rsidRPr="000D7670" w:rsidRDefault="00605F89" w:rsidP="006C7D5A">
      <w:pPr>
        <w:pStyle w:val="NormalHanging"/>
        <w:widowControl/>
      </w:pPr>
      <w:r w:rsidRPr="000D7670">
        <w:t>–</w:t>
      </w:r>
      <w:r w:rsidRPr="000D7670">
        <w:tab/>
        <w:t>ottaa huomioon kesäkuussa 2025 julkaistun Kansainvälisen järjestelypankin (BIS) vuotuisen talouskatsauksen,</w:t>
      </w:r>
    </w:p>
    <w:p w14:paraId="70C0ECF0" w14:textId="77777777" w:rsidR="00605F89" w:rsidRPr="000D7670" w:rsidRDefault="00605F89" w:rsidP="006C7D5A">
      <w:pPr>
        <w:pStyle w:val="NormalHanging"/>
        <w:widowControl/>
      </w:pPr>
      <w:r w:rsidRPr="000D7670">
        <w:t>–</w:t>
      </w:r>
      <w:r w:rsidRPr="000D7670">
        <w:tab/>
        <w:t xml:space="preserve">ottaa huomioon </w:t>
      </w:r>
      <w:proofErr w:type="spellStart"/>
      <w:r w:rsidRPr="000D7670">
        <w:t>kryptovaroja</w:t>
      </w:r>
      <w:proofErr w:type="spellEnd"/>
      <w:r w:rsidRPr="000D7670">
        <w:t xml:space="preserve"> koskevasta finanssimarkkinoiden vakauden valvontaryhmän (FSB) globaalista sääntelykehyksestä 16. lokakuuta 2025 annetun </w:t>
      </w:r>
      <w:proofErr w:type="spellStart"/>
      <w:r w:rsidRPr="000D7670">
        <w:t>FSB:n</w:t>
      </w:r>
      <w:proofErr w:type="spellEnd"/>
      <w:r w:rsidRPr="000D7670">
        <w:t xml:space="preserve"> raportin ”</w:t>
      </w:r>
      <w:proofErr w:type="spellStart"/>
      <w:r w:rsidRPr="000D7670">
        <w:t>Thematic</w:t>
      </w:r>
      <w:proofErr w:type="spellEnd"/>
      <w:r w:rsidRPr="000D7670">
        <w:t xml:space="preserve"> </w:t>
      </w:r>
      <w:proofErr w:type="spellStart"/>
      <w:r w:rsidRPr="000D7670">
        <w:t>Review</w:t>
      </w:r>
      <w:proofErr w:type="spellEnd"/>
      <w:r w:rsidRPr="000D7670">
        <w:t xml:space="preserve"> on FSB Global </w:t>
      </w:r>
      <w:proofErr w:type="spellStart"/>
      <w:r w:rsidRPr="000D7670">
        <w:t>Regulatory</w:t>
      </w:r>
      <w:proofErr w:type="spellEnd"/>
      <w:r w:rsidRPr="000D7670">
        <w:t xml:space="preserve"> Framework for </w:t>
      </w:r>
      <w:proofErr w:type="spellStart"/>
      <w:r w:rsidRPr="000D7670">
        <w:t>Crypto-asset</w:t>
      </w:r>
      <w:proofErr w:type="spellEnd"/>
      <w:r w:rsidRPr="000D7670">
        <w:t xml:space="preserve"> </w:t>
      </w:r>
      <w:proofErr w:type="spellStart"/>
      <w:r w:rsidRPr="000D7670">
        <w:t>Activities</w:t>
      </w:r>
      <w:proofErr w:type="spellEnd"/>
      <w:r w:rsidRPr="000D7670">
        <w:t>”,</w:t>
      </w:r>
    </w:p>
    <w:p w14:paraId="344EA05C" w14:textId="77777777" w:rsidR="00605F89" w:rsidRPr="000D7670" w:rsidRDefault="00605F89" w:rsidP="006C7D5A">
      <w:pPr>
        <w:pStyle w:val="NormalHanging"/>
        <w:widowControl/>
      </w:pPr>
      <w:r w:rsidRPr="000D7670">
        <w:t>–</w:t>
      </w:r>
      <w:r w:rsidRPr="000D7670">
        <w:tab/>
        <w:t xml:space="preserve">ottaa huomioon 22. lokakuuta 2024 julkaistun </w:t>
      </w:r>
      <w:proofErr w:type="spellStart"/>
      <w:r w:rsidRPr="000D7670">
        <w:t>FSB:n</w:t>
      </w:r>
      <w:proofErr w:type="spellEnd"/>
      <w:r w:rsidRPr="000D7670">
        <w:t xml:space="preserve"> tilanneraportin </w:t>
      </w:r>
      <w:proofErr w:type="spellStart"/>
      <w:r w:rsidRPr="000D7670">
        <w:t>kryptovaroja</w:t>
      </w:r>
      <w:proofErr w:type="spellEnd"/>
      <w:r w:rsidRPr="000D7670">
        <w:t xml:space="preserve"> koskevista toimintapolitiikoista G20-maissa ”G20 </w:t>
      </w:r>
      <w:proofErr w:type="spellStart"/>
      <w:r w:rsidRPr="000D7670">
        <w:t>crypto-asset</w:t>
      </w:r>
      <w:proofErr w:type="spellEnd"/>
      <w:r w:rsidRPr="000D7670">
        <w:t xml:space="preserve"> </w:t>
      </w:r>
      <w:proofErr w:type="spellStart"/>
      <w:r w:rsidRPr="000D7670">
        <w:t>policy</w:t>
      </w:r>
      <w:proofErr w:type="spellEnd"/>
      <w:r w:rsidRPr="000D7670">
        <w:t xml:space="preserve"> </w:t>
      </w:r>
      <w:proofErr w:type="spellStart"/>
      <w:r w:rsidRPr="000D7670">
        <w:t>implementation</w:t>
      </w:r>
      <w:proofErr w:type="spellEnd"/>
      <w:r w:rsidRPr="000D7670">
        <w:t xml:space="preserve"> </w:t>
      </w:r>
      <w:proofErr w:type="spellStart"/>
      <w:r w:rsidRPr="000D7670">
        <w:t>roadmap</w:t>
      </w:r>
      <w:proofErr w:type="spellEnd"/>
      <w:r w:rsidRPr="000D7670">
        <w:t>”,</w:t>
      </w:r>
    </w:p>
    <w:p w14:paraId="476AB5EC" w14:textId="77777777" w:rsidR="00605F89" w:rsidRPr="000D7670" w:rsidRDefault="00605F89" w:rsidP="006C7D5A">
      <w:pPr>
        <w:pStyle w:val="NormalHanging"/>
        <w:widowControl/>
      </w:pPr>
      <w:r w:rsidRPr="000D7670">
        <w:t>–</w:t>
      </w:r>
      <w:r w:rsidRPr="000D7670">
        <w:tab/>
        <w:t xml:space="preserve">ottaa huomioon 22. lokakuuta 2024 julkaistun </w:t>
      </w:r>
      <w:proofErr w:type="spellStart"/>
      <w:r w:rsidRPr="000D7670">
        <w:t>FSB:n</w:t>
      </w:r>
      <w:proofErr w:type="spellEnd"/>
      <w:r w:rsidRPr="000D7670">
        <w:t xml:space="preserve"> tilanneraportin </w:t>
      </w:r>
      <w:proofErr w:type="spellStart"/>
      <w:r w:rsidRPr="000D7670">
        <w:t>tokenisaation</w:t>
      </w:r>
      <w:proofErr w:type="spellEnd"/>
      <w:r w:rsidRPr="000D7670">
        <w:t xml:space="preserve"> vaikutuksista rahoitusvakauteen ”</w:t>
      </w:r>
      <w:proofErr w:type="spellStart"/>
      <w:r w:rsidRPr="000D7670">
        <w:t>The</w:t>
      </w:r>
      <w:proofErr w:type="spellEnd"/>
      <w:r w:rsidRPr="000D7670">
        <w:t xml:space="preserve"> </w:t>
      </w:r>
      <w:proofErr w:type="spellStart"/>
      <w:r w:rsidRPr="000D7670">
        <w:t>financial</w:t>
      </w:r>
      <w:proofErr w:type="spellEnd"/>
      <w:r w:rsidRPr="000D7670">
        <w:t xml:space="preserve"> </w:t>
      </w:r>
      <w:proofErr w:type="spellStart"/>
      <w:r w:rsidRPr="000D7670">
        <w:t>stability</w:t>
      </w:r>
      <w:proofErr w:type="spellEnd"/>
      <w:r w:rsidRPr="000D7670">
        <w:t xml:space="preserve"> </w:t>
      </w:r>
      <w:proofErr w:type="spellStart"/>
      <w:r w:rsidRPr="000D7670">
        <w:t>implications</w:t>
      </w:r>
      <w:proofErr w:type="spellEnd"/>
      <w:r w:rsidRPr="000D7670">
        <w:t xml:space="preserve"> of </w:t>
      </w:r>
      <w:proofErr w:type="spellStart"/>
      <w:r w:rsidRPr="000D7670">
        <w:t>tokenisation</w:t>
      </w:r>
      <w:proofErr w:type="spellEnd"/>
      <w:r w:rsidRPr="000D7670">
        <w:t>”,</w:t>
      </w:r>
    </w:p>
    <w:p w14:paraId="63D20A08" w14:textId="77777777" w:rsidR="00605F89" w:rsidRPr="000D7670" w:rsidRDefault="00605F89" w:rsidP="006C7D5A">
      <w:pPr>
        <w:pStyle w:val="NormalHanging"/>
        <w:widowControl/>
      </w:pPr>
      <w:r w:rsidRPr="000D7670">
        <w:t>–</w:t>
      </w:r>
      <w:r w:rsidRPr="000D7670">
        <w:tab/>
        <w:t xml:space="preserve">ottaa huomioon 10. marraskuuta 2025 julkaistun Englannin pankin kuulemisasiakirjan ehdotuksesta puntamääräisiä </w:t>
      </w:r>
      <w:proofErr w:type="spellStart"/>
      <w:r w:rsidRPr="000D7670">
        <w:t>stablecoineja</w:t>
      </w:r>
      <w:proofErr w:type="spellEnd"/>
      <w:r w:rsidRPr="000D7670">
        <w:t xml:space="preserve"> koskevaksi sääntelyjärjestelmäksi ”</w:t>
      </w:r>
      <w:proofErr w:type="spellStart"/>
      <w:r w:rsidRPr="000D7670">
        <w:t>Proposed</w:t>
      </w:r>
      <w:proofErr w:type="spellEnd"/>
      <w:r w:rsidRPr="000D7670">
        <w:t xml:space="preserve"> </w:t>
      </w:r>
      <w:proofErr w:type="spellStart"/>
      <w:r w:rsidRPr="000D7670">
        <w:t>regulatory</w:t>
      </w:r>
      <w:proofErr w:type="spellEnd"/>
      <w:r w:rsidRPr="000D7670">
        <w:t xml:space="preserve"> </w:t>
      </w:r>
      <w:proofErr w:type="spellStart"/>
      <w:r w:rsidRPr="000D7670">
        <w:t>regime</w:t>
      </w:r>
      <w:proofErr w:type="spellEnd"/>
      <w:r w:rsidRPr="000D7670">
        <w:t xml:space="preserve"> for </w:t>
      </w:r>
      <w:proofErr w:type="spellStart"/>
      <w:r w:rsidRPr="000D7670">
        <w:t>sterling-denominated</w:t>
      </w:r>
      <w:proofErr w:type="spellEnd"/>
      <w:r w:rsidRPr="000D7670">
        <w:t xml:space="preserve"> </w:t>
      </w:r>
      <w:proofErr w:type="spellStart"/>
      <w:r w:rsidRPr="000D7670">
        <w:t>systemic</w:t>
      </w:r>
      <w:proofErr w:type="spellEnd"/>
      <w:r w:rsidRPr="000D7670">
        <w:t xml:space="preserve"> </w:t>
      </w:r>
      <w:proofErr w:type="spellStart"/>
      <w:r w:rsidRPr="000D7670">
        <w:t>stablecoins</w:t>
      </w:r>
      <w:proofErr w:type="spellEnd"/>
      <w:r w:rsidRPr="000D7670">
        <w:t>”,</w:t>
      </w:r>
    </w:p>
    <w:p w14:paraId="0BD7B2F2" w14:textId="77777777" w:rsidR="00605F89" w:rsidRPr="000D7670" w:rsidRDefault="00605F89" w:rsidP="006C7D5A">
      <w:pPr>
        <w:pStyle w:val="NormalHanging"/>
        <w:widowControl/>
      </w:pPr>
      <w:r w:rsidRPr="000D7670">
        <w:t>–</w:t>
      </w:r>
      <w:r w:rsidRPr="000D7670">
        <w:tab/>
        <w:t xml:space="preserve">ottaa huomioon marraskuussa 2025 julkaistun talouden hallinnan ja EMU:n valvontayksikön muistion digitaalisista varoista ”Digital </w:t>
      </w:r>
      <w:proofErr w:type="spellStart"/>
      <w:r w:rsidRPr="000D7670">
        <w:t>assets</w:t>
      </w:r>
      <w:proofErr w:type="spellEnd"/>
      <w:r w:rsidRPr="000D7670">
        <w:t xml:space="preserve">: EU </w:t>
      </w:r>
      <w:proofErr w:type="spellStart"/>
      <w:r w:rsidRPr="000D7670">
        <w:t>regulatory</w:t>
      </w:r>
      <w:proofErr w:type="spellEnd"/>
      <w:r w:rsidRPr="000D7670">
        <w:t xml:space="preserve"> </w:t>
      </w:r>
      <w:proofErr w:type="spellStart"/>
      <w:r w:rsidRPr="000D7670">
        <w:t>framework</w:t>
      </w:r>
      <w:proofErr w:type="spellEnd"/>
      <w:r w:rsidRPr="000D7670">
        <w:t xml:space="preserve">, market </w:t>
      </w:r>
      <w:proofErr w:type="spellStart"/>
      <w:r w:rsidRPr="000D7670">
        <w:t>uptake</w:t>
      </w:r>
      <w:proofErr w:type="spellEnd"/>
      <w:r w:rsidRPr="000D7670">
        <w:t xml:space="preserve">, </w:t>
      </w:r>
      <w:proofErr w:type="spellStart"/>
      <w:r w:rsidRPr="000D7670">
        <w:t>risks</w:t>
      </w:r>
      <w:proofErr w:type="spellEnd"/>
      <w:r w:rsidRPr="000D7670">
        <w:t xml:space="preserve"> and </w:t>
      </w:r>
      <w:proofErr w:type="spellStart"/>
      <w:r w:rsidRPr="000D7670">
        <w:t>challenges</w:t>
      </w:r>
      <w:proofErr w:type="spellEnd"/>
      <w:r w:rsidRPr="000D7670">
        <w:t>”,</w:t>
      </w:r>
    </w:p>
    <w:p w14:paraId="6CF89FD0" w14:textId="1DC10184" w:rsidR="00605F89" w:rsidRPr="000D7670" w:rsidRDefault="00605F89" w:rsidP="006C7D5A">
      <w:pPr>
        <w:pStyle w:val="NormalHanging"/>
        <w:widowControl/>
      </w:pPr>
      <w:r w:rsidRPr="000D7670">
        <w:t>–</w:t>
      </w:r>
      <w:r w:rsidRPr="000D7670">
        <w:tab/>
        <w:t xml:space="preserve">ottaa huomioon varojen </w:t>
      </w:r>
      <w:proofErr w:type="spellStart"/>
      <w:r w:rsidRPr="000D7670">
        <w:t>tokenisaatiosta</w:t>
      </w:r>
      <w:proofErr w:type="spellEnd"/>
      <w:r w:rsidRPr="000D7670">
        <w:t xml:space="preserve"> ja hajautetun tilikirjan teknologioista 9. tammikuuta 2025 annetun Taloudellisen yhteistyön ja kehityksen järjestön (OECD) toimintapoliittisen asiakirjan ”</w:t>
      </w:r>
      <w:proofErr w:type="spellStart"/>
      <w:r w:rsidRPr="000D7670">
        <w:t>Tokenisation</w:t>
      </w:r>
      <w:proofErr w:type="spellEnd"/>
      <w:r w:rsidRPr="000D7670">
        <w:t xml:space="preserve"> of </w:t>
      </w:r>
      <w:proofErr w:type="spellStart"/>
      <w:r w:rsidRPr="000D7670">
        <w:t>assets</w:t>
      </w:r>
      <w:proofErr w:type="spellEnd"/>
      <w:r w:rsidRPr="000D7670">
        <w:t xml:space="preserve"> and </w:t>
      </w:r>
      <w:proofErr w:type="spellStart"/>
      <w:r w:rsidRPr="000D7670">
        <w:t>distributed</w:t>
      </w:r>
      <w:proofErr w:type="spellEnd"/>
      <w:r w:rsidRPr="000D7670">
        <w:t xml:space="preserve"> </w:t>
      </w:r>
      <w:proofErr w:type="spellStart"/>
      <w:r w:rsidRPr="000D7670">
        <w:t>ledger</w:t>
      </w:r>
      <w:proofErr w:type="spellEnd"/>
      <w:r w:rsidRPr="000D7670">
        <w:t xml:space="preserve"> </w:t>
      </w:r>
      <w:proofErr w:type="spellStart"/>
      <w:r w:rsidRPr="000D7670">
        <w:t>technologies</w:t>
      </w:r>
      <w:proofErr w:type="spellEnd"/>
      <w:r w:rsidRPr="000D7670">
        <w:t xml:space="preserve"> in </w:t>
      </w:r>
      <w:proofErr w:type="spellStart"/>
      <w:r w:rsidRPr="000D7670">
        <w:t>financial</w:t>
      </w:r>
      <w:proofErr w:type="spellEnd"/>
      <w:r w:rsidRPr="000D7670">
        <w:t xml:space="preserve"> </w:t>
      </w:r>
      <w:proofErr w:type="spellStart"/>
      <w:r w:rsidRPr="000D7670">
        <w:t>markets</w:t>
      </w:r>
      <w:proofErr w:type="spellEnd"/>
      <w:r w:rsidRPr="000D7670">
        <w:t xml:space="preserve"> – </w:t>
      </w:r>
      <w:proofErr w:type="spellStart"/>
      <w:r w:rsidRPr="000D7670">
        <w:t>Potential</w:t>
      </w:r>
      <w:proofErr w:type="spellEnd"/>
      <w:r w:rsidRPr="000D7670">
        <w:t xml:space="preserve"> </w:t>
      </w:r>
      <w:proofErr w:type="spellStart"/>
      <w:r w:rsidRPr="000D7670">
        <w:t>impediments</w:t>
      </w:r>
      <w:proofErr w:type="spellEnd"/>
      <w:r w:rsidRPr="000D7670">
        <w:t xml:space="preserve"> to market </w:t>
      </w:r>
      <w:proofErr w:type="spellStart"/>
      <w:r w:rsidRPr="000D7670">
        <w:t>development</w:t>
      </w:r>
      <w:proofErr w:type="spellEnd"/>
      <w:r w:rsidRPr="000D7670">
        <w:t xml:space="preserve"> and </w:t>
      </w:r>
      <w:proofErr w:type="spellStart"/>
      <w:r w:rsidRPr="000D7670">
        <w:t>policy</w:t>
      </w:r>
      <w:proofErr w:type="spellEnd"/>
      <w:r w:rsidRPr="000D7670">
        <w:t xml:space="preserve"> </w:t>
      </w:r>
      <w:proofErr w:type="spellStart"/>
      <w:r w:rsidRPr="000D7670">
        <w:t>implications</w:t>
      </w:r>
      <w:proofErr w:type="spellEnd"/>
      <w:r w:rsidRPr="000D7670">
        <w:t>”</w:t>
      </w:r>
      <w:r w:rsidR="006C7D5A" w:rsidRPr="000D7670">
        <w:rPr>
          <w:rStyle w:val="FootnoteReference"/>
        </w:rPr>
        <w:footnoteReference w:id="2"/>
      </w:r>
      <w:r w:rsidRPr="000D7670">
        <w:t>,</w:t>
      </w:r>
    </w:p>
    <w:p w14:paraId="1917EDB8" w14:textId="77777777" w:rsidR="00605F89" w:rsidRPr="000D7670" w:rsidRDefault="00605F89" w:rsidP="006C7D5A">
      <w:pPr>
        <w:pStyle w:val="NormalHanging"/>
        <w:widowControl/>
      </w:pPr>
      <w:r w:rsidRPr="000D7670">
        <w:t>–</w:t>
      </w:r>
      <w:r w:rsidRPr="000D7670">
        <w:tab/>
        <w:t>ottaa huomioon työjärjestyksen 55 artiklan,</w:t>
      </w:r>
    </w:p>
    <w:p w14:paraId="460768C3" w14:textId="77777777" w:rsidR="00605F89" w:rsidRPr="000D7670" w:rsidRDefault="00605F89" w:rsidP="006C7D5A">
      <w:pPr>
        <w:pStyle w:val="NormalHanging"/>
        <w:widowControl/>
      </w:pPr>
      <w:r w:rsidRPr="000D7670">
        <w:t>–</w:t>
      </w:r>
      <w:r w:rsidRPr="000D7670">
        <w:tab/>
        <w:t>ottaa huomioon talous- ja raha-asioiden valiokunnan mietinnön (A10-0186/2026),</w:t>
      </w:r>
    </w:p>
    <w:p w14:paraId="254ACE2B" w14:textId="77777777" w:rsidR="00605F89" w:rsidRPr="000D7670" w:rsidRDefault="00605F89" w:rsidP="006C7D5A">
      <w:pPr>
        <w:pStyle w:val="NormalHanging"/>
        <w:widowControl/>
      </w:pPr>
      <w:r w:rsidRPr="000D7670">
        <w:t>A.</w:t>
      </w:r>
      <w:r w:rsidRPr="000D7670">
        <w:tab/>
        <w:t xml:space="preserve">ottaa huomioon, että EKP:n marraskuussa 2024 julkaiseman kuluttajien odotuksia koskevan tutkimuksen mukaan keskimäärin 9,7 prosenttia vastaajista tai joku heidän taloudessaan omisti </w:t>
      </w:r>
      <w:proofErr w:type="spellStart"/>
      <w:r w:rsidRPr="000D7670">
        <w:t>kryptovaroja</w:t>
      </w:r>
      <w:proofErr w:type="spellEnd"/>
      <w:r w:rsidRPr="000D7670">
        <w:t>, joista 54 prosenttia oli alle 1 000 euron arvoisia omistusosuuksia ja 91 prosenttia alle 20 000 euron arvoisia omistusosuuksia;</w:t>
      </w:r>
    </w:p>
    <w:p w14:paraId="41D40C7B" w14:textId="77777777" w:rsidR="00605F89" w:rsidRPr="000D7670" w:rsidRDefault="00605F89" w:rsidP="006C7D5A">
      <w:pPr>
        <w:pStyle w:val="NormalHanging"/>
        <w:widowControl/>
      </w:pPr>
      <w:r w:rsidRPr="000D7670">
        <w:t>B.</w:t>
      </w:r>
      <w:r w:rsidRPr="000D7670">
        <w:tab/>
        <w:t xml:space="preserve">ottaa huomioon, että yksityisten tietolähteiden mukaan </w:t>
      </w:r>
      <w:proofErr w:type="spellStart"/>
      <w:r w:rsidRPr="000D7670">
        <w:t>kryptovarojen</w:t>
      </w:r>
      <w:proofErr w:type="spellEnd"/>
      <w:r w:rsidRPr="000D7670">
        <w:t xml:space="preserve"> maailmanlaajuinen kokonaismarkkina-arvo oli 10. helmikuuta 2026 2,03 biljoonaa </w:t>
      </w:r>
      <w:r w:rsidRPr="000D7670">
        <w:lastRenderedPageBreak/>
        <w:t xml:space="preserve">euroa, josta </w:t>
      </w:r>
      <w:proofErr w:type="spellStart"/>
      <w:r w:rsidRPr="000D7670">
        <w:t>stablecoinien</w:t>
      </w:r>
      <w:proofErr w:type="spellEnd"/>
      <w:r w:rsidRPr="000D7670">
        <w:t xml:space="preserve"> markkinaosuus oli 12,9 prosenttia eli 261 miljardia euroa; ottaa huomioon, että EKP:n valmisteluasiakirjan nro 3199 mukaan markkinoiden odotukset viittaavat </w:t>
      </w:r>
      <w:proofErr w:type="spellStart"/>
      <w:r w:rsidRPr="000D7670">
        <w:t>stablecoinien</w:t>
      </w:r>
      <w:proofErr w:type="spellEnd"/>
      <w:r w:rsidRPr="000D7670">
        <w:t xml:space="preserve"> liikkeeseenlaskun voimakkaaseen kasvuun;</w:t>
      </w:r>
    </w:p>
    <w:p w14:paraId="7EEFA1BF" w14:textId="77777777" w:rsidR="00605F89" w:rsidRPr="000D7670" w:rsidRDefault="00605F89" w:rsidP="006C7D5A">
      <w:pPr>
        <w:pStyle w:val="NormalHanging"/>
        <w:widowControl/>
      </w:pPr>
      <w:r w:rsidRPr="000D7670">
        <w:t>C.</w:t>
      </w:r>
      <w:r w:rsidRPr="000D7670">
        <w:tab/>
        <w:t xml:space="preserve">ottaa huomioon, että yksityisistä lähteistä saatujen harmonisoimattomien tietojen mukaan </w:t>
      </w:r>
      <w:proofErr w:type="spellStart"/>
      <w:r w:rsidRPr="000D7670">
        <w:t>tokenisoitujen</w:t>
      </w:r>
      <w:proofErr w:type="spellEnd"/>
      <w:r w:rsidRPr="000D7670">
        <w:t xml:space="preserve"> varojen osuus maailmanlaajuisista digitaalisista varoista oli helmikuussa 2026 noin 1 prosentti ja osuus kasvaa nopeasti;</w:t>
      </w:r>
    </w:p>
    <w:p w14:paraId="4A1D1F23" w14:textId="77777777" w:rsidR="00605F89" w:rsidRPr="000D7670" w:rsidRDefault="00605F89" w:rsidP="006C7D5A">
      <w:pPr>
        <w:pStyle w:val="NormalHanging"/>
        <w:widowControl/>
      </w:pPr>
      <w:r w:rsidRPr="000D7670">
        <w:t>D.</w:t>
      </w:r>
      <w:r w:rsidRPr="000D7670">
        <w:tab/>
        <w:t xml:space="preserve">ottaa huomioon, että yksityisten tietolähteiden mukaan vuonna 2025 </w:t>
      </w:r>
      <w:proofErr w:type="spellStart"/>
      <w:r w:rsidRPr="000D7670">
        <w:t>kryptoalan</w:t>
      </w:r>
      <w:proofErr w:type="spellEnd"/>
      <w:r w:rsidRPr="000D7670">
        <w:t xml:space="preserve"> ammattilaisia oli maailmanlaajuisesti yli 1,6 miljoonaa, joista suuri osa EU:ssa, vaikkakin EU:n osuus jatkuvasti pienenee;</w:t>
      </w:r>
    </w:p>
    <w:p w14:paraId="5A405A34" w14:textId="0013C337" w:rsidR="00605F89" w:rsidRPr="000D7670" w:rsidRDefault="00605F89" w:rsidP="006C7D5A">
      <w:pPr>
        <w:pStyle w:val="NormalHanging"/>
        <w:widowControl/>
      </w:pPr>
      <w:r w:rsidRPr="000D7670">
        <w:t>E.</w:t>
      </w:r>
      <w:r w:rsidRPr="000D7670">
        <w:tab/>
        <w:t>ottaa huomioon, että digitaalisen tilikirjan teknologiaa koskevasta pilottijärjestelmästä annetun asetuksen (EU) 2022/858</w:t>
      </w:r>
      <w:r w:rsidR="006C7D5A" w:rsidRPr="000D7670">
        <w:rPr>
          <w:rStyle w:val="FootnoteReference"/>
        </w:rPr>
        <w:footnoteReference w:id="3"/>
      </w:r>
      <w:r w:rsidRPr="000D7670">
        <w:t xml:space="preserve"> 2 artiklan 1 kohdassa määritetään hajautetun tilikirjan teknologia tai DLT teknologiaksi, jolla mahdollistetaan hajautettujen tilikirjojen toiminta ja käyttö; ottaa huomioon, että 2 artiklan 2 kohdassa määritetään hajautettu tilikirja tietorekisteriksi, jossa säilytetään tiedot liiketoimista ja joka jaetaan joukolle DLT-verkon solmuja ja synkronoidaan niiden välillä konsensusmekanismia käyttäen;</w:t>
      </w:r>
    </w:p>
    <w:p w14:paraId="71D16A95" w14:textId="03249A19" w:rsidR="00605F89" w:rsidRPr="000D7670" w:rsidRDefault="00605F89" w:rsidP="006C7D5A">
      <w:pPr>
        <w:pStyle w:val="NormalHanging"/>
        <w:widowControl/>
      </w:pPr>
      <w:r w:rsidRPr="000D7670">
        <w:t>F.</w:t>
      </w:r>
      <w:r w:rsidRPr="000D7670">
        <w:tab/>
        <w:t xml:space="preserve">ottaa huomioon, että </w:t>
      </w:r>
      <w:proofErr w:type="spellStart"/>
      <w:r w:rsidRPr="000D7670">
        <w:t>kryptovarojen</w:t>
      </w:r>
      <w:proofErr w:type="spellEnd"/>
      <w:r w:rsidRPr="000D7670">
        <w:t xml:space="preserve"> markkinoista annetulla asetuksella (EU) 2023/1114</w:t>
      </w:r>
      <w:r w:rsidR="006C7D5A" w:rsidRPr="000D7670">
        <w:rPr>
          <w:rStyle w:val="FootnoteReference"/>
        </w:rPr>
        <w:footnoteReference w:id="4"/>
      </w:r>
      <w:r w:rsidRPr="000D7670">
        <w:t xml:space="preserve"> (</w:t>
      </w:r>
      <w:proofErr w:type="spellStart"/>
      <w:r w:rsidRPr="000D7670">
        <w:t>MiCA</w:t>
      </w:r>
      <w:proofErr w:type="spellEnd"/>
      <w:r w:rsidRPr="000D7670">
        <w:t xml:space="preserve">-asetus), luodaan </w:t>
      </w:r>
      <w:proofErr w:type="spellStart"/>
      <w:r w:rsidRPr="000D7670">
        <w:t>kryptovaroja</w:t>
      </w:r>
      <w:proofErr w:type="spellEnd"/>
      <w:r w:rsidRPr="000D7670">
        <w:t xml:space="preserve"> koskeva yhdenmukaistettu EU:n kehys, jossa on kolme pääasiallista luokkaa: </w:t>
      </w:r>
      <w:proofErr w:type="spellStart"/>
      <w:r w:rsidRPr="000D7670">
        <w:t>sähkörahatokenit</w:t>
      </w:r>
      <w:proofErr w:type="spellEnd"/>
      <w:r w:rsidRPr="000D7670">
        <w:t xml:space="preserve">, joiden arvo pyritään vakauttamaan sillä, että niiden referenssinä on virallinen valuutta, </w:t>
      </w:r>
      <w:proofErr w:type="spellStart"/>
      <w:r w:rsidRPr="000D7670">
        <w:t>omaisuusreferenssitokenit</w:t>
      </w:r>
      <w:proofErr w:type="spellEnd"/>
      <w:r w:rsidRPr="000D7670">
        <w:t xml:space="preserve">, joiden arvo pyritään pitämään vakaana ottamalla niiden referenssiksi muu arvo tai oikeus taikka niiden yhdistelmä, mukaan lukien yksi tai useampi virallinen valuutta, sekä muut </w:t>
      </w:r>
      <w:proofErr w:type="spellStart"/>
      <w:r w:rsidRPr="000D7670">
        <w:t>kryptovarat</w:t>
      </w:r>
      <w:proofErr w:type="spellEnd"/>
      <w:r w:rsidRPr="000D7670">
        <w:t>, joilla tarkoitetaan arvon tai oikeuden digitaalisia edustajia, jotka pystytään siirtämään ja tallentamaan sähköisesti käyttäen hajautetun tilikirjan teknologiaa tai vastaavaa teknologiaa ja jotka eivät kuulu toisiin luokkiin;</w:t>
      </w:r>
    </w:p>
    <w:p w14:paraId="09F2D356" w14:textId="77777777" w:rsidR="00605F89" w:rsidRPr="000D7670" w:rsidRDefault="00605F89" w:rsidP="006C7D5A">
      <w:pPr>
        <w:pStyle w:val="NormalHanging"/>
        <w:widowControl/>
      </w:pPr>
      <w:r w:rsidRPr="000D7670">
        <w:t>G.</w:t>
      </w:r>
      <w:r w:rsidRPr="000D7670">
        <w:tab/>
        <w:t xml:space="preserve">ottaa huomioon, että </w:t>
      </w:r>
      <w:proofErr w:type="spellStart"/>
      <w:r w:rsidRPr="000D7670">
        <w:t>MiCA</w:t>
      </w:r>
      <w:proofErr w:type="spellEnd"/>
      <w:r w:rsidRPr="000D7670">
        <w:t xml:space="preserve">-asetuksen 2 artiklan 4 kohdan mukaan sitä ei sovelleta </w:t>
      </w:r>
      <w:proofErr w:type="spellStart"/>
      <w:r w:rsidRPr="000D7670">
        <w:t>kryptovaroihin</w:t>
      </w:r>
      <w:proofErr w:type="spellEnd"/>
      <w:r w:rsidRPr="000D7670">
        <w:t xml:space="preserve">, joita pidetään EU:n nykyisen lainsäädännön nojalla rahoitusvälineinä, talletuksina, varoina, </w:t>
      </w:r>
      <w:proofErr w:type="spellStart"/>
      <w:r w:rsidRPr="000D7670">
        <w:t>arvopaperistamisina</w:t>
      </w:r>
      <w:proofErr w:type="spellEnd"/>
      <w:r w:rsidRPr="000D7670">
        <w:t xml:space="preserve"> tai vakuutus- tai eläketuotteina, millä varmistetaan, että </w:t>
      </w:r>
      <w:proofErr w:type="spellStart"/>
      <w:r w:rsidRPr="000D7670">
        <w:t>kryptovaroihin</w:t>
      </w:r>
      <w:proofErr w:type="spellEnd"/>
      <w:r w:rsidRPr="000D7670">
        <w:t xml:space="preserve"> sovelletaan asianmukaisia alakohtaisia lainsäädäntökehyksiä, ja mikä on yhdenmukaista EU:n rahoituspalvelulainsäädännön tuoteperusteisen valvontamallin kanssa;</w:t>
      </w:r>
    </w:p>
    <w:p w14:paraId="43A251CC" w14:textId="77777777" w:rsidR="00605F89" w:rsidRPr="000D7670" w:rsidRDefault="00605F89" w:rsidP="006C7D5A">
      <w:pPr>
        <w:pStyle w:val="NormalHanging"/>
        <w:widowControl/>
      </w:pPr>
      <w:r w:rsidRPr="000D7670">
        <w:t>H.</w:t>
      </w:r>
      <w:r w:rsidRPr="000D7670">
        <w:tab/>
        <w:t xml:space="preserve">ottaa huomioon, että Yhdysvaltojen uusi hallinto on huomattavasti avoimempi </w:t>
      </w:r>
      <w:proofErr w:type="spellStart"/>
      <w:r w:rsidRPr="000D7670">
        <w:t>kryptovaroille</w:t>
      </w:r>
      <w:proofErr w:type="spellEnd"/>
      <w:r w:rsidRPr="000D7670">
        <w:t xml:space="preserve">, mikä on johtanut keskeisen lainsäädännön hyväksymiseen ja valvontaviranomaisten sallivampaan lähestymistapaan täytäntöönpanon valvonnassa; ottaa huomioon, että Yhdysvalloissa sääntely on vielä kehitysvaiheessa ja että Yhdysvaltojen poliittiset päätöksentekijät ja sääntelyviranomaiset käyttävät usein nimitystä ”digitaaliset varat”, jonka ymmärretään yleisesti tarkoittavan salauksella </w:t>
      </w:r>
      <w:r w:rsidRPr="000D7670">
        <w:lastRenderedPageBreak/>
        <w:t xml:space="preserve">suojattuja arvon tai oikeuksien digitaalisia edustajia, jotka on tallennettu hajautettuun tilikirjaan, mukaan lukien kryptovaluutat, </w:t>
      </w:r>
      <w:proofErr w:type="spellStart"/>
      <w:r w:rsidRPr="000D7670">
        <w:t>stablecoinit</w:t>
      </w:r>
      <w:proofErr w:type="spellEnd"/>
      <w:r w:rsidRPr="000D7670">
        <w:t xml:space="preserve"> ja tietyt </w:t>
      </w:r>
      <w:proofErr w:type="spellStart"/>
      <w:r w:rsidRPr="000D7670">
        <w:t>tokenisoidut</w:t>
      </w:r>
      <w:proofErr w:type="spellEnd"/>
      <w:r w:rsidRPr="000D7670">
        <w:t xml:space="preserve"> välineet;</w:t>
      </w:r>
    </w:p>
    <w:p w14:paraId="4528EADB" w14:textId="77777777" w:rsidR="00605F89" w:rsidRPr="000D7670" w:rsidRDefault="00605F89" w:rsidP="006C7D5A">
      <w:pPr>
        <w:pStyle w:val="Normal12a"/>
        <w:keepNext/>
      </w:pPr>
      <w:r w:rsidRPr="000D7670">
        <w:rPr>
          <w:b/>
          <w:i/>
        </w:rPr>
        <w:t>Yleistä</w:t>
      </w:r>
    </w:p>
    <w:p w14:paraId="4DC6B50A" w14:textId="77777777" w:rsidR="00605F89" w:rsidRPr="000D7670" w:rsidRDefault="00605F89" w:rsidP="006C7D5A">
      <w:pPr>
        <w:pStyle w:val="NormalHanging12a"/>
      </w:pPr>
      <w:r w:rsidRPr="000D7670">
        <w:t>1.</w:t>
      </w:r>
      <w:r w:rsidRPr="000D7670">
        <w:tab/>
        <w:t>ilmaisee tukensa pitkän aikavälin tavoitteelle koko järjestelmän kattavasta, toimintoperusteisesta ja teknologianeutraalista lähestymistavasta rahoituspalveluja koskevaan EU:n sääntelykehykseen;</w:t>
      </w:r>
    </w:p>
    <w:p w14:paraId="5B1C2689" w14:textId="77777777" w:rsidR="00605F89" w:rsidRPr="000D7670" w:rsidRDefault="00605F89" w:rsidP="006C7D5A">
      <w:pPr>
        <w:pStyle w:val="NormalHanging12a"/>
      </w:pPr>
      <w:r w:rsidRPr="000D7670">
        <w:t>2.</w:t>
      </w:r>
      <w:r w:rsidRPr="000D7670">
        <w:tab/>
        <w:t xml:space="preserve">korostaa, että </w:t>
      </w:r>
      <w:proofErr w:type="spellStart"/>
      <w:r w:rsidRPr="000D7670">
        <w:t>DLT:t</w:t>
      </w:r>
      <w:proofErr w:type="spellEnd"/>
      <w:r w:rsidRPr="000D7670">
        <w:t xml:space="preserve"> ja varojen </w:t>
      </w:r>
      <w:proofErr w:type="spellStart"/>
      <w:r w:rsidRPr="000D7670">
        <w:t>tokenisaatio</w:t>
      </w:r>
      <w:proofErr w:type="spellEnd"/>
      <w:r w:rsidRPr="000D7670">
        <w:t xml:space="preserve"> voivat tukea säästö- ja investointiunionin tavoitteita helpottamalla rajatylittäviä investointeja, vähentämällä markkinoiden pirstoutumista ja mahdollistamalla tehokkaamman pääomamarkkinainfrastruktuurin kaikkialla EU:ssa; korostaa </w:t>
      </w:r>
      <w:proofErr w:type="spellStart"/>
      <w:r w:rsidRPr="000D7670">
        <w:t>yhteentoimivuuden</w:t>
      </w:r>
      <w:proofErr w:type="spellEnd"/>
      <w:r w:rsidRPr="000D7670">
        <w:t xml:space="preserve"> ratkaisevaa merkitystä;</w:t>
      </w:r>
    </w:p>
    <w:p w14:paraId="61FF30CE" w14:textId="77777777" w:rsidR="00605F89" w:rsidRPr="000D7670" w:rsidRDefault="00605F89" w:rsidP="006C7D5A">
      <w:pPr>
        <w:pStyle w:val="NormalHanging12a"/>
      </w:pPr>
      <w:r w:rsidRPr="000D7670">
        <w:t>3.</w:t>
      </w:r>
      <w:r w:rsidRPr="000D7670">
        <w:tab/>
        <w:t xml:space="preserve">korostaa, että rahoitusalan uudet teknologiat asettavat uusia haasteita sääntely- ja valvontakehykselle; panee merkille digitaalisten varojen moninaisuuden ja toteaa, että niihin liittyvät riskit ja liiketoimintapotentiaali vaihtelevat luokkien välillä; vahvistaa sitoutuvansa EU:n sääntelykehysten kohdennettuun tarkistamiseen, jotta voidaan kehittää toimivia EU:n pääomamarkkinoita ja maksuinfrastruktuureja, jotka mahdollistavat digitaalisten varojen käytön; kehottaa komissiota arvioimaan, onko </w:t>
      </w:r>
      <w:proofErr w:type="spellStart"/>
      <w:r w:rsidRPr="000D7670">
        <w:t>kryptovarojen</w:t>
      </w:r>
      <w:proofErr w:type="spellEnd"/>
      <w:r w:rsidRPr="000D7670">
        <w:t xml:space="preserve"> </w:t>
      </w:r>
      <w:proofErr w:type="spellStart"/>
      <w:r w:rsidRPr="000D7670">
        <w:t>lainaksiantoa</w:t>
      </w:r>
      <w:proofErr w:type="spellEnd"/>
      <w:r w:rsidRPr="000D7670">
        <w:t xml:space="preserve"> ja </w:t>
      </w:r>
      <w:proofErr w:type="spellStart"/>
      <w:r w:rsidRPr="000D7670">
        <w:t>lainaksiottoa</w:t>
      </w:r>
      <w:proofErr w:type="spellEnd"/>
      <w:r w:rsidRPr="000D7670">
        <w:t xml:space="preserve">, mukaan lukien lukitseminen, ei-korvattavat tokenit ja hajautettu rahoitus, tarpeen ja mahdollista säännellä </w:t>
      </w:r>
      <w:proofErr w:type="spellStart"/>
      <w:r w:rsidRPr="000D7670">
        <w:t>MiCA</w:t>
      </w:r>
      <w:proofErr w:type="spellEnd"/>
      <w:r w:rsidRPr="000D7670">
        <w:t>-asetuksen nojalla;</w:t>
      </w:r>
    </w:p>
    <w:p w14:paraId="16004347" w14:textId="77777777" w:rsidR="00605F89" w:rsidRPr="000D7670" w:rsidRDefault="00605F89" w:rsidP="006C7D5A">
      <w:pPr>
        <w:pStyle w:val="NormalHanging12a"/>
      </w:pPr>
      <w:r w:rsidRPr="000D7670">
        <w:t>4.</w:t>
      </w:r>
      <w:r w:rsidRPr="000D7670">
        <w:tab/>
        <w:t>korostaa salauksella suojattujen hajautettujen tilikirjojen ja vastaavien rahoituspalveluinfrastruktuurin teknologioiden innovointipotentiaalia ja mahdollisia yhteysvalmiuksia sekä EU:n sisällä että EU:n maailmanlaajuisen roolin kannalta; korostaa, että ennakoitava ja innovointiystävällinen sääntely-ympäristö on olennaisen tärkeä sen varmistamiseksi, että investoinnit ja teknologinen kehitys pidetään EU:ssa ja edistetään kilpailukykyä ja luottamusta euromääräiseen rahoitusmarkkinoiden infrastruktuuriin;</w:t>
      </w:r>
    </w:p>
    <w:p w14:paraId="2321B89C" w14:textId="77777777" w:rsidR="00605F89" w:rsidRPr="000D7670" w:rsidRDefault="00605F89" w:rsidP="006C7D5A">
      <w:pPr>
        <w:pStyle w:val="Normal12a"/>
        <w:keepNext/>
      </w:pPr>
      <w:proofErr w:type="spellStart"/>
      <w:r w:rsidRPr="000D7670">
        <w:rPr>
          <w:b/>
          <w:i/>
        </w:rPr>
        <w:t>Kryptovarat</w:t>
      </w:r>
      <w:proofErr w:type="spellEnd"/>
    </w:p>
    <w:p w14:paraId="5FB40CE4" w14:textId="0D4E6517" w:rsidR="00605F89" w:rsidRPr="000D7670" w:rsidRDefault="00605F89" w:rsidP="006C7D5A">
      <w:pPr>
        <w:pStyle w:val="NormalHanging12a"/>
      </w:pPr>
      <w:r w:rsidRPr="000D7670">
        <w:t>5.</w:t>
      </w:r>
      <w:r w:rsidRPr="000D7670">
        <w:tab/>
        <w:t xml:space="preserve">panee merkille, että EU oli yksi ensimmäisistä lainkäyttöalueista, jolla hyväksyttiin ja pantiin täytäntöön </w:t>
      </w:r>
      <w:proofErr w:type="spellStart"/>
      <w:r w:rsidRPr="000D7670">
        <w:t>MiCA</w:t>
      </w:r>
      <w:proofErr w:type="spellEnd"/>
      <w:r w:rsidRPr="000D7670">
        <w:t xml:space="preserve">-asetuksella </w:t>
      </w:r>
      <w:proofErr w:type="spellStart"/>
      <w:r w:rsidRPr="000D7670">
        <w:t>kryptovaroja</w:t>
      </w:r>
      <w:proofErr w:type="spellEnd"/>
      <w:r w:rsidRPr="000D7670">
        <w:t xml:space="preserve"> koskeva erillinen järjestelmä sekä alettiin soveltaa DLT-teknologiaa rahoitusalalla; kehottaa komissiota varmistamaan tiiviissä yhteistyössä </w:t>
      </w:r>
      <w:proofErr w:type="spellStart"/>
      <w:r w:rsidRPr="000D7670">
        <w:t>EPV:n</w:t>
      </w:r>
      <w:proofErr w:type="spellEnd"/>
      <w:r w:rsidRPr="000D7670">
        <w:t xml:space="preserve">, </w:t>
      </w:r>
      <w:proofErr w:type="spellStart"/>
      <w:r w:rsidRPr="000D7670">
        <w:t>ESMAn</w:t>
      </w:r>
      <w:proofErr w:type="spellEnd"/>
      <w:r w:rsidRPr="000D7670">
        <w:t xml:space="preserve">, rahanpesun ja terrorismin rahoituksen torjuntaviranomaisen (AMLA) ja kansallisten toimivaltaisten viranomaisten kanssa </w:t>
      </w:r>
      <w:proofErr w:type="spellStart"/>
      <w:r w:rsidRPr="000D7670">
        <w:t>MiCA</w:t>
      </w:r>
      <w:proofErr w:type="spellEnd"/>
      <w:r w:rsidRPr="000D7670">
        <w:t xml:space="preserve">-asetuksen tehokkaan täytäntöönpanon; kehottaa jäsenvaltioita olemaan hyväksymättä </w:t>
      </w:r>
      <w:proofErr w:type="spellStart"/>
      <w:r w:rsidRPr="000D7670">
        <w:t>MiCA</w:t>
      </w:r>
      <w:proofErr w:type="spellEnd"/>
      <w:r w:rsidRPr="000D7670">
        <w:t>-asetuksen tai varainsiirtoa koskevan asetuksen</w:t>
      </w:r>
      <w:r w:rsidR="006C7D5A" w:rsidRPr="000D7670">
        <w:rPr>
          <w:rStyle w:val="FootnoteReference"/>
        </w:rPr>
        <w:footnoteReference w:id="5"/>
      </w:r>
      <w:r w:rsidRPr="000D7670">
        <w:t xml:space="preserve"> kehysten ulkopuolisia uusia vaatimuksia ja vastuita;</w:t>
      </w:r>
    </w:p>
    <w:p w14:paraId="195F66F7" w14:textId="77777777" w:rsidR="00605F89" w:rsidRPr="000D7670" w:rsidRDefault="00605F89" w:rsidP="006C7D5A">
      <w:pPr>
        <w:pStyle w:val="NormalHanging12a"/>
      </w:pPr>
      <w:r w:rsidRPr="000D7670">
        <w:t>6.</w:t>
      </w:r>
      <w:r w:rsidRPr="000D7670">
        <w:tab/>
        <w:t xml:space="preserve">painottaa, että erityisesti </w:t>
      </w:r>
      <w:proofErr w:type="spellStart"/>
      <w:r w:rsidRPr="000D7670">
        <w:t>kryptoalan</w:t>
      </w:r>
      <w:proofErr w:type="spellEnd"/>
      <w:r w:rsidRPr="000D7670">
        <w:t xml:space="preserve"> vipuvaikutusten ja sillä pankkialan ulkopuolisten rahoituslaitosten alaan olevien kytkösten vuoksi on tärkeää vahvistaa datavalmiuksia; kehottaa komissiota seuraamaan edelleen </w:t>
      </w:r>
      <w:proofErr w:type="spellStart"/>
      <w:r w:rsidRPr="000D7670">
        <w:t>kryptovarojen</w:t>
      </w:r>
      <w:proofErr w:type="spellEnd"/>
      <w:r w:rsidRPr="000D7670">
        <w:t xml:space="preserve"> ja rahoitusjärjestelmän välisiä yhteyksiä; toteaa, että vakuudettomat </w:t>
      </w:r>
      <w:proofErr w:type="spellStart"/>
      <w:r w:rsidRPr="000D7670">
        <w:t>kryptovarat</w:t>
      </w:r>
      <w:proofErr w:type="spellEnd"/>
      <w:r w:rsidRPr="000D7670">
        <w:t xml:space="preserve"> voivat olla alttiita lisäriskeille ja lisääntyvälle epävakaudelle;</w:t>
      </w:r>
    </w:p>
    <w:p w14:paraId="7BFDC6ED" w14:textId="77777777" w:rsidR="00605F89" w:rsidRPr="000D7670" w:rsidRDefault="00605F89" w:rsidP="006C7D5A">
      <w:pPr>
        <w:pStyle w:val="NormalHanging12a"/>
      </w:pPr>
      <w:r w:rsidRPr="000D7670">
        <w:lastRenderedPageBreak/>
        <w:t>7.</w:t>
      </w:r>
      <w:r w:rsidRPr="000D7670">
        <w:tab/>
        <w:t xml:space="preserve">kehottaa </w:t>
      </w:r>
      <w:proofErr w:type="spellStart"/>
      <w:r w:rsidRPr="000D7670">
        <w:t>EPV:tä</w:t>
      </w:r>
      <w:proofErr w:type="spellEnd"/>
      <w:r w:rsidRPr="000D7670">
        <w:t xml:space="preserve">, </w:t>
      </w:r>
      <w:proofErr w:type="spellStart"/>
      <w:r w:rsidRPr="000D7670">
        <w:t>ESMAa</w:t>
      </w:r>
      <w:proofErr w:type="spellEnd"/>
      <w:r w:rsidRPr="000D7670">
        <w:t xml:space="preserve">, </w:t>
      </w:r>
      <w:proofErr w:type="spellStart"/>
      <w:r w:rsidRPr="000D7670">
        <w:t>AMLAa</w:t>
      </w:r>
      <w:proofErr w:type="spellEnd"/>
      <w:r w:rsidRPr="000D7670">
        <w:t xml:space="preserve">, Euroopan vakuutus- ja lisäeläkeviranomaista, kansallisia toimivaltaisia viranomaisia, EKP:tä ja </w:t>
      </w:r>
      <w:proofErr w:type="spellStart"/>
      <w:r w:rsidRPr="000D7670">
        <w:t>EJRK:ta</w:t>
      </w:r>
      <w:proofErr w:type="spellEnd"/>
      <w:r w:rsidRPr="000D7670">
        <w:t xml:space="preserve"> vahvistamaan merkittäviä monialakonserneja koskevaa valvontavuoropuhelua; korostaa, että </w:t>
      </w:r>
      <w:proofErr w:type="spellStart"/>
      <w:r w:rsidRPr="000D7670">
        <w:t>MiCA</w:t>
      </w:r>
      <w:proofErr w:type="spellEnd"/>
      <w:r w:rsidRPr="000D7670">
        <w:t>-asetuksen poliittinen kehys on yhdenmukaistettava merkittävien pankkialan ulkopuolisten monialakonsernien osalta;</w:t>
      </w:r>
    </w:p>
    <w:p w14:paraId="51C570F3" w14:textId="77777777" w:rsidR="00605F89" w:rsidRPr="000D7670" w:rsidRDefault="00605F89" w:rsidP="006C7D5A">
      <w:pPr>
        <w:pStyle w:val="NormalHanging12a"/>
      </w:pPr>
      <w:r w:rsidRPr="000D7670">
        <w:t>8.</w:t>
      </w:r>
      <w:r w:rsidRPr="000D7670">
        <w:tab/>
        <w:t xml:space="preserve">toteaa, että hajautetun tilikirjan teknologioiden myötä finanssivalvojien on otettava huomioon uusia teknologisia ja operatiivisia näkökohtia, kuten älysopimusten turvallisuuteen, hajautettujen verkkojen hallinnointiin, </w:t>
      </w:r>
      <w:proofErr w:type="spellStart"/>
      <w:r w:rsidRPr="000D7670">
        <w:t>kyberresilienssiin</w:t>
      </w:r>
      <w:proofErr w:type="spellEnd"/>
      <w:r w:rsidRPr="000D7670">
        <w:t xml:space="preserve"> ja operatiivisten riskien hallintaan liittyviä kysymyksiä; kehottaa valvontaviranomaisia kehittämään riittävää teknistä asiantuntemusta näiden kehittyvien markkinoiden infrastruktuurien ymmärtämistä ja tehokasta seuraamista varten;</w:t>
      </w:r>
    </w:p>
    <w:p w14:paraId="1E8B080D" w14:textId="77777777" w:rsidR="00605F89" w:rsidRPr="000D7670" w:rsidRDefault="00605F89" w:rsidP="006C7D5A">
      <w:pPr>
        <w:pStyle w:val="NormalHanging12a"/>
      </w:pPr>
      <w:r w:rsidRPr="000D7670">
        <w:t>9.</w:t>
      </w:r>
      <w:r w:rsidRPr="000D7670">
        <w:tab/>
        <w:t xml:space="preserve">pitää huolestuttavana, että </w:t>
      </w:r>
      <w:proofErr w:type="spellStart"/>
      <w:r w:rsidRPr="000D7670">
        <w:t>kryptovaroja</w:t>
      </w:r>
      <w:proofErr w:type="spellEnd"/>
      <w:r w:rsidRPr="000D7670">
        <w:t xml:space="preserve"> käytetään rahanpesun ja terrorismin rahoituksen torjuntaa koskevien säännösten ja seuraamusten kiertämiseen; korostaa, että on tärkeää vahvistaa valvontavälineitä, täytäntöönpanoa ja vaatimustenmukaisuusstandardeja, mukaan lukien tehokkaat selonottovelvollisuutta koskevat standardit ja maksujen valvonta, jotta voidaan puuttua rahanpesun ja terrorismin rahoituksen torjuntaan liittyviin riskeihin; korostaa, että tutkintaviranomaisten on tärkeää käyttää </w:t>
      </w:r>
      <w:proofErr w:type="spellStart"/>
      <w:r w:rsidRPr="000D7670">
        <w:t>kryptovarojen</w:t>
      </w:r>
      <w:proofErr w:type="spellEnd"/>
      <w:r w:rsidRPr="000D7670">
        <w:t xml:space="preserve"> taustalla olevaa teknologiaa </w:t>
      </w:r>
      <w:proofErr w:type="spellStart"/>
      <w:r w:rsidRPr="000D7670">
        <w:t>kryptorikosten</w:t>
      </w:r>
      <w:proofErr w:type="spellEnd"/>
      <w:r w:rsidRPr="000D7670">
        <w:t xml:space="preserve"> ehkäisemiseksi ja tehdä keskenään yhteistyötä havaittujen tai ilmoitettujen laittomien liiketoimien estämiseksi;</w:t>
      </w:r>
    </w:p>
    <w:p w14:paraId="56C0922B" w14:textId="77777777" w:rsidR="00605F89" w:rsidRPr="000D7670" w:rsidRDefault="00605F89" w:rsidP="006C7D5A">
      <w:pPr>
        <w:pStyle w:val="NormalHanging12a"/>
      </w:pPr>
      <w:r w:rsidRPr="000D7670">
        <w:t>10.</w:t>
      </w:r>
      <w:r w:rsidRPr="000D7670">
        <w:tab/>
        <w:t xml:space="preserve">panee merkille, että on luotu sellaisia hybridituotteita, joissa yhdistetään </w:t>
      </w:r>
      <w:proofErr w:type="spellStart"/>
      <w:r w:rsidRPr="000D7670">
        <w:t>kryptovarojen</w:t>
      </w:r>
      <w:proofErr w:type="spellEnd"/>
      <w:r w:rsidRPr="000D7670">
        <w:t xml:space="preserve"> ja perinteisten rahoitusvälineiden ominaisuuksia, mikä voi aiheuttaa oikeudellista epävarmuutta;</w:t>
      </w:r>
    </w:p>
    <w:p w14:paraId="34B46559" w14:textId="77777777" w:rsidR="00605F89" w:rsidRPr="000D7670" w:rsidRDefault="00605F89" w:rsidP="006C7D5A">
      <w:pPr>
        <w:pStyle w:val="Normal12a"/>
        <w:keepNext/>
      </w:pPr>
      <w:r w:rsidRPr="000D7670">
        <w:rPr>
          <w:b/>
          <w:i/>
        </w:rPr>
        <w:t xml:space="preserve">Rahoitusvälineiden </w:t>
      </w:r>
      <w:proofErr w:type="spellStart"/>
      <w:r w:rsidRPr="000D7670">
        <w:rPr>
          <w:b/>
          <w:i/>
        </w:rPr>
        <w:t>tokenisaatio</w:t>
      </w:r>
      <w:proofErr w:type="spellEnd"/>
    </w:p>
    <w:p w14:paraId="07A0C620" w14:textId="77777777" w:rsidR="00605F89" w:rsidRPr="000D7670" w:rsidRDefault="00605F89" w:rsidP="006C7D5A">
      <w:pPr>
        <w:pStyle w:val="NormalHanging12a"/>
      </w:pPr>
      <w:r w:rsidRPr="000D7670">
        <w:t>11.</w:t>
      </w:r>
      <w:r w:rsidRPr="000D7670">
        <w:tab/>
      </w:r>
      <w:r w:rsidRPr="000D7670">
        <w:t xml:space="preserve">toteaa, että asetuksen (EU) 2022/858 johdanto-osan 3 kappaleessa rahoitusvälineiden </w:t>
      </w:r>
      <w:proofErr w:type="spellStart"/>
      <w:r w:rsidRPr="000D7670">
        <w:t>tokenisaatio</w:t>
      </w:r>
      <w:proofErr w:type="spellEnd"/>
      <w:r w:rsidRPr="000D7670">
        <w:t xml:space="preserve"> määritellään digitaaliseksi rahoitusvälineiden arvon kirjaukseksi hajautettuihin tilikirjoihin tai perinteisten omaisuuserien liikkeellelaskuksi </w:t>
      </w:r>
      <w:proofErr w:type="spellStart"/>
      <w:r w:rsidRPr="000D7670">
        <w:t>tokenisoidussa</w:t>
      </w:r>
      <w:proofErr w:type="spellEnd"/>
      <w:r w:rsidRPr="000D7670">
        <w:t xml:space="preserve"> muodossa hajautettuun tilikirjaan perustuvaa liikkeeseenlaskua, tallentamista ja siirtämistä varten;</w:t>
      </w:r>
    </w:p>
    <w:p w14:paraId="3DDD7558" w14:textId="77777777" w:rsidR="00605F89" w:rsidRPr="000D7670" w:rsidRDefault="00605F89" w:rsidP="006C7D5A">
      <w:pPr>
        <w:pStyle w:val="NormalHanging12a"/>
      </w:pPr>
      <w:r w:rsidRPr="000D7670">
        <w:t>12.</w:t>
      </w:r>
      <w:r w:rsidRPr="000D7670">
        <w:tab/>
        <w:t xml:space="preserve">korostaa, että rahoitusvarojen </w:t>
      </w:r>
      <w:proofErr w:type="spellStart"/>
      <w:r w:rsidRPr="000D7670">
        <w:t>tokenisaatio</w:t>
      </w:r>
      <w:proofErr w:type="spellEnd"/>
      <w:r w:rsidRPr="000D7670">
        <w:t xml:space="preserve"> ei sinänsä muuta kyseisten varojen oikeudellista luonnetta tai keskeisiä taloudellisia ominaisuuksia; korostaa, että </w:t>
      </w:r>
      <w:proofErr w:type="spellStart"/>
      <w:r w:rsidRPr="000D7670">
        <w:t>tokenisoitujen</w:t>
      </w:r>
      <w:proofErr w:type="spellEnd"/>
      <w:r w:rsidRPr="000D7670">
        <w:t xml:space="preserve"> rahoitusvälineiden on annettava vastaavat oikeudet kuin perinteisten arvopapereiden, jotta estetään sääntelyerojen hyväksikäyttö ja turvataan sijoittajansuoja;</w:t>
      </w:r>
    </w:p>
    <w:p w14:paraId="73EB81E3" w14:textId="77777777" w:rsidR="00605F89" w:rsidRPr="000D7670" w:rsidRDefault="00605F89" w:rsidP="006C7D5A">
      <w:pPr>
        <w:pStyle w:val="NormalHanging12a"/>
      </w:pPr>
      <w:r w:rsidRPr="000D7670">
        <w:t>13.</w:t>
      </w:r>
      <w:r w:rsidRPr="000D7670">
        <w:tab/>
        <w:t xml:space="preserve">pitää myönteisenä </w:t>
      </w:r>
      <w:proofErr w:type="spellStart"/>
      <w:r w:rsidRPr="000D7670">
        <w:t>tokenisaation</w:t>
      </w:r>
      <w:proofErr w:type="spellEnd"/>
      <w:r w:rsidRPr="000D7670">
        <w:t xml:space="preserve"> potentiaalisia hyötyjä rahoitusvaroilla käytävälle kaupalle, kuten tehokkuuden ja avoimuuden lisääntyminen, vastapuoliriskin ja operatiivisten kustannusten pienentyminen, älysopimukset ja maksuvalmiuksien parantuminen osaomistuksen kautta, mutta toteaa, että sen haavoittuvuuksia olisi seurattava;</w:t>
      </w:r>
    </w:p>
    <w:p w14:paraId="2CE2E843" w14:textId="77777777" w:rsidR="00605F89" w:rsidRPr="000D7670" w:rsidRDefault="00605F89" w:rsidP="006C7D5A">
      <w:pPr>
        <w:pStyle w:val="NormalHanging12a"/>
      </w:pPr>
      <w:r w:rsidRPr="000D7670">
        <w:t>14.</w:t>
      </w:r>
      <w:r w:rsidRPr="000D7670">
        <w:tab/>
        <w:t xml:space="preserve">kehottaa komissiota helpottamaan </w:t>
      </w:r>
      <w:proofErr w:type="spellStart"/>
      <w:r w:rsidRPr="000D7670">
        <w:t>tokenisaatiota</w:t>
      </w:r>
      <w:proofErr w:type="spellEnd"/>
      <w:r w:rsidRPr="000D7670">
        <w:t xml:space="preserve"> ja kannustamaan siihen kaikissa rahoituspalveluissa, vaatimaan yhteentoimivuutta sekä ehkäisemään hajanaisuutta ylläpitämällä standardeja koko sisämarkkinoilla ja tarjoamalla infrastruktuuria;</w:t>
      </w:r>
    </w:p>
    <w:p w14:paraId="17F5237D" w14:textId="77777777" w:rsidR="00605F89" w:rsidRPr="000D7670" w:rsidRDefault="00605F89" w:rsidP="006C7D5A">
      <w:pPr>
        <w:pStyle w:val="NormalHanging12a"/>
      </w:pPr>
      <w:r w:rsidRPr="000D7670">
        <w:t>15.</w:t>
      </w:r>
      <w:r w:rsidRPr="000D7670">
        <w:tab/>
        <w:t xml:space="preserve">panee merkille EKP:n pyrkimykset toimittaa ratkaisuja, kuten infrastruktuuria, jolla tarjotaan tukkumaksuihin tarkoitetun digitaalisen keskuspankkirahan (CBDC) käytölle </w:t>
      </w:r>
      <w:r w:rsidRPr="000D7670">
        <w:lastRenderedPageBreak/>
        <w:t xml:space="preserve">vaihtoehto, joka mahdollistaa käteisvarojen ja muiden varojen toimituksen hajautetussa tilikirjassa ja täydentää </w:t>
      </w:r>
      <w:proofErr w:type="spellStart"/>
      <w:r w:rsidRPr="000D7670">
        <w:t>tokenisoituja</w:t>
      </w:r>
      <w:proofErr w:type="spellEnd"/>
      <w:r w:rsidRPr="000D7670">
        <w:t xml:space="preserve"> liikepankkitalletuksia ja </w:t>
      </w:r>
      <w:proofErr w:type="spellStart"/>
      <w:r w:rsidRPr="000D7670">
        <w:t>stablecoineja</w:t>
      </w:r>
      <w:proofErr w:type="spellEnd"/>
      <w:r w:rsidRPr="000D7670">
        <w:t>;</w:t>
      </w:r>
    </w:p>
    <w:p w14:paraId="325F4163" w14:textId="77777777" w:rsidR="00605F89" w:rsidRPr="000D7670" w:rsidRDefault="00605F89" w:rsidP="006C7D5A">
      <w:pPr>
        <w:pStyle w:val="NormalHanging12a"/>
      </w:pPr>
      <w:r w:rsidRPr="000D7670">
        <w:t>16.</w:t>
      </w:r>
      <w:r w:rsidRPr="000D7670">
        <w:tab/>
        <w:t xml:space="preserve">korostaa eurooppalaisten </w:t>
      </w:r>
      <w:proofErr w:type="spellStart"/>
      <w:r w:rsidRPr="000D7670">
        <w:t>tokenisoitujen</w:t>
      </w:r>
      <w:proofErr w:type="spellEnd"/>
      <w:r w:rsidRPr="000D7670">
        <w:t xml:space="preserve"> markkinoiden tarjoamia mahdollisuuksia maailmanlaajuisiin yhteyksiin; korostaa kansainvälisen yhteistyön merkitystä luokitteluperusteiden, -periaatteiden ja -standardien yhdenmukaistamisessa; ilmaisee tukensa BIS:n työlle </w:t>
      </w:r>
      <w:proofErr w:type="spellStart"/>
      <w:r w:rsidRPr="000D7670">
        <w:t>rajatylittävissä</w:t>
      </w:r>
      <w:proofErr w:type="spellEnd"/>
      <w:r w:rsidRPr="000D7670">
        <w:t xml:space="preserve"> maksuyhteistyöhankkeissa;</w:t>
      </w:r>
    </w:p>
    <w:p w14:paraId="0B5C37AD" w14:textId="77777777" w:rsidR="00605F89" w:rsidRPr="000D7670" w:rsidRDefault="00605F89" w:rsidP="006C7D5A">
      <w:pPr>
        <w:pStyle w:val="NormalHanging12a"/>
      </w:pPr>
      <w:r w:rsidRPr="000D7670">
        <w:t>17.</w:t>
      </w:r>
      <w:r w:rsidRPr="000D7670">
        <w:tab/>
        <w:t>suhtautuu myönteisesti meneillään olevaan keskusteluun DLT-pilottijärjestelmästä osana markkinoiden yhdentymistä ja valvontaa koskevaa pakettia;</w:t>
      </w:r>
    </w:p>
    <w:p w14:paraId="6BD0B0FA" w14:textId="77777777" w:rsidR="00605F89" w:rsidRPr="000D7670" w:rsidRDefault="00605F89" w:rsidP="006C7D5A">
      <w:pPr>
        <w:pStyle w:val="Normal12a"/>
        <w:keepNext/>
      </w:pPr>
      <w:proofErr w:type="spellStart"/>
      <w:r w:rsidRPr="000D7670">
        <w:rPr>
          <w:b/>
          <w:i/>
        </w:rPr>
        <w:t>Stablecoinit</w:t>
      </w:r>
      <w:proofErr w:type="spellEnd"/>
    </w:p>
    <w:p w14:paraId="40224B73" w14:textId="77777777" w:rsidR="00605F89" w:rsidRPr="000D7670" w:rsidRDefault="00605F89" w:rsidP="006C7D5A">
      <w:pPr>
        <w:pStyle w:val="NormalHanging12a"/>
      </w:pPr>
      <w:r w:rsidRPr="000D7670">
        <w:t>18.</w:t>
      </w:r>
      <w:r w:rsidRPr="000D7670">
        <w:tab/>
        <w:t xml:space="preserve">toteaa, että </w:t>
      </w:r>
      <w:proofErr w:type="spellStart"/>
      <w:r w:rsidRPr="000D7670">
        <w:t>MiCA</w:t>
      </w:r>
      <w:proofErr w:type="spellEnd"/>
      <w:r w:rsidRPr="000D7670">
        <w:t xml:space="preserve">-asetuksen oikeudellisessa kehyksessä </w:t>
      </w:r>
      <w:proofErr w:type="spellStart"/>
      <w:r w:rsidRPr="000D7670">
        <w:t>stablecoinit</w:t>
      </w:r>
      <w:proofErr w:type="spellEnd"/>
      <w:r w:rsidRPr="000D7670">
        <w:t xml:space="preserve"> voidaan jakaa kahteen luokkaan, jotka ovat </w:t>
      </w:r>
      <w:proofErr w:type="spellStart"/>
      <w:r w:rsidRPr="000D7670">
        <w:t>omaisuusreferenssitokenit</w:t>
      </w:r>
      <w:proofErr w:type="spellEnd"/>
      <w:r w:rsidRPr="000D7670">
        <w:t xml:space="preserve"> ja </w:t>
      </w:r>
      <w:proofErr w:type="spellStart"/>
      <w:r w:rsidRPr="000D7670">
        <w:t>sähkörahatokenit</w:t>
      </w:r>
      <w:proofErr w:type="spellEnd"/>
      <w:r w:rsidRPr="000D7670">
        <w:t>;</w:t>
      </w:r>
    </w:p>
    <w:p w14:paraId="7EB55284" w14:textId="77777777" w:rsidR="00605F89" w:rsidRDefault="00605F89" w:rsidP="006C7D5A">
      <w:pPr>
        <w:pStyle w:val="NormalHanging12a"/>
      </w:pPr>
      <w:r w:rsidRPr="000D7670">
        <w:t>19.</w:t>
      </w:r>
      <w:r w:rsidRPr="000D7670">
        <w:tab/>
        <w:t xml:space="preserve">toteaa, että </w:t>
      </w:r>
      <w:proofErr w:type="spellStart"/>
      <w:r w:rsidRPr="000D7670">
        <w:t>stablecoinit</w:t>
      </w:r>
      <w:proofErr w:type="spellEnd"/>
      <w:r w:rsidRPr="000D7670">
        <w:t xml:space="preserve"> ovat yksityisen rahan luomisen muoto ja että niiden taloudellinen tehtävä muistuttaa valuuttakurssikiinnityksiä, rahamarkkinarahastoja ja kapeita pankkeja; korostaa kuitenkin, että </w:t>
      </w:r>
      <w:proofErr w:type="spellStart"/>
      <w:r w:rsidRPr="000D7670">
        <w:t>MiCA</w:t>
      </w:r>
      <w:proofErr w:type="spellEnd"/>
      <w:r w:rsidRPr="000D7670">
        <w:t xml:space="preserve">-asetuksessa kielletään </w:t>
      </w:r>
      <w:proofErr w:type="spellStart"/>
      <w:r w:rsidRPr="000D7670">
        <w:t>sähkörahatokenien</w:t>
      </w:r>
      <w:proofErr w:type="spellEnd"/>
      <w:r w:rsidRPr="000D7670">
        <w:t xml:space="preserve"> liikkeeseenlaskijoita ja </w:t>
      </w:r>
      <w:proofErr w:type="spellStart"/>
      <w:r w:rsidRPr="000D7670">
        <w:t>kryptovarapalvelun</w:t>
      </w:r>
      <w:proofErr w:type="spellEnd"/>
      <w:r w:rsidRPr="000D7670">
        <w:t xml:space="preserve"> tarjoajia myöntämästä suoraan tai välillisesti korkoa </w:t>
      </w:r>
      <w:proofErr w:type="spellStart"/>
      <w:r w:rsidRPr="000D7670">
        <w:t>sähkörahatokenien</w:t>
      </w:r>
      <w:proofErr w:type="spellEnd"/>
      <w:r w:rsidRPr="000D7670">
        <w:t xml:space="preserve"> osalta ja että </w:t>
      </w:r>
      <w:proofErr w:type="spellStart"/>
      <w:r w:rsidRPr="000D7670">
        <w:t>stablecoineilla</w:t>
      </w:r>
      <w:proofErr w:type="spellEnd"/>
      <w:r w:rsidRPr="000D7670">
        <w:t xml:space="preserve"> ei ole suoraa pääsyä keskuspankkeihin ja niiden haltijoihin eivätkä ne kuulu talletussuojajärjestelmien piiriin; toteaa, että </w:t>
      </w:r>
      <w:proofErr w:type="spellStart"/>
      <w:r w:rsidRPr="000D7670">
        <w:t>stablecoineihin</w:t>
      </w:r>
      <w:proofErr w:type="spellEnd"/>
      <w:r w:rsidRPr="000D7670">
        <w:t xml:space="preserve"> liittyy devalvaation tai kelluttamisen ja </w:t>
      </w:r>
      <w:proofErr w:type="spellStart"/>
      <w:r w:rsidRPr="000D7670">
        <w:t>disintermediaation</w:t>
      </w:r>
      <w:proofErr w:type="spellEnd"/>
      <w:r w:rsidRPr="000D7670">
        <w:t xml:space="preserve"> riski;</w:t>
      </w:r>
    </w:p>
    <w:p w14:paraId="34870CF2" w14:textId="04290060" w:rsidR="00FA256F" w:rsidRPr="000D7670" w:rsidRDefault="00FA256F" w:rsidP="006C7D5A">
      <w:pPr>
        <w:pStyle w:val="NormalHanging12a"/>
      </w:pPr>
      <w:r>
        <w:t>20.</w:t>
      </w:r>
      <w:r w:rsidRPr="00FA256F">
        <w:rPr>
          <w:bCs/>
          <w:iCs/>
        </w:rPr>
        <w:tab/>
      </w:r>
      <w:r w:rsidRPr="00B07771">
        <w:rPr>
          <w:bCs/>
          <w:iCs/>
        </w:rPr>
        <w:t xml:space="preserve">panee huolestuneena merkille Yhdysvaltain dollarin määräisten </w:t>
      </w:r>
      <w:proofErr w:type="spellStart"/>
      <w:r w:rsidRPr="00B07771">
        <w:rPr>
          <w:bCs/>
          <w:iCs/>
        </w:rPr>
        <w:t>stablecoinien</w:t>
      </w:r>
      <w:proofErr w:type="spellEnd"/>
      <w:r w:rsidRPr="00B07771">
        <w:rPr>
          <w:bCs/>
          <w:iCs/>
        </w:rPr>
        <w:t xml:space="preserve"> jatkuvan nopean kasvun ja hallitsevan aseman, mikä voi heikentää EU:n rahapoliittista suvereniteettia, lisätä rahoitusvakauteen kohdistuvia riskejä, haitata rahapolitiikan välittymistä ja vahvistaa ulkoisia maksuriippuvuuksia;</w:t>
      </w:r>
    </w:p>
    <w:p w14:paraId="0D2B86B2" w14:textId="11C12C55" w:rsidR="00605F89" w:rsidRPr="000D7670" w:rsidRDefault="00FA256F" w:rsidP="006C7D5A">
      <w:pPr>
        <w:pStyle w:val="NormalHanging12a"/>
      </w:pPr>
      <w:r>
        <w:t>21</w:t>
      </w:r>
      <w:r w:rsidR="00605F89" w:rsidRPr="000D7670">
        <w:t>.</w:t>
      </w:r>
      <w:r w:rsidR="00605F89" w:rsidRPr="000D7670">
        <w:tab/>
        <w:t xml:space="preserve">suhtautuu myönteisesti euromääräisten </w:t>
      </w:r>
      <w:proofErr w:type="spellStart"/>
      <w:r w:rsidR="00605F89" w:rsidRPr="000D7670">
        <w:t>sähkörahatokenien</w:t>
      </w:r>
      <w:proofErr w:type="spellEnd"/>
      <w:r w:rsidR="00605F89" w:rsidRPr="000D7670">
        <w:t xml:space="preserve"> käyttöönottoon </w:t>
      </w:r>
      <w:proofErr w:type="spellStart"/>
      <w:r w:rsidR="00605F89" w:rsidRPr="000D7670">
        <w:t>MiCA</w:t>
      </w:r>
      <w:proofErr w:type="spellEnd"/>
      <w:r w:rsidR="00605F89" w:rsidRPr="000D7670">
        <w:t xml:space="preserve">-asetuksen nojalla ja kannustaa kehittämään niitä EU:n maksuinnovaatioiden, EU:n rahoitusmarkkinoiden kilpailukyvyn ja euron kansainvälisen aseman tukemiseksi muun muassa nopeampien ja edullisempien rajatylittävien maksujen avulla, jotka täydentävät </w:t>
      </w:r>
      <w:proofErr w:type="spellStart"/>
      <w:r w:rsidR="00605F89" w:rsidRPr="000D7670">
        <w:t>tokenisoituja</w:t>
      </w:r>
      <w:proofErr w:type="spellEnd"/>
      <w:r w:rsidR="00605F89" w:rsidRPr="000D7670">
        <w:t xml:space="preserve"> talletuksia ja tukkumaksuihin tarkoitettua digitaalista keskuspankkirahaa; korostaa yhdenmukaistettujen likviditeettiriski- ja kriisinhallintakehysten merkitystä, mukaan lukien lunastusjärjestelyt ja omaisuuserien erottelua koskevat vaatimukset; panee merkille EKP:n katsovan, että muut kuin euromääräiset </w:t>
      </w:r>
      <w:proofErr w:type="spellStart"/>
      <w:r w:rsidR="00605F89" w:rsidRPr="000D7670">
        <w:t>stablecoinit</w:t>
      </w:r>
      <w:proofErr w:type="spellEnd"/>
      <w:r w:rsidR="00605F89" w:rsidRPr="000D7670">
        <w:t xml:space="preserve"> voivat aiheuttaa riskejä rahapolitiikalle, jos niiden käyttö yleistyy; varoittaa käänteistä asiakkaiden hankintaa koskevan lausekkeen väärinkäytöstä;</w:t>
      </w:r>
    </w:p>
    <w:p w14:paraId="59DB0E23" w14:textId="3ACE8621" w:rsidR="00605F89" w:rsidRPr="000D7670" w:rsidRDefault="00FA256F" w:rsidP="006C7D5A">
      <w:pPr>
        <w:pStyle w:val="NormalHanging12a"/>
      </w:pPr>
      <w:r>
        <w:t>22</w:t>
      </w:r>
      <w:r w:rsidR="00605F89" w:rsidRPr="000D7670">
        <w:t>.</w:t>
      </w:r>
      <w:r w:rsidR="00605F89" w:rsidRPr="000D7670">
        <w:tab/>
        <w:t xml:space="preserve">toteaa, että EU:n lainsäädännössä tarvitaan oikeusvarmuutta sellaisen tilanteen varalle, jossa EU:n yhteisö ja EU:n ulkopuolinen yhteisö laskisivat liikkeeseen useita </w:t>
      </w:r>
      <w:proofErr w:type="spellStart"/>
      <w:r w:rsidR="00605F89" w:rsidRPr="000D7670">
        <w:t>stablecoineja</w:t>
      </w:r>
      <w:proofErr w:type="spellEnd"/>
      <w:r w:rsidR="00605F89" w:rsidRPr="000D7670">
        <w:t xml:space="preserve"> ja jossa molempien yhteisöjen liikkeeseen laskemat digitaaliset </w:t>
      </w:r>
      <w:proofErr w:type="spellStart"/>
      <w:r w:rsidR="00605F89" w:rsidRPr="000D7670">
        <w:t>stablecoinit</w:t>
      </w:r>
      <w:proofErr w:type="spellEnd"/>
      <w:r w:rsidR="00605F89" w:rsidRPr="000D7670">
        <w:t xml:space="preserve"> olisivat täysin korvattavia ja mahdottomia erottaa toisistaan; muistuttaa </w:t>
      </w:r>
      <w:proofErr w:type="spellStart"/>
      <w:r w:rsidR="00605F89" w:rsidRPr="000D7670">
        <w:t>EJRK:n</w:t>
      </w:r>
      <w:proofErr w:type="spellEnd"/>
      <w:r w:rsidR="00605F89" w:rsidRPr="000D7670">
        <w:t xml:space="preserve"> varoittaneen, että useat liikkeeseenlaskut voivat olla häiriöiden leviämiskanava; korostaa tarvetta varmistaa, että tällaisten järjestelmien toiminta EU:ssa perustuu oikeusvarmuuteen ja vankkaan sääntelykehykseen, joka tarjoaa vahvat vakavaraisuustakeet, toimivat yhteistyöjärjestelyt ja tehostetut kriisinhallintaprotokollat; korostaa, että on tärkeää edistää globaalien </w:t>
      </w:r>
      <w:proofErr w:type="spellStart"/>
      <w:r w:rsidR="00605F89" w:rsidRPr="000D7670">
        <w:t>stablecoinien</w:t>
      </w:r>
      <w:proofErr w:type="spellEnd"/>
      <w:r w:rsidR="00605F89" w:rsidRPr="000D7670">
        <w:t xml:space="preserve"> sääntelyn ja valvonnan kansainvälistä koordinointia, jotta voidaan kehittää kansainvälisiä standardeja;</w:t>
      </w:r>
    </w:p>
    <w:p w14:paraId="43BA4CC0" w14:textId="1FFC843F" w:rsidR="00605F89" w:rsidRPr="000D7670" w:rsidRDefault="00FA256F" w:rsidP="006C7D5A">
      <w:pPr>
        <w:pStyle w:val="NormalHanging12a"/>
      </w:pPr>
      <w:r>
        <w:lastRenderedPageBreak/>
        <w:t>23</w:t>
      </w:r>
      <w:r w:rsidR="00605F89" w:rsidRPr="000D7670">
        <w:t>.</w:t>
      </w:r>
      <w:r w:rsidR="00605F89" w:rsidRPr="000D7670">
        <w:tab/>
        <w:t>on tyytyväinen maksupalveludirektiivistä</w:t>
      </w:r>
      <w:r w:rsidR="006C7D5A" w:rsidRPr="000D7670">
        <w:rPr>
          <w:rStyle w:val="FootnoteReference"/>
        </w:rPr>
        <w:footnoteReference w:id="6"/>
      </w:r>
      <w:r w:rsidR="00605F89" w:rsidRPr="000D7670">
        <w:t xml:space="preserve"> ja maksupalveluasetuksesta</w:t>
      </w:r>
      <w:r w:rsidR="006C7D5A" w:rsidRPr="000D7670">
        <w:rPr>
          <w:rStyle w:val="FootnoteReference"/>
        </w:rPr>
        <w:footnoteReference w:id="7"/>
      </w:r>
      <w:r w:rsidR="00605F89" w:rsidRPr="000D7670">
        <w:t xml:space="preserve"> annettujen ehdotusten osalta saavutettuun alustavaan yhteisymmärrykseen ja </w:t>
      </w:r>
      <w:proofErr w:type="spellStart"/>
      <w:r w:rsidR="00605F89" w:rsidRPr="000D7670">
        <w:t>MiCA</w:t>
      </w:r>
      <w:proofErr w:type="spellEnd"/>
      <w:r w:rsidR="00605F89" w:rsidRPr="000D7670">
        <w:t xml:space="preserve">-asetuksen nojalla jo toimiluvan saaneille </w:t>
      </w:r>
      <w:proofErr w:type="spellStart"/>
      <w:r w:rsidR="00605F89" w:rsidRPr="000D7670">
        <w:t>kryptovarapalvelujen</w:t>
      </w:r>
      <w:proofErr w:type="spellEnd"/>
      <w:r w:rsidR="00605F89" w:rsidRPr="000D7670">
        <w:t xml:space="preserve"> tarjoajille tarjottavaan yksinkertaistettuun toimiluparatkaisuun, ja toteaa, että näin pyritään välttämään tarpeetonta sääntelyn päällekkäisyyttä, johon sovellettaisiin yksinkertaistettua menettelyä, ja säilytetään samalla asianmukainen riskinvalvonta ja tarjotaan ainoastaan hakemuksessa eriteltyjä palveluja;</w:t>
      </w:r>
    </w:p>
    <w:p w14:paraId="5D1F3B23" w14:textId="77777777" w:rsidR="00605F89" w:rsidRPr="000D7670" w:rsidRDefault="00605F89" w:rsidP="006C7D5A">
      <w:pPr>
        <w:pStyle w:val="Normal12a"/>
        <w:keepNext/>
      </w:pPr>
      <w:r w:rsidRPr="000D7670">
        <w:rPr>
          <w:b/>
          <w:i/>
        </w:rPr>
        <w:t>Monialaiset näkökohdat</w:t>
      </w:r>
    </w:p>
    <w:p w14:paraId="122CA24E" w14:textId="61258DF2" w:rsidR="00605F89" w:rsidRPr="000D7670" w:rsidRDefault="00FA256F" w:rsidP="006C7D5A">
      <w:pPr>
        <w:pStyle w:val="NormalHanging12a"/>
      </w:pPr>
      <w:r>
        <w:t>24</w:t>
      </w:r>
      <w:r w:rsidR="00605F89" w:rsidRPr="000D7670">
        <w:t>.</w:t>
      </w:r>
      <w:r w:rsidR="00605F89" w:rsidRPr="000D7670">
        <w:tab/>
        <w:t>korostaa, että yhteentoimivuus on ratkaisevan tärkeää digitaalisella rahoitusalalla ja edellyttää esimerkiksi siirrettävää henkilöllisyyttä ja todennettavissa olevia tunnistetietoja, jotka ovat verkkojen välisen markkinainfrastruktuurin olennaisia osatekijöitä; korostaa, että oikeushenkilötunnuksen tai todennettavan oikeushenkilötunnuksen tyyppistä toimintamallia olisi tarkasteltava infrastruktuurin tason välineinä; kehottaa komissiota tekemään yhteistyötä eurooppalaisten ja kansainvälisten standardointiorganisaatioiden kanssa kehittääkseen yhteisiä teknisiä standardeja ja protokollia digitaalisille varoille, älysopimuksille ja digitaalisille identiteeteille;</w:t>
      </w:r>
    </w:p>
    <w:p w14:paraId="555B5616" w14:textId="78C37373" w:rsidR="00605F89" w:rsidRPr="000D7670" w:rsidRDefault="00FA256F" w:rsidP="006C7D5A">
      <w:pPr>
        <w:pStyle w:val="NormalHanging12a"/>
      </w:pPr>
      <w:r>
        <w:t>25</w:t>
      </w:r>
      <w:r w:rsidR="00605F89" w:rsidRPr="000D7670">
        <w:t>.</w:t>
      </w:r>
      <w:r w:rsidR="00605F89" w:rsidRPr="000D7670">
        <w:tab/>
        <w:t>suhtautuu myönteisesti meneillään oleviin keskusteluihin digitaalisesta eurosta, mukaan lukien valmistelut sen käyttöön sekä vähittäis- että tukkurahoitustapahtumissa, ja tukee meneillään olevia lyhyen aikavälin DLT-hankkeita (</w:t>
      </w:r>
      <w:proofErr w:type="spellStart"/>
      <w:r w:rsidR="00605F89" w:rsidRPr="000D7670">
        <w:t>Pontes</w:t>
      </w:r>
      <w:proofErr w:type="spellEnd"/>
      <w:r w:rsidR="00605F89" w:rsidRPr="000D7670">
        <w:t>) ja pitkän aikavälin DLT-hankkeita (Appia), jotka koskevat tukkurahoitustapahtumien keskuspankkirahassa suoritettavia toimituksia; kehottaa komissiota ja EKP:tä varmistamaan, että tulevat digitaalisen euron ratkaisut suunnitellaan siten, että ne edistävät yhteentoimivuutta DLT-infrastruktuurin kanssa ja varmistamaan, että ne täydentävät käteisen rahan käyttöä;</w:t>
      </w:r>
    </w:p>
    <w:p w14:paraId="2C027C56" w14:textId="7D30EA40" w:rsidR="00605F89" w:rsidRPr="000D7670" w:rsidRDefault="00FA256F" w:rsidP="006C7D5A">
      <w:pPr>
        <w:pStyle w:val="NormalHanging12a"/>
      </w:pPr>
      <w:r>
        <w:t>26</w:t>
      </w:r>
      <w:r w:rsidR="00605F89" w:rsidRPr="000D7670">
        <w:t>.</w:t>
      </w:r>
      <w:r w:rsidR="00605F89" w:rsidRPr="000D7670">
        <w:tab/>
        <w:t>pitää valitettavana EU:n riippuvuutta EU:n ulkopuolisista palveluntarjoajista DLT-infrastruktuurin osalta; korostaa, että Yhdysvaltain hallinnon tapaa käsitellä digitaalisia varoja olisi seurattava tarkasti;</w:t>
      </w:r>
    </w:p>
    <w:p w14:paraId="7668A9C2" w14:textId="5897939B" w:rsidR="00605F89" w:rsidRPr="000D7670" w:rsidRDefault="00FA256F" w:rsidP="006C7D5A">
      <w:pPr>
        <w:pStyle w:val="NormalHanging12a"/>
      </w:pPr>
      <w:r>
        <w:t>27</w:t>
      </w:r>
      <w:r w:rsidR="00605F89" w:rsidRPr="000D7670">
        <w:t>.</w:t>
      </w:r>
      <w:r w:rsidR="00605F89" w:rsidRPr="000D7670">
        <w:tab/>
        <w:t xml:space="preserve">panee merkille meneillään olevat keskustelut </w:t>
      </w:r>
      <w:proofErr w:type="spellStart"/>
      <w:r w:rsidR="00605F89" w:rsidRPr="000D7670">
        <w:t>kryptovarapalvelun</w:t>
      </w:r>
      <w:proofErr w:type="spellEnd"/>
      <w:r w:rsidR="00605F89" w:rsidRPr="000D7670">
        <w:t xml:space="preserve"> tarjoajien valvonnasta ja </w:t>
      </w:r>
      <w:proofErr w:type="spellStart"/>
      <w:r w:rsidR="00605F89" w:rsidRPr="000D7670">
        <w:t>ESMAn</w:t>
      </w:r>
      <w:proofErr w:type="spellEnd"/>
      <w:r w:rsidR="00605F89" w:rsidRPr="000D7670">
        <w:t xml:space="preserve"> roolista osana markkinoiden yhdentymistä ja valvontaa koskevaa pakettia;</w:t>
      </w:r>
    </w:p>
    <w:p w14:paraId="2845725C" w14:textId="77777777" w:rsidR="00605F89" w:rsidRPr="000D7670" w:rsidRDefault="00605F89" w:rsidP="006C7D5A">
      <w:pPr>
        <w:pStyle w:val="NormalCenter12a"/>
      </w:pPr>
      <w:r w:rsidRPr="000D7670">
        <w:t>°</w:t>
      </w:r>
    </w:p>
    <w:p w14:paraId="0B410912" w14:textId="77777777" w:rsidR="00605F89" w:rsidRPr="000D7670" w:rsidRDefault="00605F89" w:rsidP="006C7D5A">
      <w:pPr>
        <w:pStyle w:val="NormalCenter12a"/>
      </w:pPr>
      <w:r w:rsidRPr="000D7670">
        <w:t>°</w:t>
      </w:r>
      <w:r w:rsidRPr="000D7670">
        <w:tab/>
        <w:t>°</w:t>
      </w:r>
    </w:p>
    <w:p w14:paraId="59059C41" w14:textId="4A0692F9" w:rsidR="008B02EF" w:rsidRPr="008B02EF" w:rsidRDefault="00FA256F" w:rsidP="006C7D5A">
      <w:pPr>
        <w:pStyle w:val="NormalHanging12a"/>
      </w:pPr>
      <w:r>
        <w:t>28</w:t>
      </w:r>
      <w:r w:rsidR="00605F89" w:rsidRPr="000D7670">
        <w:t>.</w:t>
      </w:r>
      <w:r w:rsidR="00605F89" w:rsidRPr="000D7670">
        <w:tab/>
        <w:t>kehottaa puhemiestä välittämään tämän päätöslauselman neuvostolle ja komissiolle.</w:t>
      </w:r>
    </w:p>
    <w:sectPr w:rsidR="008B02EF" w:rsidRPr="008B02EF" w:rsidSect="008B02EF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F6EB4" w14:textId="77777777" w:rsidR="00CB6BB8" w:rsidRPr="008B02EF" w:rsidRDefault="00CB6BB8">
      <w:r w:rsidRPr="008B02EF">
        <w:separator/>
      </w:r>
    </w:p>
  </w:endnote>
  <w:endnote w:type="continuationSeparator" w:id="0">
    <w:p w14:paraId="2D00A1A3" w14:textId="77777777" w:rsidR="00CB6BB8" w:rsidRPr="008B02EF" w:rsidRDefault="00CB6BB8">
      <w:r w:rsidRPr="008B02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5A995" w14:textId="77777777" w:rsidR="00CB6BB8" w:rsidRPr="008B02EF" w:rsidRDefault="00CB6BB8">
      <w:r w:rsidRPr="008B02EF">
        <w:separator/>
      </w:r>
    </w:p>
  </w:footnote>
  <w:footnote w:type="continuationSeparator" w:id="0">
    <w:p w14:paraId="1D9A630D" w14:textId="77777777" w:rsidR="00CB6BB8" w:rsidRPr="008B02EF" w:rsidRDefault="00CB6BB8">
      <w:r w:rsidRPr="008B02EF">
        <w:continuationSeparator/>
      </w:r>
    </w:p>
  </w:footnote>
  <w:footnote w:id="1">
    <w:p w14:paraId="3E6ABF1A" w14:textId="7708BDD2" w:rsidR="006C7D5A" w:rsidRPr="008B02EF" w:rsidRDefault="006C7D5A" w:rsidP="006C7D5A">
      <w:pPr>
        <w:pStyle w:val="FootnoteText"/>
        <w:keepLines w:val="0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8B02EF">
        <w:rPr>
          <w:sz w:val="24"/>
          <w:lang w:val="fi-FI"/>
        </w:rPr>
        <w:t xml:space="preserve"> </w:t>
      </w:r>
      <w:r w:rsidRPr="008B02EF">
        <w:rPr>
          <w:sz w:val="24"/>
          <w:lang w:val="fi-FI"/>
        </w:rPr>
        <w:tab/>
        <w:t>Kansainvälinen valuuttarahasto, ”</w:t>
      </w:r>
      <w:proofErr w:type="spellStart"/>
      <w:r w:rsidRPr="008B02EF">
        <w:rPr>
          <w:sz w:val="24"/>
          <w:lang w:val="fi-FI"/>
        </w:rPr>
        <w:t>Stablecoins</w:t>
      </w:r>
      <w:proofErr w:type="spellEnd"/>
      <w:r w:rsidRPr="008B02EF">
        <w:rPr>
          <w:sz w:val="24"/>
          <w:lang w:val="fi-FI"/>
        </w:rPr>
        <w:t xml:space="preserve"> and </w:t>
      </w:r>
      <w:proofErr w:type="spellStart"/>
      <w:r w:rsidRPr="008B02EF">
        <w:rPr>
          <w:sz w:val="24"/>
          <w:lang w:val="fi-FI"/>
        </w:rPr>
        <w:t>the</w:t>
      </w:r>
      <w:proofErr w:type="spellEnd"/>
      <w:r w:rsidRPr="008B02EF">
        <w:rPr>
          <w:sz w:val="24"/>
          <w:lang w:val="fi-FI"/>
        </w:rPr>
        <w:t xml:space="preserve"> </w:t>
      </w:r>
      <w:proofErr w:type="spellStart"/>
      <w:r w:rsidRPr="008B02EF">
        <w:rPr>
          <w:sz w:val="24"/>
          <w:lang w:val="fi-FI"/>
        </w:rPr>
        <w:t>future</w:t>
      </w:r>
      <w:proofErr w:type="spellEnd"/>
      <w:r w:rsidRPr="008B02EF">
        <w:rPr>
          <w:sz w:val="24"/>
          <w:lang w:val="fi-FI"/>
        </w:rPr>
        <w:t xml:space="preserve"> of finance”, Finance &amp; </w:t>
      </w:r>
      <w:proofErr w:type="spellStart"/>
      <w:r w:rsidRPr="008B02EF">
        <w:rPr>
          <w:sz w:val="24"/>
          <w:lang w:val="fi-FI"/>
        </w:rPr>
        <w:t>Development</w:t>
      </w:r>
      <w:proofErr w:type="spellEnd"/>
      <w:r w:rsidRPr="008B02EF">
        <w:rPr>
          <w:sz w:val="24"/>
          <w:lang w:val="fi-FI"/>
        </w:rPr>
        <w:t xml:space="preserve">, nide 62, numero 3, 3. syyskuuta 2025, Kansainvälinen valuuttarahasto, Washington, </w:t>
      </w:r>
      <w:hyperlink r:id="rId1" w:tgtFrame="https://doi.org/10.5089/9798400297649.022" w:history="1">
        <w:r w:rsidRPr="008B02EF">
          <w:rPr>
            <w:rStyle w:val="Hyperlink"/>
            <w:sz w:val="24"/>
            <w:lang w:val="fi-FI"/>
          </w:rPr>
          <w:t>https://doi.org/10.5089/9798400297649.022</w:t>
        </w:r>
      </w:hyperlink>
      <w:r w:rsidRPr="008B02EF">
        <w:rPr>
          <w:sz w:val="24"/>
          <w:lang w:val="fi-FI"/>
        </w:rPr>
        <w:t>.</w:t>
      </w:r>
    </w:p>
  </w:footnote>
  <w:footnote w:id="2">
    <w:p w14:paraId="70FFBB4A" w14:textId="6589168E" w:rsidR="006C7D5A" w:rsidRPr="008B02EF" w:rsidRDefault="006C7D5A" w:rsidP="006C7D5A">
      <w:pPr>
        <w:pStyle w:val="FootnoteText"/>
        <w:keepLines w:val="0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8B02EF">
        <w:rPr>
          <w:sz w:val="24"/>
          <w:lang w:val="fi-FI"/>
        </w:rPr>
        <w:t xml:space="preserve"> </w:t>
      </w:r>
      <w:r w:rsidRPr="008B02EF">
        <w:rPr>
          <w:sz w:val="24"/>
          <w:lang w:val="fi-FI"/>
        </w:rPr>
        <w:tab/>
        <w:t>OECD:n liiketoiminta- ja rahoituspolitiikan toimintapoliittiset asiakirjat, nro 75.</w:t>
      </w:r>
    </w:p>
  </w:footnote>
  <w:footnote w:id="3">
    <w:p w14:paraId="56E73CC9" w14:textId="2FC77004" w:rsidR="006C7D5A" w:rsidRPr="008B02EF" w:rsidRDefault="006C7D5A" w:rsidP="006C7D5A">
      <w:pPr>
        <w:pStyle w:val="FootnoteText"/>
        <w:keepLines w:val="0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8B02EF">
        <w:rPr>
          <w:sz w:val="24"/>
          <w:lang w:val="fi-FI"/>
        </w:rPr>
        <w:t xml:space="preserve"> </w:t>
      </w:r>
      <w:r w:rsidRPr="008B02EF">
        <w:rPr>
          <w:sz w:val="24"/>
          <w:lang w:val="fi-FI"/>
        </w:rPr>
        <w:tab/>
        <w:t xml:space="preserve">Euroopan parlamentin ja neuvoston asetus (EU) 2022/858, annettu 30 päivänä toukokuuta 2022, hajautetun tilikirjan teknologiaan perustuvien markkinainfrastruktuurien pilottijärjestelmästä ja asetusten (EU) N:o 600/2014 ja (EU) N:o 909/2014 sekä direktiivin 2014/65/EU muuttamisesta (EUVL L 151, 2.6.2022, s. 1, ELI: </w:t>
      </w:r>
      <w:hyperlink r:id="rId2" w:tgtFrame="http://data.europa.eu/eli/reg/2022/858/oj" w:history="1">
        <w:r w:rsidRPr="008B02EF">
          <w:rPr>
            <w:rStyle w:val="Hyperlink"/>
            <w:sz w:val="24"/>
            <w:lang w:val="fi-FI"/>
          </w:rPr>
          <w:t>http://data.europa.eu/eli/reg/2022/858/oj)</w:t>
        </w:r>
      </w:hyperlink>
      <w:r w:rsidRPr="008B02EF">
        <w:rPr>
          <w:sz w:val="24"/>
          <w:lang w:val="fi-FI"/>
        </w:rPr>
        <w:t>.</w:t>
      </w:r>
    </w:p>
  </w:footnote>
  <w:footnote w:id="4">
    <w:p w14:paraId="1DB9FCD1" w14:textId="43A4BD10" w:rsidR="006C7D5A" w:rsidRPr="008B02EF" w:rsidRDefault="006C7D5A" w:rsidP="006C7D5A">
      <w:pPr>
        <w:pStyle w:val="FootnoteText"/>
        <w:keepLines w:val="0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8B02EF">
        <w:rPr>
          <w:sz w:val="24"/>
          <w:lang w:val="fi-FI"/>
        </w:rPr>
        <w:t xml:space="preserve"> </w:t>
      </w:r>
      <w:r w:rsidRPr="008B02EF">
        <w:rPr>
          <w:sz w:val="24"/>
          <w:lang w:val="fi-FI"/>
        </w:rPr>
        <w:tab/>
        <w:t xml:space="preserve">Euroopan parlamentin ja neuvoston asetus (EU) 2023/1114, annettu 31 päivänä toukokuuta 2023, </w:t>
      </w:r>
      <w:proofErr w:type="spellStart"/>
      <w:r w:rsidRPr="008B02EF">
        <w:rPr>
          <w:sz w:val="24"/>
          <w:lang w:val="fi-FI"/>
        </w:rPr>
        <w:t>kryptovarojen</w:t>
      </w:r>
      <w:proofErr w:type="spellEnd"/>
      <w:r w:rsidRPr="008B02EF">
        <w:rPr>
          <w:sz w:val="24"/>
          <w:lang w:val="fi-FI"/>
        </w:rPr>
        <w:t xml:space="preserve"> markkinoista sekä asetusten (EU) N:o 1093/2010 ja (EU) N:o 1095/2010 ja direktiivien 2013/36/EU ja (EU) 2019/1937 muuttamisesta (EUVL L 150, 9.6.2023, s. 40, ELI: </w:t>
      </w:r>
      <w:hyperlink r:id="rId3" w:tgtFrame="http://data.europa.eu/eli/reg/2023/1114/oj" w:history="1">
        <w:r w:rsidRPr="008B02EF">
          <w:rPr>
            <w:rStyle w:val="Hyperlink"/>
            <w:sz w:val="24"/>
            <w:lang w:val="fi-FI"/>
          </w:rPr>
          <w:t>http://data.europa.eu/eli/reg/2023/1114/oj</w:t>
        </w:r>
      </w:hyperlink>
      <w:r w:rsidRPr="008B02EF">
        <w:rPr>
          <w:sz w:val="24"/>
          <w:lang w:val="fi-FI"/>
        </w:rPr>
        <w:t>).</w:t>
      </w:r>
    </w:p>
  </w:footnote>
  <w:footnote w:id="5">
    <w:p w14:paraId="08F72B8D" w14:textId="53E3AA59" w:rsidR="006C7D5A" w:rsidRPr="008B02EF" w:rsidRDefault="006C7D5A" w:rsidP="006C7D5A">
      <w:pPr>
        <w:pStyle w:val="FootnoteText"/>
        <w:keepLines w:val="0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8B02EF">
        <w:rPr>
          <w:sz w:val="24"/>
          <w:lang w:val="fi-FI"/>
        </w:rPr>
        <w:t xml:space="preserve"> </w:t>
      </w:r>
      <w:r w:rsidRPr="008B02EF">
        <w:rPr>
          <w:sz w:val="24"/>
          <w:lang w:val="fi-FI"/>
        </w:rPr>
        <w:tab/>
        <w:t xml:space="preserve">Euroopan parlamentin ja neuvoston asetus (EU) 2023/1113, annettu 31 päivänä toukokuuta 2023, varainsiirtojen ja tiettyjen </w:t>
      </w:r>
      <w:proofErr w:type="spellStart"/>
      <w:r w:rsidRPr="008B02EF">
        <w:rPr>
          <w:sz w:val="24"/>
          <w:lang w:val="fi-FI"/>
        </w:rPr>
        <w:t>kryptovarojen</w:t>
      </w:r>
      <w:proofErr w:type="spellEnd"/>
      <w:r w:rsidRPr="008B02EF">
        <w:rPr>
          <w:sz w:val="24"/>
          <w:lang w:val="fi-FI"/>
        </w:rPr>
        <w:t xml:space="preserve"> siirtojen mukana toimitettavista tiedoista ja direktiivin (EU) 2015/849 muuttamisesta (EUVL L 150, </w:t>
      </w:r>
      <w:r w:rsidR="004D0B92">
        <w:rPr>
          <w:sz w:val="24"/>
          <w:lang w:val="fi-FI"/>
        </w:rPr>
        <w:t xml:space="preserve">9.6.2023, </w:t>
      </w:r>
      <w:r w:rsidRPr="008B02EF">
        <w:rPr>
          <w:sz w:val="24"/>
          <w:lang w:val="fi-FI"/>
        </w:rPr>
        <w:t xml:space="preserve">s. 1, ELI: </w:t>
      </w:r>
      <w:hyperlink r:id="rId4" w:tgtFrame="http://data.europa.eu/eli/reg/2023/1113/oj" w:history="1">
        <w:r w:rsidRPr="008B02EF">
          <w:rPr>
            <w:rStyle w:val="Hyperlink"/>
            <w:sz w:val="24"/>
            <w:lang w:val="fi-FI"/>
          </w:rPr>
          <w:t>http://data.europa.eu/eli/reg/2023/1113/oj</w:t>
        </w:r>
      </w:hyperlink>
      <w:r w:rsidRPr="008B02EF">
        <w:rPr>
          <w:sz w:val="24"/>
          <w:lang w:val="fi-FI"/>
        </w:rPr>
        <w:t>).</w:t>
      </w:r>
    </w:p>
  </w:footnote>
  <w:footnote w:id="6">
    <w:p w14:paraId="35AE669C" w14:textId="0BA35A60" w:rsidR="006C7D5A" w:rsidRPr="008B02EF" w:rsidRDefault="006C7D5A" w:rsidP="006C7D5A">
      <w:pPr>
        <w:pStyle w:val="FootnoteText"/>
        <w:keepLines w:val="0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8B02EF">
        <w:rPr>
          <w:sz w:val="24"/>
          <w:lang w:val="fi-FI"/>
        </w:rPr>
        <w:t xml:space="preserve"> </w:t>
      </w:r>
      <w:r w:rsidRPr="008B02EF">
        <w:rPr>
          <w:sz w:val="24"/>
          <w:lang w:val="fi-FI"/>
        </w:rPr>
        <w:tab/>
        <w:t>Komission ehdotus, annettu 28. kesäkuuta 2023, Euroopan parlamentin ja neuvoston direktiiviksi maksupalveluista ja sähköisen rahan palveluista sisämarkkinoilla, direktiivin 98/26/EY muuttamisesta ja direktiivien (EU) 2015/2366 ja 2009/110/EY kumoamisesta (COM(2023)0366).</w:t>
      </w:r>
    </w:p>
  </w:footnote>
  <w:footnote w:id="7">
    <w:p w14:paraId="0851DAB0" w14:textId="77E121A7" w:rsidR="006C7D5A" w:rsidRPr="008B02EF" w:rsidRDefault="006C7D5A" w:rsidP="006C7D5A">
      <w:pPr>
        <w:pStyle w:val="FootnoteText"/>
        <w:keepLines w:val="0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8B02EF">
        <w:rPr>
          <w:sz w:val="24"/>
          <w:lang w:val="fi-FI"/>
        </w:rPr>
        <w:t xml:space="preserve"> </w:t>
      </w:r>
      <w:r w:rsidRPr="008B02EF">
        <w:rPr>
          <w:sz w:val="24"/>
          <w:lang w:val="fi-FI"/>
        </w:rPr>
        <w:tab/>
        <w:t>Komission ehdotus, annettu 28. kesäkuuta 2023, Euroopan parlamentin ja neuvoston asetukseksi maksupalveluista sisämarkkinoilla ja asetuksen (EU) N:o 1093/2010 muuttamisesta (COM(2023)0367).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78984718">
    <w:abstractNumId w:val="9"/>
  </w:num>
  <w:num w:numId="2" w16cid:durableId="1930432394">
    <w:abstractNumId w:val="9"/>
  </w:num>
  <w:num w:numId="3" w16cid:durableId="362704961">
    <w:abstractNumId w:val="7"/>
  </w:num>
  <w:num w:numId="4" w16cid:durableId="2018344045">
    <w:abstractNumId w:val="7"/>
  </w:num>
  <w:num w:numId="5" w16cid:durableId="344720897">
    <w:abstractNumId w:val="6"/>
  </w:num>
  <w:num w:numId="6" w16cid:durableId="804548386">
    <w:abstractNumId w:val="6"/>
  </w:num>
  <w:num w:numId="7" w16cid:durableId="1388189954">
    <w:abstractNumId w:val="5"/>
  </w:num>
  <w:num w:numId="8" w16cid:durableId="510921819">
    <w:abstractNumId w:val="5"/>
  </w:num>
  <w:num w:numId="9" w16cid:durableId="1724988778">
    <w:abstractNumId w:val="4"/>
  </w:num>
  <w:num w:numId="10" w16cid:durableId="830751003">
    <w:abstractNumId w:val="4"/>
  </w:num>
  <w:num w:numId="11" w16cid:durableId="1414231444">
    <w:abstractNumId w:val="8"/>
  </w:num>
  <w:num w:numId="12" w16cid:durableId="1487554611">
    <w:abstractNumId w:val="8"/>
  </w:num>
  <w:num w:numId="13" w16cid:durableId="1538883475">
    <w:abstractNumId w:val="3"/>
  </w:num>
  <w:num w:numId="14" w16cid:durableId="424109263">
    <w:abstractNumId w:val="3"/>
  </w:num>
  <w:num w:numId="15" w16cid:durableId="1406368453">
    <w:abstractNumId w:val="2"/>
  </w:num>
  <w:num w:numId="16" w16cid:durableId="1758597992">
    <w:abstractNumId w:val="2"/>
  </w:num>
  <w:num w:numId="17" w16cid:durableId="1210801152">
    <w:abstractNumId w:val="1"/>
  </w:num>
  <w:num w:numId="18" w16cid:durableId="1664889495">
    <w:abstractNumId w:val="1"/>
  </w:num>
  <w:num w:numId="19" w16cid:durableId="20862771">
    <w:abstractNumId w:val="0"/>
  </w:num>
  <w:num w:numId="20" w16cid:durableId="1179810354">
    <w:abstractNumId w:val="0"/>
  </w:num>
  <w:num w:numId="21" w16cid:durableId="1481311119">
    <w:abstractNumId w:val="9"/>
  </w:num>
  <w:num w:numId="22" w16cid:durableId="1763648076">
    <w:abstractNumId w:val="7"/>
  </w:num>
  <w:num w:numId="23" w16cid:durableId="1645043587">
    <w:abstractNumId w:val="6"/>
  </w:num>
  <w:num w:numId="24" w16cid:durableId="1452507041">
    <w:abstractNumId w:val="5"/>
  </w:num>
  <w:num w:numId="25" w16cid:durableId="894438341">
    <w:abstractNumId w:val="4"/>
  </w:num>
  <w:num w:numId="26" w16cid:durableId="1687292283">
    <w:abstractNumId w:val="8"/>
  </w:num>
  <w:num w:numId="27" w16cid:durableId="1961034526">
    <w:abstractNumId w:val="3"/>
  </w:num>
  <w:num w:numId="28" w16cid:durableId="1079249290">
    <w:abstractNumId w:val="2"/>
  </w:num>
  <w:num w:numId="29" w16cid:durableId="135877074">
    <w:abstractNumId w:val="1"/>
  </w:num>
  <w:num w:numId="30" w16cid:durableId="502740909">
    <w:abstractNumId w:val="0"/>
  </w:num>
  <w:num w:numId="31" w16cid:durableId="1365592751">
    <w:abstractNumId w:val="9"/>
  </w:num>
  <w:num w:numId="32" w16cid:durableId="639116306">
    <w:abstractNumId w:val="7"/>
  </w:num>
  <w:num w:numId="33" w16cid:durableId="629746595">
    <w:abstractNumId w:val="6"/>
  </w:num>
  <w:num w:numId="34" w16cid:durableId="923535907">
    <w:abstractNumId w:val="5"/>
  </w:num>
  <w:num w:numId="35" w16cid:durableId="2112625012">
    <w:abstractNumId w:val="4"/>
  </w:num>
  <w:num w:numId="36" w16cid:durableId="1546674815">
    <w:abstractNumId w:val="8"/>
  </w:num>
  <w:num w:numId="37" w16cid:durableId="1152452818">
    <w:abstractNumId w:val="3"/>
  </w:num>
  <w:num w:numId="38" w16cid:durableId="458308552">
    <w:abstractNumId w:val="2"/>
  </w:num>
  <w:num w:numId="39" w16cid:durableId="1384325737">
    <w:abstractNumId w:val="1"/>
  </w:num>
  <w:num w:numId="40" w16cid:durableId="1254896259">
    <w:abstractNumId w:val="0"/>
  </w:num>
  <w:num w:numId="41" w16cid:durableId="1524319379">
    <w:abstractNumId w:val="10"/>
  </w:num>
  <w:num w:numId="42" w16cid:durableId="750003770">
    <w:abstractNumId w:val="10"/>
  </w:num>
  <w:num w:numId="43" w16cid:durableId="1215196031">
    <w:abstractNumId w:val="10"/>
  </w:num>
  <w:num w:numId="44" w16cid:durableId="5059005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6/2026"/>
    <w:docVar w:name="dvlangue" w:val="FI"/>
    <w:docVar w:name="dvnumam" w:val="0"/>
    <w:docVar w:name="dvpe" w:val="784.381"/>
    <w:docVar w:name="dvrapporteur" w:val="Esittelijä: "/>
    <w:docVar w:name="dvtitre" w:val="Euroopan parlamentin lainsäädäntöpäätöslauselma xx. heinäkuuta 2026 digitaalisista varoista – Euroopan unionin rahoitusjärjestelmän kilpailukyvyn ja eheyden haasteet(2025/2208(INI))"/>
  </w:docVars>
  <w:rsids>
    <w:rsidRoot w:val="00CB6BB8"/>
    <w:rsid w:val="00002272"/>
    <w:rsid w:val="00064002"/>
    <w:rsid w:val="000677B9"/>
    <w:rsid w:val="000831BA"/>
    <w:rsid w:val="000A42CC"/>
    <w:rsid w:val="000D7670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5D8E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4CD"/>
    <w:rsid w:val="004C5D52"/>
    <w:rsid w:val="004D0B92"/>
    <w:rsid w:val="0050519A"/>
    <w:rsid w:val="005072A1"/>
    <w:rsid w:val="00514517"/>
    <w:rsid w:val="00542B3A"/>
    <w:rsid w:val="00545827"/>
    <w:rsid w:val="00560270"/>
    <w:rsid w:val="005C2568"/>
    <w:rsid w:val="005F1B17"/>
    <w:rsid w:val="005F3A46"/>
    <w:rsid w:val="006037C0"/>
    <w:rsid w:val="00605F89"/>
    <w:rsid w:val="006631B6"/>
    <w:rsid w:val="00680577"/>
    <w:rsid w:val="006C7D5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02EF"/>
    <w:rsid w:val="008C2AC6"/>
    <w:rsid w:val="00930C23"/>
    <w:rsid w:val="0093193B"/>
    <w:rsid w:val="009509D8"/>
    <w:rsid w:val="00950B64"/>
    <w:rsid w:val="0097438A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7771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6BB8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0E62"/>
    <w:rsid w:val="00E820A4"/>
    <w:rsid w:val="00EB006A"/>
    <w:rsid w:val="00EB4772"/>
    <w:rsid w:val="00ED169E"/>
    <w:rsid w:val="00ED4235"/>
    <w:rsid w:val="00F04346"/>
    <w:rsid w:val="00F075DC"/>
    <w:rsid w:val="00F149E9"/>
    <w:rsid w:val="00F478D5"/>
    <w:rsid w:val="00F5134D"/>
    <w:rsid w:val="00F72D46"/>
    <w:rsid w:val="00F74202"/>
    <w:rsid w:val="00F87713"/>
    <w:rsid w:val="00FA256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A107F5"/>
  <w15:chartTrackingRefBased/>
  <w15:docId w15:val="{8C6174AC-9E7E-4426-808C-6B6EE07E6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605F89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605F89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605F89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605F89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605F89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605F89"/>
    <w:rPr>
      <w:color w:val="0000FF"/>
      <w:u w:val="single"/>
    </w:rPr>
  </w:style>
  <w:style w:type="character" w:styleId="CommentReference">
    <w:name w:val="annotation reference"/>
    <w:basedOn w:val="DefaultParagraphFont"/>
    <w:rsid w:val="006C7D5A"/>
    <w:rPr>
      <w:sz w:val="16"/>
      <w:szCs w:val="16"/>
    </w:rPr>
  </w:style>
  <w:style w:type="paragraph" w:styleId="CommentText">
    <w:name w:val="annotation text"/>
    <w:basedOn w:val="Normal"/>
    <w:link w:val="CommentTextChar"/>
    <w:rsid w:val="006C7D5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C7D5A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6C7D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C7D5A"/>
    <w:rPr>
      <w:b/>
      <w:bCs/>
      <w:lang w:val="fi-FI"/>
    </w:rPr>
  </w:style>
  <w:style w:type="paragraph" w:styleId="Footer">
    <w:name w:val="footer"/>
    <w:basedOn w:val="Normal"/>
    <w:link w:val="FooterChar"/>
    <w:rsid w:val="006C7D5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C7D5A"/>
    <w:rPr>
      <w:sz w:val="24"/>
      <w:lang w:val="fi-FI"/>
    </w:rPr>
  </w:style>
  <w:style w:type="paragraph" w:styleId="Revision">
    <w:name w:val="Revision"/>
    <w:hidden/>
    <w:uiPriority w:val="99"/>
    <w:semiHidden/>
    <w:rsid w:val="00E70E62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3/1114/oj" TargetMode="External"/><Relationship Id="rId2" Type="http://schemas.openxmlformats.org/officeDocument/2006/relationships/hyperlink" Target="http://data.europa.eu/eli/reg/2022/858/oj" TargetMode="External"/><Relationship Id="rId1" Type="http://schemas.openxmlformats.org/officeDocument/2006/relationships/hyperlink" Target="https://doi.org/10.5089/9798400297649.022" TargetMode="External"/><Relationship Id="rId4" Type="http://schemas.openxmlformats.org/officeDocument/2006/relationships/hyperlink" Target="http://data.europa.eu/eli/reg/2023/111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1870</Words>
  <Characters>16986</Characters>
  <Application>Microsoft Office Word</Application>
  <DocSecurity>0</DocSecurity>
  <Lines>257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2026-07-07T13:02:00Z</dcterms:created>
  <dcterms:modified xsi:type="dcterms:W3CDTF">2026-07-07T13:02:00Z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A10-0186/2026</vt:lpwstr>
  </property>
  <property fmtid="{D5CDD505-2E9C-101B-9397-08002B2CF9AE}" pid="4" name="&lt;Type&gt;">
    <vt:lpwstr>RR</vt:lpwstr>
  </property>
</Properties>
</file>