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1C79" w14:paraId="18980349" w14:textId="77777777" w:rsidTr="0010095E">
        <w:trPr>
          <w:trHeight w:hRule="exact" w:val="1418"/>
        </w:trPr>
        <w:tc>
          <w:tcPr>
            <w:tcW w:w="6804" w:type="dxa"/>
            <w:shd w:val="clear" w:color="auto" w:fill="auto"/>
            <w:vAlign w:val="center"/>
          </w:tcPr>
          <w:p w14:paraId="789FCEF2" w14:textId="77777777" w:rsidR="00751A4A" w:rsidRPr="009D1C79" w:rsidRDefault="001B387C" w:rsidP="0010095E">
            <w:pPr>
              <w:pStyle w:val="EPName"/>
            </w:pPr>
            <w:r w:rsidRPr="009D1C79">
              <w:t>Europski parlament</w:t>
            </w:r>
          </w:p>
          <w:p w14:paraId="25D31ED7" w14:textId="77777777" w:rsidR="00751A4A" w:rsidRPr="009D1C79" w:rsidRDefault="005F1B17" w:rsidP="005F1B17">
            <w:pPr>
              <w:pStyle w:val="EPTerm"/>
              <w:rPr>
                <w:rStyle w:val="HideTWBExt"/>
                <w:noProof w:val="0"/>
                <w:vanish w:val="0"/>
                <w:color w:val="auto"/>
              </w:rPr>
            </w:pPr>
            <w:r w:rsidRPr="009D1C79">
              <w:t>2024</w:t>
            </w:r>
            <w:r w:rsidR="00817416" w:rsidRPr="009D1C79">
              <w:t>-202</w:t>
            </w:r>
            <w:r w:rsidRPr="009D1C79">
              <w:t>9</w:t>
            </w:r>
          </w:p>
        </w:tc>
        <w:tc>
          <w:tcPr>
            <w:tcW w:w="2268" w:type="dxa"/>
            <w:shd w:val="clear" w:color="auto" w:fill="auto"/>
          </w:tcPr>
          <w:p w14:paraId="2F52DA93" w14:textId="77777777" w:rsidR="00751A4A" w:rsidRPr="009D1C79" w:rsidRDefault="00187494" w:rsidP="0010095E">
            <w:pPr>
              <w:pStyle w:val="EPLogo"/>
            </w:pPr>
            <w:r w:rsidRPr="009D1C79">
              <w:rPr>
                <w:noProof/>
                <w:lang w:eastAsia="ja-JP"/>
              </w:rPr>
              <w:drawing>
                <wp:inline distT="0" distB="0" distL="0" distR="0" wp14:anchorId="24586C49" wp14:editId="6F3EF35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C2BEBF" w14:textId="77777777" w:rsidR="00D058B8" w:rsidRPr="009D1C79" w:rsidRDefault="00D058B8" w:rsidP="004C5D52">
      <w:pPr>
        <w:pStyle w:val="LineTop"/>
      </w:pPr>
    </w:p>
    <w:p w14:paraId="3C1C53D8" w14:textId="77777777" w:rsidR="00680577" w:rsidRPr="009D1C79" w:rsidRDefault="001B387C" w:rsidP="00680577">
      <w:pPr>
        <w:pStyle w:val="EPBodyTA1"/>
      </w:pPr>
      <w:r w:rsidRPr="009D1C79">
        <w:t>USVOJENI TEKSTOVI</w:t>
      </w:r>
    </w:p>
    <w:p w14:paraId="25C950A0" w14:textId="77777777" w:rsidR="00D058B8" w:rsidRPr="009D1C79" w:rsidRDefault="00D058B8" w:rsidP="00D058B8">
      <w:pPr>
        <w:pStyle w:val="LineBottom"/>
      </w:pPr>
    </w:p>
    <w:p w14:paraId="3726C4B8" w14:textId="0FE7DC26" w:rsidR="001B387C" w:rsidRPr="009D1C79" w:rsidRDefault="001B387C" w:rsidP="001B387C">
      <w:pPr>
        <w:pStyle w:val="ATHeading1"/>
      </w:pPr>
      <w:bookmarkStart w:id="0" w:name="TANumber"/>
      <w:r w:rsidRPr="009D1C79">
        <w:t>P10_TA(2026)0</w:t>
      </w:r>
      <w:r w:rsidR="00A01AC5">
        <w:t>251</w:t>
      </w:r>
      <w:bookmarkEnd w:id="0"/>
    </w:p>
    <w:p w14:paraId="6555A254" w14:textId="55496856" w:rsidR="001B387C" w:rsidRPr="009D1C79" w:rsidRDefault="00C37502" w:rsidP="001B387C">
      <w:pPr>
        <w:pStyle w:val="ATHeading2"/>
      </w:pPr>
      <w:bookmarkStart w:id="1" w:name="title"/>
      <w:r w:rsidRPr="00C37502">
        <w:rPr>
          <w:bCs/>
        </w:rPr>
        <w:t>Digitalna imovina – izazovi za konkurentnost i cjelovitost financijskog sustava Europske unije</w:t>
      </w:r>
      <w:bookmarkEnd w:id="1"/>
    </w:p>
    <w:p w14:paraId="21416867" w14:textId="77777777" w:rsidR="001B387C" w:rsidRPr="009D1C79" w:rsidRDefault="001B387C" w:rsidP="001B387C">
      <w:pPr>
        <w:rPr>
          <w:i/>
          <w:vanish/>
        </w:rPr>
      </w:pPr>
      <w:r w:rsidRPr="009D1C79">
        <w:rPr>
          <w:i/>
        </w:rPr>
        <w:fldChar w:fldCharType="begin"/>
      </w:r>
      <w:r w:rsidRPr="009D1C79">
        <w:rPr>
          <w:i/>
        </w:rPr>
        <w:instrText xml:space="preserve"> TC"(</w:instrText>
      </w:r>
      <w:bookmarkStart w:id="2" w:name="DocNumber"/>
      <w:r w:rsidRPr="009D1C79">
        <w:rPr>
          <w:i/>
        </w:rPr>
        <w:instrText>A10-0186/2026</w:instrText>
      </w:r>
      <w:bookmarkEnd w:id="2"/>
      <w:r w:rsidRPr="009D1C79">
        <w:rPr>
          <w:i/>
        </w:rPr>
        <w:instrText xml:space="preserve"> - Izvjestitelj: Johan Van </w:instrText>
      </w:r>
      <w:proofErr w:type="spellStart"/>
      <w:r w:rsidRPr="009D1C79">
        <w:rPr>
          <w:i/>
        </w:rPr>
        <w:instrText>Overtveldt</w:instrText>
      </w:r>
      <w:proofErr w:type="spellEnd"/>
      <w:r w:rsidRPr="009D1C79">
        <w:rPr>
          <w:i/>
        </w:rPr>
        <w:instrText xml:space="preserve">)"\l3 \n&gt; \* MERGEFORMAT </w:instrText>
      </w:r>
      <w:r w:rsidRPr="009D1C79">
        <w:rPr>
          <w:i/>
        </w:rPr>
        <w:fldChar w:fldCharType="end"/>
      </w:r>
    </w:p>
    <w:p w14:paraId="654F02DE" w14:textId="77777777" w:rsidR="001B387C" w:rsidRPr="009D1C79" w:rsidRDefault="001B387C" w:rsidP="001B387C">
      <w:pPr>
        <w:rPr>
          <w:vanish/>
        </w:rPr>
      </w:pPr>
      <w:bookmarkStart w:id="3" w:name="Commission"/>
      <w:r w:rsidRPr="009D1C79">
        <w:rPr>
          <w:vanish/>
        </w:rPr>
        <w:t>Odbor za ekonomsku i monetarnu politiku</w:t>
      </w:r>
      <w:bookmarkEnd w:id="3"/>
    </w:p>
    <w:p w14:paraId="232DFB7B" w14:textId="77777777" w:rsidR="001B387C" w:rsidRPr="009D1C79" w:rsidRDefault="001B387C" w:rsidP="001B387C">
      <w:pPr>
        <w:rPr>
          <w:vanish/>
        </w:rPr>
      </w:pPr>
      <w:bookmarkStart w:id="4" w:name="PE"/>
      <w:r w:rsidRPr="009D1C79">
        <w:rPr>
          <w:vanish/>
        </w:rPr>
        <w:t>PE784.381</w:t>
      </w:r>
      <w:bookmarkEnd w:id="4"/>
    </w:p>
    <w:p w14:paraId="361568B0" w14:textId="12AAA321" w:rsidR="001B387C" w:rsidRPr="009D1C79" w:rsidRDefault="001B387C" w:rsidP="001B387C">
      <w:pPr>
        <w:pStyle w:val="ATHeading3"/>
      </w:pPr>
      <w:bookmarkStart w:id="5" w:name="Sujet"/>
      <w:r w:rsidRPr="009D1C79">
        <w:t xml:space="preserve">Rezolucija Europskog parlamenta od </w:t>
      </w:r>
      <w:r w:rsidR="00A973AB">
        <w:t>7. srpnja</w:t>
      </w:r>
      <w:r w:rsidRPr="009D1C79">
        <w:t xml:space="preserve"> 2026. o digitalnoj imovini – izazovi za konkurentnost i cjelovitost financijskog sustava Europske unije</w:t>
      </w:r>
      <w:bookmarkEnd w:id="5"/>
      <w:r w:rsidRPr="009D1C79">
        <w:t xml:space="preserve"> </w:t>
      </w:r>
      <w:bookmarkStart w:id="6" w:name="References"/>
      <w:r w:rsidRPr="009D1C79">
        <w:t>(2025/2208(INI))</w:t>
      </w:r>
      <w:bookmarkEnd w:id="6"/>
    </w:p>
    <w:p w14:paraId="0BA72E90" w14:textId="77777777" w:rsidR="007F2449" w:rsidRPr="00A973AB" w:rsidRDefault="007F2449" w:rsidP="00A973AB">
      <w:pPr>
        <w:pStyle w:val="Normal12"/>
        <w:spacing w:before="360"/>
        <w:rPr>
          <w:i/>
          <w:iCs/>
        </w:rPr>
      </w:pPr>
      <w:r w:rsidRPr="00A973AB">
        <w:rPr>
          <w:i/>
          <w:iCs/>
        </w:rPr>
        <w:t>Europski parlament,</w:t>
      </w:r>
    </w:p>
    <w:p w14:paraId="27B2038F" w14:textId="77777777" w:rsidR="007F2449" w:rsidRPr="009D1C79" w:rsidRDefault="007F2449" w:rsidP="007F2449">
      <w:pPr>
        <w:pStyle w:val="NormalHanging"/>
      </w:pPr>
      <w:r w:rsidRPr="009D1C79">
        <w:t>–</w:t>
      </w:r>
      <w:r w:rsidRPr="009D1C79">
        <w:tab/>
        <w:t>uzimajući u obzir pregled financijske stabilnosti Europske središnje banke (ESB) iz studenoga 2025.,</w:t>
      </w:r>
    </w:p>
    <w:p w14:paraId="733F5618" w14:textId="77777777" w:rsidR="007F2449" w:rsidRPr="009D1C79" w:rsidRDefault="007F2449" w:rsidP="007F2449">
      <w:pPr>
        <w:pStyle w:val="NormalHanging"/>
      </w:pPr>
      <w:r w:rsidRPr="009D1C79">
        <w:t>–</w:t>
      </w:r>
      <w:r w:rsidRPr="009D1C79">
        <w:tab/>
        <w:t>uzimajući u obzir radni dokument ESB-a br. 3199 od 3. ožujka 2026. naslovljen „</w:t>
      </w:r>
      <w:proofErr w:type="spellStart"/>
      <w:r w:rsidRPr="009D1C79">
        <w:t>Stablecoins</w:t>
      </w:r>
      <w:proofErr w:type="spellEnd"/>
      <w:r w:rsidRPr="009D1C79">
        <w:t xml:space="preserve"> </w:t>
      </w:r>
      <w:proofErr w:type="spellStart"/>
      <w:r w:rsidRPr="009D1C79">
        <w:t>and</w:t>
      </w:r>
      <w:proofErr w:type="spellEnd"/>
      <w:r w:rsidRPr="009D1C79">
        <w:t xml:space="preserve"> </w:t>
      </w:r>
      <w:proofErr w:type="spellStart"/>
      <w:r w:rsidRPr="009D1C79">
        <w:t>monetary</w:t>
      </w:r>
      <w:proofErr w:type="spellEnd"/>
      <w:r w:rsidRPr="009D1C79">
        <w:t xml:space="preserve"> </w:t>
      </w:r>
      <w:proofErr w:type="spellStart"/>
      <w:r w:rsidRPr="009D1C79">
        <w:t>policy</w:t>
      </w:r>
      <w:proofErr w:type="spellEnd"/>
      <w:r w:rsidRPr="009D1C79">
        <w:t xml:space="preserve"> </w:t>
      </w:r>
      <w:proofErr w:type="spellStart"/>
      <w:r w:rsidRPr="009D1C79">
        <w:t>transmission</w:t>
      </w:r>
      <w:proofErr w:type="spellEnd"/>
      <w:r w:rsidRPr="009D1C79">
        <w:t xml:space="preserve">” (Stabilne </w:t>
      </w:r>
      <w:proofErr w:type="spellStart"/>
      <w:r w:rsidRPr="009D1C79">
        <w:t>kriptovalute</w:t>
      </w:r>
      <w:proofErr w:type="spellEnd"/>
      <w:r w:rsidRPr="009D1C79">
        <w:t xml:space="preserve"> i transmisija monetarne politike),</w:t>
      </w:r>
    </w:p>
    <w:p w14:paraId="5FD6CC0E" w14:textId="77777777" w:rsidR="007F2449" w:rsidRPr="009D1C79" w:rsidRDefault="007F2449" w:rsidP="007F2449">
      <w:pPr>
        <w:pStyle w:val="NormalHanging"/>
      </w:pPr>
      <w:r w:rsidRPr="009D1C79">
        <w:t>–</w:t>
      </w:r>
      <w:r w:rsidRPr="009D1C79">
        <w:tab/>
        <w:t xml:space="preserve">uzimajući u obzir Preporuku Europskog odbora za sistemske rizike (ESRB) od 25. rujna 2025. o shemama stabilnih </w:t>
      </w:r>
      <w:proofErr w:type="spellStart"/>
      <w:r w:rsidRPr="009D1C79">
        <w:t>kriptovaluta</w:t>
      </w:r>
      <w:proofErr w:type="spellEnd"/>
      <w:r w:rsidRPr="009D1C79">
        <w:t xml:space="preserve"> više izdavatelja iz trećih zemalja,</w:t>
      </w:r>
    </w:p>
    <w:p w14:paraId="4E5F204F" w14:textId="77777777" w:rsidR="007F2449" w:rsidRPr="009D1C79" w:rsidRDefault="007F2449" w:rsidP="007F2449">
      <w:pPr>
        <w:pStyle w:val="NormalHanging"/>
      </w:pPr>
      <w:r w:rsidRPr="009D1C79">
        <w:t>–</w:t>
      </w:r>
      <w:r w:rsidRPr="009D1C79">
        <w:tab/>
        <w:t>uzimajući u obzir izvješće ESRB-a iz listopada 2025. naslovljeno „</w:t>
      </w:r>
      <w:proofErr w:type="spellStart"/>
      <w:r w:rsidRPr="009D1C79">
        <w:t>Crypto-assets</w:t>
      </w:r>
      <w:proofErr w:type="spellEnd"/>
      <w:r w:rsidRPr="009D1C79">
        <w:t xml:space="preserve"> </w:t>
      </w:r>
      <w:proofErr w:type="spellStart"/>
      <w:r w:rsidRPr="009D1C79">
        <w:t>and</w:t>
      </w:r>
      <w:proofErr w:type="spellEnd"/>
      <w:r w:rsidRPr="009D1C79">
        <w:t xml:space="preserve"> </w:t>
      </w:r>
      <w:proofErr w:type="spellStart"/>
      <w:r w:rsidRPr="009D1C79">
        <w:t>decentralised</w:t>
      </w:r>
      <w:proofErr w:type="spellEnd"/>
      <w:r w:rsidRPr="009D1C79">
        <w:t xml:space="preserve"> </w:t>
      </w:r>
      <w:proofErr w:type="spellStart"/>
      <w:r w:rsidRPr="009D1C79">
        <w:t>finance</w:t>
      </w:r>
      <w:proofErr w:type="spellEnd"/>
      <w:r w:rsidRPr="009D1C79">
        <w:t xml:space="preserve"> – </w:t>
      </w:r>
      <w:proofErr w:type="spellStart"/>
      <w:r w:rsidRPr="009D1C79">
        <w:t>Report</w:t>
      </w:r>
      <w:proofErr w:type="spellEnd"/>
      <w:r w:rsidRPr="009D1C79">
        <w:t xml:space="preserve"> on </w:t>
      </w:r>
      <w:proofErr w:type="spellStart"/>
      <w:r w:rsidRPr="009D1C79">
        <w:t>stablecoins</w:t>
      </w:r>
      <w:proofErr w:type="spellEnd"/>
      <w:r w:rsidRPr="009D1C79">
        <w:t xml:space="preserve">, </w:t>
      </w:r>
      <w:proofErr w:type="spellStart"/>
      <w:r w:rsidRPr="009D1C79">
        <w:t>crypto-investment</w:t>
      </w:r>
      <w:proofErr w:type="spellEnd"/>
      <w:r w:rsidRPr="009D1C79">
        <w:t xml:space="preserve"> </w:t>
      </w:r>
      <w:proofErr w:type="spellStart"/>
      <w:r w:rsidRPr="009D1C79">
        <w:t>products</w:t>
      </w:r>
      <w:proofErr w:type="spellEnd"/>
      <w:r w:rsidRPr="009D1C79">
        <w:t xml:space="preserve"> </w:t>
      </w:r>
      <w:proofErr w:type="spellStart"/>
      <w:r w:rsidRPr="009D1C79">
        <w:t>and</w:t>
      </w:r>
      <w:proofErr w:type="spellEnd"/>
      <w:r w:rsidRPr="009D1C79">
        <w:t xml:space="preserve"> multi-</w:t>
      </w:r>
      <w:proofErr w:type="spellStart"/>
      <w:r w:rsidRPr="009D1C79">
        <w:t>function</w:t>
      </w:r>
      <w:proofErr w:type="spellEnd"/>
      <w:r w:rsidRPr="009D1C79">
        <w:t xml:space="preserve"> </w:t>
      </w:r>
      <w:proofErr w:type="spellStart"/>
      <w:r w:rsidRPr="009D1C79">
        <w:t>groups</w:t>
      </w:r>
      <w:proofErr w:type="spellEnd"/>
      <w:r w:rsidRPr="009D1C79">
        <w:t>” (</w:t>
      </w:r>
      <w:proofErr w:type="spellStart"/>
      <w:r w:rsidRPr="009D1C79">
        <w:t>Kriptoimovina</w:t>
      </w:r>
      <w:proofErr w:type="spellEnd"/>
      <w:r w:rsidRPr="009D1C79">
        <w:t xml:space="preserve"> i decentralizirane financije – izvješće o stabilnim </w:t>
      </w:r>
      <w:proofErr w:type="spellStart"/>
      <w:r w:rsidRPr="009D1C79">
        <w:t>kriptovalutama</w:t>
      </w:r>
      <w:proofErr w:type="spellEnd"/>
      <w:r w:rsidRPr="009D1C79">
        <w:t xml:space="preserve">, </w:t>
      </w:r>
      <w:proofErr w:type="spellStart"/>
      <w:r w:rsidRPr="009D1C79">
        <w:t>kriptoinvesticijskim</w:t>
      </w:r>
      <w:proofErr w:type="spellEnd"/>
      <w:r w:rsidRPr="009D1C79">
        <w:t xml:space="preserve"> proizvodima i </w:t>
      </w:r>
      <w:proofErr w:type="spellStart"/>
      <w:r w:rsidRPr="009D1C79">
        <w:t>višefunkcijskim</w:t>
      </w:r>
      <w:proofErr w:type="spellEnd"/>
      <w:r w:rsidRPr="009D1C79">
        <w:t xml:space="preserve"> grupama),</w:t>
      </w:r>
    </w:p>
    <w:p w14:paraId="32674DC4" w14:textId="77777777" w:rsidR="007F2449" w:rsidRPr="009D1C79" w:rsidRDefault="007F2449" w:rsidP="007F2449">
      <w:pPr>
        <w:pStyle w:val="NormalHanging"/>
      </w:pPr>
      <w:r w:rsidRPr="009D1C79">
        <w:t>–</w:t>
      </w:r>
      <w:r w:rsidRPr="009D1C79">
        <w:tab/>
        <w:t xml:space="preserve">uzimajući u obzir smjernice Europskog nadzornog tijela za vrijednosne papire i tržišta kapitala od 19. ožujka 2025. o uvjetima i kriterijima za kvalifikaciju </w:t>
      </w:r>
      <w:proofErr w:type="spellStart"/>
      <w:r w:rsidRPr="009D1C79">
        <w:t>kriptoimovine</w:t>
      </w:r>
      <w:proofErr w:type="spellEnd"/>
      <w:r w:rsidRPr="009D1C79">
        <w:t xml:space="preserve"> kao financijskih instrumenata,</w:t>
      </w:r>
    </w:p>
    <w:p w14:paraId="401F3497" w14:textId="77777777" w:rsidR="007F2449" w:rsidRPr="009D1C79" w:rsidRDefault="007F2449" w:rsidP="007F2449">
      <w:pPr>
        <w:pStyle w:val="NormalHanging"/>
      </w:pPr>
      <w:r w:rsidRPr="009D1C79">
        <w:t>–</w:t>
      </w:r>
      <w:r w:rsidRPr="009D1C79">
        <w:tab/>
        <w:t>uzimajući u obzir izvješće Europskog nadzornog tijela za bankarstvo (EBA) iz prosinca 2024. naslovljeno „</w:t>
      </w:r>
      <w:proofErr w:type="spellStart"/>
      <w:r w:rsidRPr="009D1C79">
        <w:t>Report</w:t>
      </w:r>
      <w:proofErr w:type="spellEnd"/>
      <w:r w:rsidRPr="009D1C79">
        <w:t xml:space="preserve"> on </w:t>
      </w:r>
      <w:proofErr w:type="spellStart"/>
      <w:r w:rsidRPr="009D1C79">
        <w:t>tokenised</w:t>
      </w:r>
      <w:proofErr w:type="spellEnd"/>
      <w:r w:rsidRPr="009D1C79">
        <w:t xml:space="preserve"> </w:t>
      </w:r>
      <w:proofErr w:type="spellStart"/>
      <w:r w:rsidRPr="009D1C79">
        <w:t>deposits</w:t>
      </w:r>
      <w:proofErr w:type="spellEnd"/>
      <w:r w:rsidRPr="009D1C79">
        <w:t xml:space="preserve">” (Izvješće o </w:t>
      </w:r>
      <w:proofErr w:type="spellStart"/>
      <w:r w:rsidRPr="009D1C79">
        <w:t>tokeniziranim</w:t>
      </w:r>
      <w:proofErr w:type="spellEnd"/>
      <w:r w:rsidRPr="009D1C79">
        <w:t xml:space="preserve"> depozitima),</w:t>
      </w:r>
    </w:p>
    <w:p w14:paraId="08315D46" w14:textId="77777777" w:rsidR="007F2449" w:rsidRPr="009D1C79" w:rsidRDefault="007F2449" w:rsidP="007F2449">
      <w:pPr>
        <w:pStyle w:val="NormalHanging"/>
      </w:pPr>
      <w:r w:rsidRPr="009D1C79">
        <w:t>–</w:t>
      </w:r>
      <w:r w:rsidRPr="009D1C79">
        <w:tab/>
        <w:t>uzimajući u obzir izvješće EBA-e iz listopada 2025. naslovljeno „</w:t>
      </w:r>
      <w:proofErr w:type="spellStart"/>
      <w:r w:rsidRPr="009D1C79">
        <w:t>Report</w:t>
      </w:r>
      <w:proofErr w:type="spellEnd"/>
      <w:r w:rsidRPr="009D1C79">
        <w:t xml:space="preserve"> on </w:t>
      </w:r>
      <w:proofErr w:type="spellStart"/>
      <w:r w:rsidRPr="009D1C79">
        <w:t>tackling</w:t>
      </w:r>
      <w:proofErr w:type="spellEnd"/>
      <w:r w:rsidRPr="009D1C79">
        <w:t xml:space="preserve"> ML/TF </w:t>
      </w:r>
      <w:proofErr w:type="spellStart"/>
      <w:r w:rsidRPr="009D1C79">
        <w:t>risks</w:t>
      </w:r>
      <w:proofErr w:type="spellEnd"/>
      <w:r w:rsidRPr="009D1C79">
        <w:t xml:space="preserve"> </w:t>
      </w:r>
      <w:proofErr w:type="spellStart"/>
      <w:r w:rsidRPr="009D1C79">
        <w:t>in</w:t>
      </w:r>
      <w:proofErr w:type="spellEnd"/>
      <w:r w:rsidRPr="009D1C79">
        <w:t xml:space="preserve"> </w:t>
      </w:r>
      <w:proofErr w:type="spellStart"/>
      <w:r w:rsidRPr="009D1C79">
        <w:t>crypto-asset</w:t>
      </w:r>
      <w:proofErr w:type="spellEnd"/>
      <w:r w:rsidRPr="009D1C79">
        <w:t xml:space="preserve"> </w:t>
      </w:r>
      <w:proofErr w:type="spellStart"/>
      <w:r w:rsidRPr="009D1C79">
        <w:t>services</w:t>
      </w:r>
      <w:proofErr w:type="spellEnd"/>
      <w:r w:rsidRPr="009D1C79">
        <w:t xml:space="preserve"> </w:t>
      </w:r>
      <w:proofErr w:type="spellStart"/>
      <w:r w:rsidRPr="009D1C79">
        <w:t>through</w:t>
      </w:r>
      <w:proofErr w:type="spellEnd"/>
      <w:r w:rsidRPr="009D1C79">
        <w:t xml:space="preserve"> </w:t>
      </w:r>
      <w:proofErr w:type="spellStart"/>
      <w:r w:rsidRPr="009D1C79">
        <w:t>supervision</w:t>
      </w:r>
      <w:proofErr w:type="spellEnd"/>
      <w:r w:rsidRPr="009D1C79">
        <w:t xml:space="preserve"> – </w:t>
      </w:r>
      <w:proofErr w:type="spellStart"/>
      <w:r w:rsidRPr="009D1C79">
        <w:t>Lessons</w:t>
      </w:r>
      <w:proofErr w:type="spellEnd"/>
      <w:r w:rsidRPr="009D1C79">
        <w:t xml:space="preserve"> </w:t>
      </w:r>
      <w:proofErr w:type="spellStart"/>
      <w:r w:rsidRPr="009D1C79">
        <w:t>learned</w:t>
      </w:r>
      <w:proofErr w:type="spellEnd"/>
      <w:r w:rsidRPr="009D1C79">
        <w:t xml:space="preserve"> </w:t>
      </w:r>
      <w:proofErr w:type="spellStart"/>
      <w:r w:rsidRPr="009D1C79">
        <w:t>from</w:t>
      </w:r>
      <w:proofErr w:type="spellEnd"/>
      <w:r w:rsidRPr="009D1C79">
        <w:t xml:space="preserve"> </w:t>
      </w:r>
      <w:proofErr w:type="spellStart"/>
      <w:r w:rsidRPr="009D1C79">
        <w:t>recent</w:t>
      </w:r>
      <w:proofErr w:type="spellEnd"/>
      <w:r w:rsidRPr="009D1C79">
        <w:t xml:space="preserve"> </w:t>
      </w:r>
      <w:proofErr w:type="spellStart"/>
      <w:r w:rsidRPr="009D1C79">
        <w:t>cases</w:t>
      </w:r>
      <w:proofErr w:type="spellEnd"/>
      <w:r w:rsidRPr="009D1C79">
        <w:t xml:space="preserve">” (Izvješće o suzbijanju rizika od pranja novca i financiranja terorizma u području usluga povezanih s </w:t>
      </w:r>
      <w:proofErr w:type="spellStart"/>
      <w:r w:rsidRPr="009D1C79">
        <w:t>kriptoimovinom</w:t>
      </w:r>
      <w:proofErr w:type="spellEnd"/>
      <w:r w:rsidRPr="009D1C79">
        <w:t xml:space="preserve"> s pomoću nadzora – pouke izvučene iz nedavnih slučajeva),</w:t>
      </w:r>
    </w:p>
    <w:p w14:paraId="68D406CA" w14:textId="1C2ECF9E" w:rsidR="007F2449" w:rsidRPr="009D1C79" w:rsidRDefault="007F2449" w:rsidP="007F2449">
      <w:pPr>
        <w:pStyle w:val="NormalHanging"/>
      </w:pPr>
      <w:r w:rsidRPr="009D1C79">
        <w:lastRenderedPageBreak/>
        <w:t>–</w:t>
      </w:r>
      <w:r w:rsidRPr="009D1C79">
        <w:tab/>
        <w:t>uzimajući u obzir izdanje časopisa „</w:t>
      </w:r>
      <w:proofErr w:type="spellStart"/>
      <w:r w:rsidRPr="009D1C79">
        <w:t>Finance</w:t>
      </w:r>
      <w:proofErr w:type="spellEnd"/>
      <w:r w:rsidRPr="009D1C79">
        <w:t xml:space="preserve"> </w:t>
      </w:r>
      <w:proofErr w:type="spellStart"/>
      <w:r w:rsidRPr="009D1C79">
        <w:t>and</w:t>
      </w:r>
      <w:proofErr w:type="spellEnd"/>
      <w:r w:rsidRPr="009D1C79">
        <w:t xml:space="preserve"> Development” Međunarodnog monetarnog fonda iz rujna 2025. naslovljeno „</w:t>
      </w:r>
      <w:proofErr w:type="spellStart"/>
      <w:r w:rsidRPr="009D1C79">
        <w:t>Stablecoins</w:t>
      </w:r>
      <w:proofErr w:type="spellEnd"/>
      <w:r w:rsidRPr="009D1C79">
        <w:t xml:space="preserve"> </w:t>
      </w:r>
      <w:proofErr w:type="spellStart"/>
      <w:r w:rsidRPr="009D1C79">
        <w:t>and</w:t>
      </w:r>
      <w:proofErr w:type="spellEnd"/>
      <w:r w:rsidRPr="009D1C79">
        <w:t xml:space="preserve"> </w:t>
      </w:r>
      <w:proofErr w:type="spellStart"/>
      <w:r w:rsidRPr="009D1C79">
        <w:t>the</w:t>
      </w:r>
      <w:proofErr w:type="spellEnd"/>
      <w:r w:rsidRPr="009D1C79">
        <w:t xml:space="preserve"> future </w:t>
      </w:r>
      <w:proofErr w:type="spellStart"/>
      <w:r w:rsidRPr="009D1C79">
        <w:t>of</w:t>
      </w:r>
      <w:proofErr w:type="spellEnd"/>
      <w:r w:rsidRPr="009D1C79">
        <w:t xml:space="preserve"> </w:t>
      </w:r>
      <w:proofErr w:type="spellStart"/>
      <w:r w:rsidRPr="009D1C79">
        <w:t>finance</w:t>
      </w:r>
      <w:proofErr w:type="spellEnd"/>
      <w:r w:rsidRPr="009D1C79">
        <w:t xml:space="preserve">” (Stabilne </w:t>
      </w:r>
      <w:proofErr w:type="spellStart"/>
      <w:r w:rsidRPr="009D1C79">
        <w:t>kriptovalute</w:t>
      </w:r>
      <w:proofErr w:type="spellEnd"/>
      <w:r w:rsidRPr="009D1C79">
        <w:t xml:space="preserve"> i budućnost financija)</w:t>
      </w:r>
      <w:r w:rsidR="00A973AB">
        <w:rPr>
          <w:rStyle w:val="FootnoteReference"/>
        </w:rPr>
        <w:footnoteReference w:id="1"/>
      </w:r>
      <w:r w:rsidRPr="009D1C79">
        <w:t>,</w:t>
      </w:r>
    </w:p>
    <w:p w14:paraId="291574B6" w14:textId="77777777" w:rsidR="007F2449" w:rsidRPr="009D1C79" w:rsidRDefault="007F2449" w:rsidP="007F2449">
      <w:pPr>
        <w:pStyle w:val="NormalHanging"/>
      </w:pPr>
      <w:r w:rsidRPr="009D1C79">
        <w:t>–</w:t>
      </w:r>
      <w:r w:rsidRPr="009D1C79">
        <w:tab/>
        <w:t>uzimajući u obzir izvješće Međunarodne organizacije nadzornih tijela za vrijednosne papire iz studenoga 2025. naslovljeno „</w:t>
      </w:r>
      <w:proofErr w:type="spellStart"/>
      <w:r w:rsidRPr="009D1C79">
        <w:t>Tokenization</w:t>
      </w:r>
      <w:proofErr w:type="spellEnd"/>
      <w:r w:rsidRPr="009D1C79">
        <w:t xml:space="preserve"> </w:t>
      </w:r>
      <w:proofErr w:type="spellStart"/>
      <w:r w:rsidRPr="009D1C79">
        <w:t>of</w:t>
      </w:r>
      <w:proofErr w:type="spellEnd"/>
      <w:r w:rsidRPr="009D1C79">
        <w:t xml:space="preserve"> </w:t>
      </w:r>
      <w:proofErr w:type="spellStart"/>
      <w:r w:rsidRPr="009D1C79">
        <w:t>financial</w:t>
      </w:r>
      <w:proofErr w:type="spellEnd"/>
      <w:r w:rsidRPr="009D1C79">
        <w:t xml:space="preserve"> </w:t>
      </w:r>
      <w:proofErr w:type="spellStart"/>
      <w:r w:rsidRPr="009D1C79">
        <w:t>assets</w:t>
      </w:r>
      <w:proofErr w:type="spellEnd"/>
      <w:r w:rsidRPr="009D1C79">
        <w:t>” (</w:t>
      </w:r>
      <w:proofErr w:type="spellStart"/>
      <w:r w:rsidRPr="009D1C79">
        <w:t>Tokenizacija</w:t>
      </w:r>
      <w:proofErr w:type="spellEnd"/>
      <w:r w:rsidRPr="009D1C79">
        <w:t xml:space="preserve"> financijske imovine),</w:t>
      </w:r>
    </w:p>
    <w:p w14:paraId="372B313A" w14:textId="77777777" w:rsidR="007F2449" w:rsidRPr="009D1C79" w:rsidRDefault="007F2449" w:rsidP="007F2449">
      <w:pPr>
        <w:pStyle w:val="NormalHanging"/>
      </w:pPr>
      <w:r w:rsidRPr="009D1C79">
        <w:t>–</w:t>
      </w:r>
      <w:r w:rsidRPr="009D1C79">
        <w:tab/>
        <w:t>uzimajući u obzir godišnje ekonomsko izvješće Banke za međunarodne namire (BIS) iz lipnja 2025.,</w:t>
      </w:r>
    </w:p>
    <w:p w14:paraId="0F0C4003" w14:textId="77777777" w:rsidR="007F2449" w:rsidRPr="009D1C79" w:rsidRDefault="007F2449" w:rsidP="007F2449">
      <w:pPr>
        <w:pStyle w:val="NormalHanging"/>
      </w:pPr>
      <w:r w:rsidRPr="009D1C79">
        <w:t>–</w:t>
      </w:r>
      <w:r w:rsidRPr="009D1C79">
        <w:tab/>
        <w:t>uzimajući u obzir izvješće Odbora za financijsku stabilnost od 16. listopada 2025. naslovljeno „</w:t>
      </w:r>
      <w:proofErr w:type="spellStart"/>
      <w:r w:rsidRPr="009D1C79">
        <w:t>Thematic</w:t>
      </w:r>
      <w:proofErr w:type="spellEnd"/>
      <w:r w:rsidRPr="009D1C79">
        <w:t xml:space="preserve"> </w:t>
      </w:r>
      <w:proofErr w:type="spellStart"/>
      <w:r w:rsidRPr="009D1C79">
        <w:t>Review</w:t>
      </w:r>
      <w:proofErr w:type="spellEnd"/>
      <w:r w:rsidRPr="009D1C79">
        <w:t xml:space="preserve"> on FSB Global </w:t>
      </w:r>
      <w:proofErr w:type="spellStart"/>
      <w:r w:rsidRPr="009D1C79">
        <w:t>Regulatory</w:t>
      </w:r>
      <w:proofErr w:type="spellEnd"/>
      <w:r w:rsidRPr="009D1C79">
        <w:t xml:space="preserve"> Framework for </w:t>
      </w:r>
      <w:proofErr w:type="spellStart"/>
      <w:r w:rsidRPr="009D1C79">
        <w:t>Crypto-asset</w:t>
      </w:r>
      <w:proofErr w:type="spellEnd"/>
      <w:r w:rsidRPr="009D1C79">
        <w:t xml:space="preserve"> </w:t>
      </w:r>
      <w:proofErr w:type="spellStart"/>
      <w:r w:rsidRPr="009D1C79">
        <w:t>Activities</w:t>
      </w:r>
      <w:proofErr w:type="spellEnd"/>
      <w:r w:rsidRPr="009D1C79">
        <w:t xml:space="preserve">” (Tematski pregled globalnog regulatornog okvira Odbora za financijsku stabilnost za aktivnosti povezane s </w:t>
      </w:r>
      <w:proofErr w:type="spellStart"/>
      <w:r w:rsidRPr="009D1C79">
        <w:t>kriptoimovinom</w:t>
      </w:r>
      <w:proofErr w:type="spellEnd"/>
      <w:r w:rsidRPr="009D1C79">
        <w:t>),</w:t>
      </w:r>
    </w:p>
    <w:p w14:paraId="64006092" w14:textId="77777777" w:rsidR="007F2449" w:rsidRPr="009D1C79" w:rsidRDefault="007F2449" w:rsidP="007F2449">
      <w:pPr>
        <w:pStyle w:val="NormalHanging"/>
      </w:pPr>
      <w:r w:rsidRPr="009D1C79">
        <w:t>–</w:t>
      </w:r>
      <w:r w:rsidRPr="009D1C79">
        <w:tab/>
        <w:t xml:space="preserve">uzimajući u obzir izvješće Odbora za financijsku stabilnost o stanju od 22. listopada 2024. naslovljeno „G20 </w:t>
      </w:r>
      <w:proofErr w:type="spellStart"/>
      <w:r w:rsidRPr="009D1C79">
        <w:t>crypto-asset</w:t>
      </w:r>
      <w:proofErr w:type="spellEnd"/>
      <w:r w:rsidRPr="009D1C79">
        <w:t xml:space="preserve"> </w:t>
      </w:r>
      <w:proofErr w:type="spellStart"/>
      <w:r w:rsidRPr="009D1C79">
        <w:t>policy</w:t>
      </w:r>
      <w:proofErr w:type="spellEnd"/>
      <w:r w:rsidRPr="009D1C79">
        <w:t xml:space="preserve"> </w:t>
      </w:r>
      <w:proofErr w:type="spellStart"/>
      <w:r w:rsidRPr="009D1C79">
        <w:t>implementation</w:t>
      </w:r>
      <w:proofErr w:type="spellEnd"/>
      <w:r w:rsidRPr="009D1C79">
        <w:t xml:space="preserve"> </w:t>
      </w:r>
      <w:proofErr w:type="spellStart"/>
      <w:r w:rsidRPr="009D1C79">
        <w:t>roadmap</w:t>
      </w:r>
      <w:proofErr w:type="spellEnd"/>
      <w:r w:rsidRPr="009D1C79">
        <w:t xml:space="preserve">” (Plan provedbe politike za </w:t>
      </w:r>
      <w:proofErr w:type="spellStart"/>
      <w:r w:rsidRPr="009D1C79">
        <w:t>kriptoimovinu</w:t>
      </w:r>
      <w:proofErr w:type="spellEnd"/>
      <w:r w:rsidRPr="009D1C79">
        <w:t xml:space="preserve"> skupine G20),</w:t>
      </w:r>
    </w:p>
    <w:p w14:paraId="7D85A4B1" w14:textId="77777777" w:rsidR="007F2449" w:rsidRPr="009D1C79" w:rsidRDefault="007F2449" w:rsidP="007F2449">
      <w:pPr>
        <w:pStyle w:val="NormalHanging"/>
      </w:pPr>
      <w:r w:rsidRPr="009D1C79">
        <w:t>–</w:t>
      </w:r>
      <w:r w:rsidRPr="009D1C79">
        <w:tab/>
        <w:t>uzimajući u obzir izvješće o stanju Odbora za financijsku stabilnost od 22. listopada 2024. naslovljeno „</w:t>
      </w:r>
      <w:proofErr w:type="spellStart"/>
      <w:r w:rsidRPr="009D1C79">
        <w:t>The</w:t>
      </w:r>
      <w:proofErr w:type="spellEnd"/>
      <w:r w:rsidRPr="009D1C79">
        <w:t xml:space="preserve"> </w:t>
      </w:r>
      <w:proofErr w:type="spellStart"/>
      <w:r w:rsidRPr="009D1C79">
        <w:t>financial</w:t>
      </w:r>
      <w:proofErr w:type="spellEnd"/>
      <w:r w:rsidRPr="009D1C79">
        <w:t xml:space="preserve"> </w:t>
      </w:r>
      <w:proofErr w:type="spellStart"/>
      <w:r w:rsidRPr="009D1C79">
        <w:t>stability</w:t>
      </w:r>
      <w:proofErr w:type="spellEnd"/>
      <w:r w:rsidRPr="009D1C79">
        <w:t xml:space="preserve"> </w:t>
      </w:r>
      <w:proofErr w:type="spellStart"/>
      <w:r w:rsidRPr="009D1C79">
        <w:t>implications</w:t>
      </w:r>
      <w:proofErr w:type="spellEnd"/>
      <w:r w:rsidRPr="009D1C79">
        <w:t xml:space="preserve"> </w:t>
      </w:r>
      <w:proofErr w:type="spellStart"/>
      <w:r w:rsidRPr="009D1C79">
        <w:t>of</w:t>
      </w:r>
      <w:proofErr w:type="spellEnd"/>
      <w:r w:rsidRPr="009D1C79">
        <w:t xml:space="preserve"> </w:t>
      </w:r>
      <w:proofErr w:type="spellStart"/>
      <w:r w:rsidRPr="009D1C79">
        <w:t>tokenisation</w:t>
      </w:r>
      <w:proofErr w:type="spellEnd"/>
      <w:r w:rsidRPr="009D1C79">
        <w:t xml:space="preserve">” (Utjecaj </w:t>
      </w:r>
      <w:proofErr w:type="spellStart"/>
      <w:r w:rsidRPr="009D1C79">
        <w:t>tokenizacije</w:t>
      </w:r>
      <w:proofErr w:type="spellEnd"/>
      <w:r w:rsidRPr="009D1C79">
        <w:t xml:space="preserve"> na financijsku stabilnost),</w:t>
      </w:r>
    </w:p>
    <w:p w14:paraId="0B0C0A79" w14:textId="77777777" w:rsidR="007F2449" w:rsidRPr="009D1C79" w:rsidRDefault="007F2449" w:rsidP="007F2449">
      <w:pPr>
        <w:pStyle w:val="NormalHanging"/>
      </w:pPr>
      <w:r w:rsidRPr="009D1C79">
        <w:t>–</w:t>
      </w:r>
      <w:r w:rsidRPr="009D1C79">
        <w:tab/>
        <w:t>uzimajući u obzir savjetodavni dokument Središnje banke Ujedinjene Kraljevine od 10. studenoga 2025. naslovljen „</w:t>
      </w:r>
      <w:proofErr w:type="spellStart"/>
      <w:r w:rsidRPr="009D1C79">
        <w:t>Proposed</w:t>
      </w:r>
      <w:proofErr w:type="spellEnd"/>
      <w:r w:rsidRPr="009D1C79">
        <w:t xml:space="preserve"> </w:t>
      </w:r>
      <w:proofErr w:type="spellStart"/>
      <w:r w:rsidRPr="009D1C79">
        <w:t>regulatory</w:t>
      </w:r>
      <w:proofErr w:type="spellEnd"/>
      <w:r w:rsidRPr="009D1C79">
        <w:t xml:space="preserve"> </w:t>
      </w:r>
      <w:proofErr w:type="spellStart"/>
      <w:r w:rsidRPr="009D1C79">
        <w:t>regime</w:t>
      </w:r>
      <w:proofErr w:type="spellEnd"/>
      <w:r w:rsidRPr="009D1C79">
        <w:t xml:space="preserve"> for </w:t>
      </w:r>
      <w:proofErr w:type="spellStart"/>
      <w:r w:rsidRPr="009D1C79">
        <w:t>sterling-denominated</w:t>
      </w:r>
      <w:proofErr w:type="spellEnd"/>
      <w:r w:rsidRPr="009D1C79">
        <w:t xml:space="preserve"> </w:t>
      </w:r>
      <w:proofErr w:type="spellStart"/>
      <w:r w:rsidRPr="009D1C79">
        <w:t>systemic</w:t>
      </w:r>
      <w:proofErr w:type="spellEnd"/>
      <w:r w:rsidRPr="009D1C79">
        <w:t xml:space="preserve"> </w:t>
      </w:r>
      <w:proofErr w:type="spellStart"/>
      <w:r w:rsidRPr="009D1C79">
        <w:t>stablecoins</w:t>
      </w:r>
      <w:proofErr w:type="spellEnd"/>
      <w:r w:rsidRPr="009D1C79">
        <w:t xml:space="preserve">” (Predloženi regulatorni režim za sistemske stabilne </w:t>
      </w:r>
      <w:proofErr w:type="spellStart"/>
      <w:r w:rsidRPr="009D1C79">
        <w:t>kriptovalute</w:t>
      </w:r>
      <w:proofErr w:type="spellEnd"/>
      <w:r w:rsidRPr="009D1C79">
        <w:t xml:space="preserve"> denominirane u funtama),</w:t>
      </w:r>
    </w:p>
    <w:p w14:paraId="67FA7449" w14:textId="77777777" w:rsidR="007F2449" w:rsidRPr="009D1C79" w:rsidRDefault="007F2449" w:rsidP="007F2449">
      <w:pPr>
        <w:pStyle w:val="NormalHanging"/>
      </w:pPr>
      <w:r w:rsidRPr="009D1C79">
        <w:t>–</w:t>
      </w:r>
      <w:r w:rsidRPr="009D1C79">
        <w:tab/>
        <w:t xml:space="preserve">uzimajući u obzir brifing Odjela za kontrolu ekonomskog upravljanja i EMU-a iz studenoga 2025. naslovljen „Digital </w:t>
      </w:r>
      <w:proofErr w:type="spellStart"/>
      <w:r w:rsidRPr="009D1C79">
        <w:t>assets</w:t>
      </w:r>
      <w:proofErr w:type="spellEnd"/>
      <w:r w:rsidRPr="009D1C79">
        <w:t xml:space="preserve">: EU </w:t>
      </w:r>
      <w:proofErr w:type="spellStart"/>
      <w:r w:rsidRPr="009D1C79">
        <w:t>regulatory</w:t>
      </w:r>
      <w:proofErr w:type="spellEnd"/>
      <w:r w:rsidRPr="009D1C79">
        <w:t xml:space="preserve"> </w:t>
      </w:r>
      <w:proofErr w:type="spellStart"/>
      <w:r w:rsidRPr="009D1C79">
        <w:t>framework</w:t>
      </w:r>
      <w:proofErr w:type="spellEnd"/>
      <w:r w:rsidRPr="009D1C79">
        <w:t xml:space="preserve">, market </w:t>
      </w:r>
      <w:proofErr w:type="spellStart"/>
      <w:r w:rsidRPr="009D1C79">
        <w:t>uptake</w:t>
      </w:r>
      <w:proofErr w:type="spellEnd"/>
      <w:r w:rsidRPr="009D1C79">
        <w:t xml:space="preserve">, </w:t>
      </w:r>
      <w:proofErr w:type="spellStart"/>
      <w:r w:rsidRPr="009D1C79">
        <w:t>risks</w:t>
      </w:r>
      <w:proofErr w:type="spellEnd"/>
      <w:r w:rsidRPr="009D1C79">
        <w:t xml:space="preserve"> </w:t>
      </w:r>
      <w:proofErr w:type="spellStart"/>
      <w:r w:rsidRPr="009D1C79">
        <w:t>and</w:t>
      </w:r>
      <w:proofErr w:type="spellEnd"/>
      <w:r w:rsidRPr="009D1C79">
        <w:t xml:space="preserve"> </w:t>
      </w:r>
      <w:proofErr w:type="spellStart"/>
      <w:r w:rsidRPr="009D1C79">
        <w:t>challenges</w:t>
      </w:r>
      <w:proofErr w:type="spellEnd"/>
      <w:r w:rsidRPr="009D1C79">
        <w:t>” (Digitalna imovina: regulatorni okvir EU-a, prihvaćanje na tržištu, rizici i izazovi),</w:t>
      </w:r>
    </w:p>
    <w:p w14:paraId="0E4BF46E" w14:textId="163BA0D3" w:rsidR="007F2449" w:rsidRPr="009D1C79" w:rsidRDefault="007F2449" w:rsidP="007F2449">
      <w:pPr>
        <w:pStyle w:val="NormalHanging"/>
      </w:pPr>
      <w:r w:rsidRPr="009D1C79">
        <w:t>–</w:t>
      </w:r>
      <w:r w:rsidRPr="009D1C79">
        <w:tab/>
        <w:t>uzimajući u obzir politički dokument Organizacije za gospodarsku suradnju i razvoj (OECD) od 9. siječnja 2025. naslovljen „</w:t>
      </w:r>
      <w:proofErr w:type="spellStart"/>
      <w:r w:rsidRPr="009D1C79">
        <w:t>Tokenisation</w:t>
      </w:r>
      <w:proofErr w:type="spellEnd"/>
      <w:r w:rsidRPr="009D1C79">
        <w:t xml:space="preserve"> </w:t>
      </w:r>
      <w:proofErr w:type="spellStart"/>
      <w:r w:rsidRPr="009D1C79">
        <w:t>of</w:t>
      </w:r>
      <w:proofErr w:type="spellEnd"/>
      <w:r w:rsidRPr="009D1C79">
        <w:t xml:space="preserve"> </w:t>
      </w:r>
      <w:proofErr w:type="spellStart"/>
      <w:r w:rsidRPr="009D1C79">
        <w:t>assets</w:t>
      </w:r>
      <w:proofErr w:type="spellEnd"/>
      <w:r w:rsidRPr="009D1C79">
        <w:t xml:space="preserve"> </w:t>
      </w:r>
      <w:proofErr w:type="spellStart"/>
      <w:r w:rsidRPr="009D1C79">
        <w:t>and</w:t>
      </w:r>
      <w:proofErr w:type="spellEnd"/>
      <w:r w:rsidRPr="009D1C79">
        <w:t xml:space="preserve"> </w:t>
      </w:r>
      <w:proofErr w:type="spellStart"/>
      <w:r w:rsidRPr="009D1C79">
        <w:t>distributed</w:t>
      </w:r>
      <w:proofErr w:type="spellEnd"/>
      <w:r w:rsidRPr="009D1C79">
        <w:t xml:space="preserve"> </w:t>
      </w:r>
      <w:proofErr w:type="spellStart"/>
      <w:r w:rsidRPr="009D1C79">
        <w:t>ledger</w:t>
      </w:r>
      <w:proofErr w:type="spellEnd"/>
      <w:r w:rsidRPr="009D1C79">
        <w:t xml:space="preserve"> </w:t>
      </w:r>
      <w:proofErr w:type="spellStart"/>
      <w:r w:rsidRPr="009D1C79">
        <w:t>technologies</w:t>
      </w:r>
      <w:proofErr w:type="spellEnd"/>
      <w:r w:rsidRPr="009D1C79">
        <w:t xml:space="preserve"> </w:t>
      </w:r>
      <w:proofErr w:type="spellStart"/>
      <w:r w:rsidRPr="009D1C79">
        <w:t>in</w:t>
      </w:r>
      <w:proofErr w:type="spellEnd"/>
      <w:r w:rsidRPr="009D1C79">
        <w:t xml:space="preserve"> </w:t>
      </w:r>
      <w:proofErr w:type="spellStart"/>
      <w:r w:rsidRPr="009D1C79">
        <w:t>financial</w:t>
      </w:r>
      <w:proofErr w:type="spellEnd"/>
      <w:r w:rsidRPr="009D1C79">
        <w:t xml:space="preserve"> </w:t>
      </w:r>
      <w:proofErr w:type="spellStart"/>
      <w:r w:rsidRPr="009D1C79">
        <w:t>markets</w:t>
      </w:r>
      <w:proofErr w:type="spellEnd"/>
      <w:r w:rsidRPr="009D1C79">
        <w:t xml:space="preserve"> – </w:t>
      </w:r>
      <w:proofErr w:type="spellStart"/>
      <w:r w:rsidRPr="009D1C79">
        <w:t>Potential</w:t>
      </w:r>
      <w:proofErr w:type="spellEnd"/>
      <w:r w:rsidRPr="009D1C79">
        <w:t xml:space="preserve"> </w:t>
      </w:r>
      <w:proofErr w:type="spellStart"/>
      <w:r w:rsidRPr="009D1C79">
        <w:t>impediments</w:t>
      </w:r>
      <w:proofErr w:type="spellEnd"/>
      <w:r w:rsidRPr="009D1C79">
        <w:t xml:space="preserve"> to market development </w:t>
      </w:r>
      <w:proofErr w:type="spellStart"/>
      <w:r w:rsidRPr="009D1C79">
        <w:t>and</w:t>
      </w:r>
      <w:proofErr w:type="spellEnd"/>
      <w:r w:rsidRPr="009D1C79">
        <w:t xml:space="preserve"> </w:t>
      </w:r>
      <w:proofErr w:type="spellStart"/>
      <w:r w:rsidRPr="009D1C79">
        <w:t>policy</w:t>
      </w:r>
      <w:proofErr w:type="spellEnd"/>
      <w:r w:rsidRPr="009D1C79">
        <w:t xml:space="preserve"> </w:t>
      </w:r>
      <w:proofErr w:type="spellStart"/>
      <w:r w:rsidRPr="009D1C79">
        <w:t>implications</w:t>
      </w:r>
      <w:proofErr w:type="spellEnd"/>
      <w:r w:rsidRPr="009D1C79">
        <w:t>” (</w:t>
      </w:r>
      <w:proofErr w:type="spellStart"/>
      <w:r w:rsidRPr="009D1C79">
        <w:t>Tokenizacija</w:t>
      </w:r>
      <w:proofErr w:type="spellEnd"/>
      <w:r w:rsidRPr="009D1C79">
        <w:t xml:space="preserve"> imovine i tehnologije distribuiranog zapisa na financijskim tržištima – moguće prepreke za razvoj tržišta i posljedice za politiku)</w:t>
      </w:r>
      <w:r w:rsidR="00A973AB">
        <w:rPr>
          <w:rStyle w:val="FootnoteReference"/>
        </w:rPr>
        <w:footnoteReference w:id="2"/>
      </w:r>
      <w:r w:rsidRPr="009D1C79">
        <w:t>,</w:t>
      </w:r>
    </w:p>
    <w:p w14:paraId="12ECE69F" w14:textId="77777777" w:rsidR="007F2449" w:rsidRPr="009D1C79" w:rsidRDefault="007F2449" w:rsidP="007F2449">
      <w:pPr>
        <w:pStyle w:val="NormalHanging"/>
      </w:pPr>
      <w:r w:rsidRPr="009D1C79">
        <w:t>–</w:t>
      </w:r>
      <w:r w:rsidRPr="009D1C79">
        <w:tab/>
        <w:t>uzimajući u obzir članak 55. Poslovnika,</w:t>
      </w:r>
    </w:p>
    <w:p w14:paraId="25582041" w14:textId="77777777" w:rsidR="007F2449" w:rsidRPr="009D1C79" w:rsidRDefault="007F2449" w:rsidP="007F2449">
      <w:pPr>
        <w:pStyle w:val="NormalHanging"/>
      </w:pPr>
      <w:r w:rsidRPr="009D1C79">
        <w:t>–</w:t>
      </w:r>
      <w:r w:rsidRPr="009D1C79">
        <w:tab/>
        <w:t>uzimajući u obzir izvješće Odbora za ekonomsku i monetarnu politiku (A10-0186/2026),</w:t>
      </w:r>
    </w:p>
    <w:p w14:paraId="40DA23D2" w14:textId="77777777" w:rsidR="007F2449" w:rsidRPr="009D1C79" w:rsidRDefault="007F2449" w:rsidP="007F2449">
      <w:pPr>
        <w:pStyle w:val="NormalHanging"/>
      </w:pPr>
      <w:r w:rsidRPr="009D1C79">
        <w:t>A.</w:t>
      </w:r>
      <w:r w:rsidRPr="009D1C79">
        <w:tab/>
        <w:t xml:space="preserve">budući da, u skladu s anketom ESB-a o očekivanjima potrošača iz studenoga 2024., u prosjeku 9,7 % ispitanika ili netko od članova njihova kućanstva posjeduje </w:t>
      </w:r>
      <w:proofErr w:type="spellStart"/>
      <w:r w:rsidRPr="009D1C79">
        <w:lastRenderedPageBreak/>
        <w:t>kriptoimovinu</w:t>
      </w:r>
      <w:proofErr w:type="spellEnd"/>
      <w:r w:rsidRPr="009D1C79">
        <w:t>, od čega njih 54 % u vrijednosti manjoj od 1 000 EUR, a 91 % u vrijednosti manjoj od 20 000 EUR;</w:t>
      </w:r>
    </w:p>
    <w:p w14:paraId="0B9D10B3" w14:textId="77777777" w:rsidR="007F2449" w:rsidRPr="009D1C79" w:rsidRDefault="007F2449" w:rsidP="007F2449">
      <w:pPr>
        <w:pStyle w:val="NormalHanging"/>
      </w:pPr>
      <w:r w:rsidRPr="009D1C79">
        <w:t>B.</w:t>
      </w:r>
      <w:r w:rsidRPr="009D1C79">
        <w:tab/>
        <w:t xml:space="preserve">budući da je, na temelju privatnih izvora podataka, ukupna globalna tržišna kapitalizacija </w:t>
      </w:r>
      <w:proofErr w:type="spellStart"/>
      <w:r w:rsidRPr="009D1C79">
        <w:t>kriptoimovine</w:t>
      </w:r>
      <w:proofErr w:type="spellEnd"/>
      <w:r w:rsidRPr="009D1C79">
        <w:t xml:space="preserve"> 10. veljače 2026. iznosila 2,03 bilijuna EUR, s tržišnim udjelom od 12,9 %, odnosno 261 milijardu EUR, za stabilne </w:t>
      </w:r>
      <w:proofErr w:type="spellStart"/>
      <w:r w:rsidRPr="009D1C79">
        <w:t>kriptovalute</w:t>
      </w:r>
      <w:proofErr w:type="spellEnd"/>
      <w:r w:rsidRPr="009D1C79">
        <w:t xml:space="preserve">; budući da u skladu s radnim dokumentom ESB-a br. 3199 tržišna očekivanja upućuju na snažan rast izdavanja stabilnih </w:t>
      </w:r>
      <w:proofErr w:type="spellStart"/>
      <w:r w:rsidRPr="009D1C79">
        <w:t>kriptovaluta</w:t>
      </w:r>
      <w:proofErr w:type="spellEnd"/>
      <w:r w:rsidRPr="009D1C79">
        <w:t>;</w:t>
      </w:r>
    </w:p>
    <w:p w14:paraId="23965B9A" w14:textId="77777777" w:rsidR="007F2449" w:rsidRPr="009D1C79" w:rsidRDefault="007F2449" w:rsidP="007F2449">
      <w:pPr>
        <w:pStyle w:val="NormalHanging"/>
      </w:pPr>
      <w:r w:rsidRPr="009D1C79">
        <w:t>C.</w:t>
      </w:r>
      <w:r w:rsidRPr="009D1C79">
        <w:tab/>
        <w:t xml:space="preserve">budući da je, na temelju privatnih izvora podataka koji nisu usklađeni </w:t>
      </w:r>
      <w:proofErr w:type="spellStart"/>
      <w:r w:rsidRPr="009D1C79">
        <w:t>tokenizirana</w:t>
      </w:r>
      <w:proofErr w:type="spellEnd"/>
      <w:r w:rsidRPr="009D1C79">
        <w:t xml:space="preserve"> imovina u veljači 2026. činila oko 1 % globalne digitalne imovine te da njezin udio brzo raste;</w:t>
      </w:r>
    </w:p>
    <w:p w14:paraId="5A44DBBD" w14:textId="77777777" w:rsidR="007F2449" w:rsidRPr="009D1C79" w:rsidRDefault="007F2449" w:rsidP="007F2449">
      <w:pPr>
        <w:pStyle w:val="NormalHanging"/>
      </w:pPr>
      <w:r w:rsidRPr="009D1C79">
        <w:t>D.</w:t>
      </w:r>
      <w:r w:rsidRPr="009D1C79">
        <w:tab/>
        <w:t xml:space="preserve">budući da je, na temelju privatnih izvora podataka, 2025. globalna radna snaga u području </w:t>
      </w:r>
      <w:proofErr w:type="spellStart"/>
      <w:r w:rsidRPr="009D1C79">
        <w:t>kriptoimovine</w:t>
      </w:r>
      <w:proofErr w:type="spellEnd"/>
      <w:r w:rsidRPr="009D1C79">
        <w:t xml:space="preserve"> brojila više od 1,6 milijuna stručnjaka, od čega velik udio stručnjaka radi u EU-u, ali se taj udio smanjuje;</w:t>
      </w:r>
    </w:p>
    <w:p w14:paraId="1EAED5BA" w14:textId="23B5D866" w:rsidR="007F2449" w:rsidRPr="009D1C79" w:rsidRDefault="007F2449" w:rsidP="007F2449">
      <w:pPr>
        <w:pStyle w:val="NormalHanging"/>
      </w:pPr>
      <w:r w:rsidRPr="009D1C79">
        <w:t>E.</w:t>
      </w:r>
      <w:r w:rsidRPr="009D1C79">
        <w:tab/>
        <w:t>budući da se u članku 2. stavku 1. Uredbe (EU) 2022/858</w:t>
      </w:r>
      <w:r w:rsidR="00A973AB">
        <w:rPr>
          <w:rStyle w:val="FootnoteReference"/>
        </w:rPr>
        <w:footnoteReference w:id="3"/>
      </w:r>
      <w:r w:rsidRPr="009D1C79">
        <w:t xml:space="preserve"> o pilot-režimu za tehnologiju distribuiranog zapisa „tehnologija distribuiranog zapisa” ili „DLT” definira kao „tehnologija kojom se omogućuje funkcioniranje i upotreba distribuiranih zapisa”; budući da se u članku 2. stavku 2. „distribuirani zapis” definira kao „repozitorij podataka kojim se vodi evidencija transakcija te koji se, s pomoću mehanizma konsenzusa, dijeli kroz skup mrežnih čvorova DLT i koji se među tim mrežnim čvorovima sinkronizira”;</w:t>
      </w:r>
    </w:p>
    <w:p w14:paraId="344A01E9" w14:textId="4B731848" w:rsidR="007F2449" w:rsidRPr="009D1C79" w:rsidRDefault="007F2449" w:rsidP="007F2449">
      <w:pPr>
        <w:pStyle w:val="NormalHanging"/>
      </w:pPr>
      <w:r w:rsidRPr="009D1C79">
        <w:t>F.</w:t>
      </w:r>
      <w:r w:rsidRPr="009D1C79">
        <w:tab/>
        <w:t xml:space="preserve">budući da se Uredbom (EU) 2023/1114 o tržištima </w:t>
      </w:r>
      <w:proofErr w:type="spellStart"/>
      <w:r w:rsidRPr="009D1C79">
        <w:t>kriptoimovine</w:t>
      </w:r>
      <w:proofErr w:type="spellEnd"/>
      <w:r w:rsidR="00A973AB">
        <w:rPr>
          <w:rStyle w:val="FootnoteReference"/>
        </w:rPr>
        <w:footnoteReference w:id="4"/>
      </w:r>
      <w:r w:rsidRPr="009D1C79">
        <w:t xml:space="preserve"> (</w:t>
      </w:r>
      <w:proofErr w:type="spellStart"/>
      <w:r w:rsidRPr="009D1C79">
        <w:t>MiCA</w:t>
      </w:r>
      <w:proofErr w:type="spellEnd"/>
      <w:r w:rsidRPr="009D1C79">
        <w:t xml:space="preserve">) uspostavlja usklađen okvir u EU-u za </w:t>
      </w:r>
      <w:proofErr w:type="spellStart"/>
      <w:r w:rsidRPr="009D1C79">
        <w:t>kriptoimovinu</w:t>
      </w:r>
      <w:proofErr w:type="spellEnd"/>
      <w:r w:rsidRPr="009D1C79">
        <w:t xml:space="preserve">, u kojem se razlikuju tri glavne kategorije, a to su tokeni elektroničkog novca, čija se vrijednost nastoji stabilizirati vezivanjem uz jednu službenu valutu, tokeni vezani uz imovinu, čija se vrijednost nastoji održati stabilnom vezivanjem uz drugu vrijednost ili pravo, odnosno njihovu kombinaciju, uključujući jednu ili više službenih valuta, te ostala </w:t>
      </w:r>
      <w:proofErr w:type="spellStart"/>
      <w:r w:rsidRPr="009D1C79">
        <w:t>kriptoimovina</w:t>
      </w:r>
      <w:proofErr w:type="spellEnd"/>
      <w:r w:rsidRPr="009D1C79">
        <w:t>, odnosno digitalni prikaz vrijednosti ili prava koji se mogu prenositi i pohranjivati elektronički, s pomoću tehnologije distribuiranog zapisa ili slične tehnologije, a nisu obuhvaćeni drugim kategorijama;</w:t>
      </w:r>
    </w:p>
    <w:p w14:paraId="16380A1C" w14:textId="77777777" w:rsidR="007F2449" w:rsidRPr="009D1C79" w:rsidRDefault="007F2449" w:rsidP="007F2449">
      <w:pPr>
        <w:pStyle w:val="NormalHanging"/>
      </w:pPr>
      <w:r w:rsidRPr="009D1C79">
        <w:t>G.</w:t>
      </w:r>
      <w:r w:rsidRPr="009D1C79">
        <w:tab/>
        <w:t xml:space="preserve">budući da se u skladu s člankom 2. stavkom 4. Uredbe o tržištima </w:t>
      </w:r>
      <w:proofErr w:type="spellStart"/>
      <w:r w:rsidRPr="009D1C79">
        <w:t>kriptoimovine</w:t>
      </w:r>
      <w:proofErr w:type="spellEnd"/>
      <w:r w:rsidRPr="009D1C79">
        <w:t xml:space="preserve"> iz njezina područja primjene isključuje </w:t>
      </w:r>
      <w:proofErr w:type="spellStart"/>
      <w:r w:rsidRPr="009D1C79">
        <w:t>kriptoimovina</w:t>
      </w:r>
      <w:proofErr w:type="spellEnd"/>
      <w:r w:rsidRPr="009D1C79">
        <w:t xml:space="preserve"> koja se kvalificira kao financijski instrumenti, depoziti, novčana sredstva, </w:t>
      </w:r>
      <w:proofErr w:type="spellStart"/>
      <w:r w:rsidRPr="009D1C79">
        <w:t>sekuritizacije</w:t>
      </w:r>
      <w:proofErr w:type="spellEnd"/>
      <w:r w:rsidRPr="009D1C79">
        <w:t xml:space="preserve">, proizvodi osiguranja ili mirovinski proizvodi u skladu s postojećim pravom EU-a, čime se osigurava da takva </w:t>
      </w:r>
      <w:proofErr w:type="spellStart"/>
      <w:r w:rsidRPr="009D1C79">
        <w:t>kriptoimovina</w:t>
      </w:r>
      <w:proofErr w:type="spellEnd"/>
      <w:r w:rsidRPr="009D1C79">
        <w:t xml:space="preserve"> i dalje podliježe relevantnim sektorskim zakonodavnim okvirima te se odražava model nadzora koji se temelji na proizvodima u pravu EU-a o financijskim uslugama;</w:t>
      </w:r>
    </w:p>
    <w:p w14:paraId="7EE88C11" w14:textId="77777777" w:rsidR="007F2449" w:rsidRPr="009D1C79" w:rsidRDefault="007F2449" w:rsidP="007F2449">
      <w:pPr>
        <w:pStyle w:val="NormalHanging"/>
      </w:pPr>
      <w:r w:rsidRPr="009D1C79">
        <w:lastRenderedPageBreak/>
        <w:t>H.</w:t>
      </w:r>
      <w:r w:rsidRPr="009D1C79">
        <w:tab/>
        <w:t xml:space="preserve">budući da je nova vlada SAD-a znatno otvorenija prema </w:t>
      </w:r>
      <w:proofErr w:type="spellStart"/>
      <w:r w:rsidRPr="009D1C79">
        <w:t>kriptoimovini</w:t>
      </w:r>
      <w:proofErr w:type="spellEnd"/>
      <w:r w:rsidRPr="009D1C79">
        <w:t xml:space="preserve">, što je dovelo do donošenja ključnog zakonodavstva i blažeg pristupa nadzornih tijela u pogledu provedbe; budući da je regulatorni pristup u Sjedinjenim Američkim Državama i dalje u razvoju i da se tvorci politika i regulatorna tijela SAD-a općenito koriste pojmom „digitalna imovina”, za koji se obično podrazumijeva da obuhvaća kriptografski digitalni prikaz vrijednosti ili prava osiguranih u distribuiranom zapisu, što uključuje </w:t>
      </w:r>
      <w:proofErr w:type="spellStart"/>
      <w:r w:rsidRPr="009D1C79">
        <w:t>kriptovalute</w:t>
      </w:r>
      <w:proofErr w:type="spellEnd"/>
      <w:r w:rsidRPr="009D1C79">
        <w:t xml:space="preserve">, stabilne </w:t>
      </w:r>
      <w:proofErr w:type="spellStart"/>
      <w:r w:rsidRPr="009D1C79">
        <w:t>kriptovalute</w:t>
      </w:r>
      <w:proofErr w:type="spellEnd"/>
      <w:r w:rsidRPr="009D1C79">
        <w:t xml:space="preserve"> i određene </w:t>
      </w:r>
      <w:proofErr w:type="spellStart"/>
      <w:r w:rsidRPr="009D1C79">
        <w:t>tokenizirane</w:t>
      </w:r>
      <w:proofErr w:type="spellEnd"/>
      <w:r w:rsidRPr="009D1C79">
        <w:t xml:space="preserve"> instrumente;</w:t>
      </w:r>
    </w:p>
    <w:p w14:paraId="3A525559" w14:textId="77777777" w:rsidR="007F2449" w:rsidRPr="009D1C79" w:rsidRDefault="007F2449" w:rsidP="007F2449">
      <w:pPr>
        <w:pStyle w:val="Normal12a"/>
      </w:pPr>
      <w:r w:rsidRPr="009D1C79">
        <w:rPr>
          <w:b/>
          <w:i/>
        </w:rPr>
        <w:t>Pregled</w:t>
      </w:r>
    </w:p>
    <w:p w14:paraId="03A103D6" w14:textId="77777777" w:rsidR="007F2449" w:rsidRPr="009D1C79" w:rsidRDefault="007F2449" w:rsidP="007F2449">
      <w:pPr>
        <w:pStyle w:val="NormalHanging12a"/>
      </w:pPr>
      <w:r w:rsidRPr="009D1C79">
        <w:t>1.</w:t>
      </w:r>
      <w:r w:rsidRPr="009D1C79">
        <w:tab/>
        <w:t>podržava dugoročni cilj u pogledu pristupa regulatornom okviru EU-a za financijske usluge koji je na razini cijelog sustava, temelji se na aktivnostima i tehnološki je neutralan;</w:t>
      </w:r>
    </w:p>
    <w:p w14:paraId="531CEDAD" w14:textId="77777777" w:rsidR="007F2449" w:rsidRPr="009D1C79" w:rsidRDefault="007F2449" w:rsidP="007F2449">
      <w:pPr>
        <w:pStyle w:val="NormalHanging12a"/>
      </w:pPr>
      <w:r w:rsidRPr="009D1C79">
        <w:t>2.</w:t>
      </w:r>
      <w:r w:rsidRPr="009D1C79">
        <w:tab/>
        <w:t xml:space="preserve">ističe da DLT i </w:t>
      </w:r>
      <w:proofErr w:type="spellStart"/>
      <w:r w:rsidRPr="009D1C79">
        <w:t>tokenizacija</w:t>
      </w:r>
      <w:proofErr w:type="spellEnd"/>
      <w:r w:rsidRPr="009D1C79">
        <w:t xml:space="preserve"> imovine imaju potencijal za podupiranje ciljeva unije štednje i ulaganja, i to olakšavanjem prekograničnih ulaganja, smanjenjem rascjepkanosti tržišta i omogućavanjem učinkovitije infrastrukture tržišta kapitala u cijelom EU-u; ističe presudnu ulogu interoperabilnosti;</w:t>
      </w:r>
    </w:p>
    <w:p w14:paraId="17D6E3E3" w14:textId="77777777" w:rsidR="007F2449" w:rsidRPr="009D1C79" w:rsidRDefault="007F2449" w:rsidP="007F2449">
      <w:pPr>
        <w:pStyle w:val="NormalHanging12a"/>
      </w:pPr>
      <w:r w:rsidRPr="009D1C79">
        <w:t>3.</w:t>
      </w:r>
      <w:r w:rsidRPr="009D1C79">
        <w:tab/>
        <w:t xml:space="preserve">naglašava da pojava novih tehnologija u financijama donosi nove izazove za regulatorni i nadzorni okvir; prima na znanje raznolikost digitalne imovine i uviđa da se povezani rizici i poslovni potencijal razlikuju među kategorijama; potvrđuje svoju predanost ciljanoj reviziji regulatornih okvira EU-a kako bi se razvila snažna europska infrastruktura tržišta kapitala i plaćanja omogućena digitalnom imovinom; potiče Komisiju da procijeni nužnost i izvedivost reguliranja uzajmljivanja i pozajmljivanja </w:t>
      </w:r>
      <w:proofErr w:type="spellStart"/>
      <w:r w:rsidRPr="009D1C79">
        <w:t>kriptoimovine</w:t>
      </w:r>
      <w:proofErr w:type="spellEnd"/>
      <w:r w:rsidRPr="009D1C79">
        <w:t xml:space="preserve">, uključujući ulaganje, nezamjenjive tokene i decentralizirano financiranje, u okviru </w:t>
      </w:r>
      <w:proofErr w:type="spellStart"/>
      <w:r w:rsidRPr="009D1C79">
        <w:t>MiCA</w:t>
      </w:r>
      <w:proofErr w:type="spellEnd"/>
      <w:r w:rsidRPr="009D1C79">
        <w:t>-e;</w:t>
      </w:r>
    </w:p>
    <w:p w14:paraId="29F12D5E" w14:textId="77777777" w:rsidR="007F2449" w:rsidRPr="009D1C79" w:rsidRDefault="007F2449" w:rsidP="007F2449">
      <w:pPr>
        <w:pStyle w:val="NormalHanging12a"/>
      </w:pPr>
      <w:r w:rsidRPr="009D1C79">
        <w:t>4.</w:t>
      </w:r>
      <w:r w:rsidRPr="009D1C79">
        <w:tab/>
        <w:t xml:space="preserve">ističe potencijal koji u pogledu inovacija i </w:t>
      </w:r>
      <w:proofErr w:type="spellStart"/>
      <w:r w:rsidRPr="009D1C79">
        <w:t>povezivosti</w:t>
      </w:r>
      <w:proofErr w:type="spellEnd"/>
      <w:r w:rsidRPr="009D1C79">
        <w:t xml:space="preserve"> kriptografski zaštićeni distribuirani zapisi i slične tehnologije imaju za infrastrukturu financijskih usluga, kako unutar EU-a tako i za globalnu ulogu EU-a; naglašava da će predvidljivo regulatorno okružje koje pogoduje inovacijama biti presudno kako bi se osiguralo da ulaganja i tehnološki razvoj ostanu u EU-u te da se potiču konkurentnost i povjerenje u financijsku infrastrukturu denominiranu u eurima;</w:t>
      </w:r>
    </w:p>
    <w:p w14:paraId="246647F1" w14:textId="77777777" w:rsidR="007F2449" w:rsidRPr="009D1C79" w:rsidRDefault="007F2449" w:rsidP="007F2449">
      <w:pPr>
        <w:pStyle w:val="Normal12a"/>
      </w:pPr>
      <w:proofErr w:type="spellStart"/>
      <w:r w:rsidRPr="009D1C79">
        <w:rPr>
          <w:b/>
          <w:i/>
        </w:rPr>
        <w:t>Kriptoimovina</w:t>
      </w:r>
      <w:proofErr w:type="spellEnd"/>
    </w:p>
    <w:p w14:paraId="02E2A566" w14:textId="3DAEECB6" w:rsidR="007F2449" w:rsidRPr="009D1C79" w:rsidRDefault="007F2449" w:rsidP="007F2449">
      <w:pPr>
        <w:pStyle w:val="NormalHanging12a"/>
      </w:pPr>
      <w:r w:rsidRPr="009D1C79">
        <w:t>5.</w:t>
      </w:r>
      <w:r w:rsidRPr="009D1C79">
        <w:tab/>
        <w:t xml:space="preserve">potvrđuje da je EU bio među prvim jurisdikcijama koje su donijele i provele namjenski režim za </w:t>
      </w:r>
      <w:proofErr w:type="spellStart"/>
      <w:r w:rsidRPr="009D1C79">
        <w:t>kriptoimovinu</w:t>
      </w:r>
      <w:proofErr w:type="spellEnd"/>
      <w:r w:rsidRPr="009D1C79">
        <w:t xml:space="preserve">, i to Uredbom o tržištima </w:t>
      </w:r>
      <w:proofErr w:type="spellStart"/>
      <w:r w:rsidRPr="009D1C79">
        <w:t>kriptoimovine</w:t>
      </w:r>
      <w:proofErr w:type="spellEnd"/>
      <w:r w:rsidRPr="009D1C79">
        <w:t xml:space="preserve">, te koje su primijenile tehnologiju DLT-a u financijskom sektoru; poziva Komisiju da u bliskoj suradnji s EBA-om, ESMA-om, Tijelom za sprečavanje pranja novca i borbu protiv financiranja terorizma (AMLA) i nacionalnim nadležnim tijelima osigura učinkovitu provedbu Uredbe o tržištima </w:t>
      </w:r>
      <w:proofErr w:type="spellStart"/>
      <w:r w:rsidRPr="009D1C79">
        <w:t>kriptoimovine</w:t>
      </w:r>
      <w:proofErr w:type="spellEnd"/>
      <w:r w:rsidRPr="009D1C79">
        <w:t xml:space="preserve">; poziva države članice da se suzdrže od uvođenja dodatnih zahtjeva i obveza izvan okvira Uredbe o tržištima </w:t>
      </w:r>
      <w:proofErr w:type="spellStart"/>
      <w:r w:rsidRPr="009D1C79">
        <w:t>kriptoimovine</w:t>
      </w:r>
      <w:proofErr w:type="spellEnd"/>
      <w:r w:rsidRPr="009D1C79">
        <w:t xml:space="preserve"> ili Uredbe o informacijama koje se prilažu prijenosima novčanih sredstava i određene </w:t>
      </w:r>
      <w:proofErr w:type="spellStart"/>
      <w:r w:rsidRPr="009D1C79">
        <w:t>kriptoimovine</w:t>
      </w:r>
      <w:proofErr w:type="spellEnd"/>
      <w:r w:rsidR="00A973AB">
        <w:rPr>
          <w:rStyle w:val="FootnoteReference"/>
        </w:rPr>
        <w:footnoteReference w:id="5"/>
      </w:r>
      <w:r w:rsidRPr="009D1C79">
        <w:t>;</w:t>
      </w:r>
    </w:p>
    <w:p w14:paraId="4BEFDA0C" w14:textId="77777777" w:rsidR="007F2449" w:rsidRPr="009D1C79" w:rsidRDefault="007F2449" w:rsidP="007F2449">
      <w:pPr>
        <w:pStyle w:val="NormalHanging12a"/>
      </w:pPr>
      <w:r w:rsidRPr="009D1C79">
        <w:lastRenderedPageBreak/>
        <w:t>6.</w:t>
      </w:r>
      <w:r w:rsidRPr="009D1C79">
        <w:tab/>
        <w:t xml:space="preserve">ističe važnost jačanja podatkovnih kapaciteta, posebno u pogledu učinka poluge u </w:t>
      </w:r>
      <w:proofErr w:type="spellStart"/>
      <w:r w:rsidRPr="009D1C79">
        <w:t>kriptoindustriji</w:t>
      </w:r>
      <w:proofErr w:type="spellEnd"/>
      <w:r w:rsidRPr="009D1C79">
        <w:t xml:space="preserve"> i međupovezanosti sa sektorom nebankarskih financijskih institucija; potiče Komisiju da i dalje prati međusobnu povezanost </w:t>
      </w:r>
      <w:proofErr w:type="spellStart"/>
      <w:r w:rsidRPr="009D1C79">
        <w:t>kriptoimovine</w:t>
      </w:r>
      <w:proofErr w:type="spellEnd"/>
      <w:r w:rsidRPr="009D1C79">
        <w:t xml:space="preserve"> i financijskog sustava; napominje da </w:t>
      </w:r>
      <w:proofErr w:type="spellStart"/>
      <w:r w:rsidRPr="009D1C79">
        <w:t>kriptoimovina</w:t>
      </w:r>
      <w:proofErr w:type="spellEnd"/>
      <w:r w:rsidRPr="009D1C79">
        <w:t xml:space="preserve"> nevezana uz imovinu može biti izložena dodatnim rizicima i volatilnosti;</w:t>
      </w:r>
    </w:p>
    <w:p w14:paraId="4B8CEDB4" w14:textId="77777777" w:rsidR="007F2449" w:rsidRPr="009D1C79" w:rsidRDefault="007F2449" w:rsidP="007F2449">
      <w:pPr>
        <w:pStyle w:val="NormalHanging12a"/>
      </w:pPr>
      <w:r w:rsidRPr="009D1C79">
        <w:t>7.</w:t>
      </w:r>
      <w:r w:rsidRPr="009D1C79">
        <w:tab/>
        <w:t xml:space="preserve">poziva EBA-u, ESMA-u i AMLA-u, Europsko nadzorno tijelo za osiguranje i strukovno mirovinsko osiguranje, nacionalna nadležna tijela, ESB i ESRB da ojačaju nadzorni dijalog o značajnim </w:t>
      </w:r>
      <w:proofErr w:type="spellStart"/>
      <w:r w:rsidRPr="009D1C79">
        <w:t>višefunkcijskim</w:t>
      </w:r>
      <w:proofErr w:type="spellEnd"/>
      <w:r w:rsidRPr="009D1C79">
        <w:t xml:space="preserve"> grupama; ističe da je potrebno uskladiti politički okvir Uredbe o tržištima </w:t>
      </w:r>
      <w:proofErr w:type="spellStart"/>
      <w:r w:rsidRPr="009D1C79">
        <w:t>kriptoimovine</w:t>
      </w:r>
      <w:proofErr w:type="spellEnd"/>
      <w:r w:rsidRPr="009D1C79">
        <w:t xml:space="preserve"> za značajne nebankarske </w:t>
      </w:r>
      <w:proofErr w:type="spellStart"/>
      <w:r w:rsidRPr="009D1C79">
        <w:t>višefunkcijske</w:t>
      </w:r>
      <w:proofErr w:type="spellEnd"/>
      <w:r w:rsidRPr="009D1C79">
        <w:t xml:space="preserve"> grupe;</w:t>
      </w:r>
    </w:p>
    <w:p w14:paraId="78880015" w14:textId="77777777" w:rsidR="007F2449" w:rsidRPr="009D1C79" w:rsidRDefault="007F2449" w:rsidP="007F2449">
      <w:pPr>
        <w:pStyle w:val="NormalHanging12a"/>
      </w:pPr>
      <w:r w:rsidRPr="009D1C79">
        <w:t>8.</w:t>
      </w:r>
      <w:r w:rsidRPr="009D1C79">
        <w:tab/>
        <w:t>priznaje da se tehnologijama distribuiranog zapisa uvode nova tehnološka i operativna razmatranja za financijska nadzorna tijela, uključujući pitanja povezana sa sigurnošću pametnih ugovora, upravljanjem decentraliziranim mrežama, kibernetičkom otpornošću i upravljanjem operativnim rizicima; poziva nadzorna tijela da razviju dovoljno tehničkog stručnog znanja za učinkovito razumijevanje i praćenje tih novih tržišnih infrastruktura;</w:t>
      </w:r>
    </w:p>
    <w:p w14:paraId="147822D6" w14:textId="77777777" w:rsidR="007F2449" w:rsidRPr="009D1C79" w:rsidRDefault="007F2449" w:rsidP="007F2449">
      <w:pPr>
        <w:pStyle w:val="NormalHanging12a"/>
      </w:pPr>
      <w:r w:rsidRPr="009D1C79">
        <w:t>9.</w:t>
      </w:r>
      <w:r w:rsidRPr="009D1C79">
        <w:tab/>
        <w:t xml:space="preserve">izražava zabrinutost zbog uloge koju </w:t>
      </w:r>
      <w:proofErr w:type="spellStart"/>
      <w:r w:rsidRPr="009D1C79">
        <w:t>kriptoimovina</w:t>
      </w:r>
      <w:proofErr w:type="spellEnd"/>
      <w:r w:rsidRPr="009D1C79">
        <w:t xml:space="preserve"> ima u izbjegavanju propisa i sankcija za sprečavanje pranja novca i borbu protiv financiranja terorizma (SPNFT); ističe važnost jačanja nadzornih instrumenata, provedbe i standarda usklađenosti kako bi se odgovorilo na rizike u području SPNFT-a, uključujući učinkovite standarde „upoznaj svog klijenta” i praćenje plaćanja; naglašava da je važno da se istražna tijela koriste tehnologijom na kojoj se temelji </w:t>
      </w:r>
      <w:proofErr w:type="spellStart"/>
      <w:r w:rsidRPr="009D1C79">
        <w:t>kriptoimovina</w:t>
      </w:r>
      <w:proofErr w:type="spellEnd"/>
      <w:r w:rsidRPr="009D1C79">
        <w:t xml:space="preserve"> kako bi odvratila od kaznenih djela povezanih s </w:t>
      </w:r>
      <w:proofErr w:type="spellStart"/>
      <w:r w:rsidRPr="009D1C79">
        <w:t>kriptoimovinom</w:t>
      </w:r>
      <w:proofErr w:type="spellEnd"/>
      <w:r w:rsidRPr="009D1C79">
        <w:t xml:space="preserve"> i međusobno surađivala na blokiranju otkrivenih ili prijavljenih nezakonitih transakcija;</w:t>
      </w:r>
    </w:p>
    <w:p w14:paraId="5FDD334C" w14:textId="77777777" w:rsidR="007F2449" w:rsidRPr="009D1C79" w:rsidRDefault="007F2449" w:rsidP="007F2449">
      <w:pPr>
        <w:pStyle w:val="NormalHanging12a"/>
      </w:pPr>
      <w:r w:rsidRPr="009D1C79">
        <w:t>10.</w:t>
      </w:r>
      <w:r w:rsidRPr="009D1C79">
        <w:tab/>
        <w:t xml:space="preserve">prima na znanje pojavu hibridnih proizvoda u kojima se kombiniraju značajke </w:t>
      </w:r>
      <w:proofErr w:type="spellStart"/>
      <w:r w:rsidRPr="009D1C79">
        <w:t>kriptoimovine</w:t>
      </w:r>
      <w:proofErr w:type="spellEnd"/>
      <w:r w:rsidRPr="009D1C79">
        <w:t xml:space="preserve"> i tradicionalnih financijskih instrumenata i koji mogu stvoriti pravnu nesigurnost;</w:t>
      </w:r>
    </w:p>
    <w:p w14:paraId="4405D65B" w14:textId="77777777" w:rsidR="007F2449" w:rsidRPr="009D1C79" w:rsidRDefault="007F2449" w:rsidP="007F2449">
      <w:pPr>
        <w:pStyle w:val="Normal12a"/>
      </w:pPr>
      <w:proofErr w:type="spellStart"/>
      <w:r w:rsidRPr="009D1C79">
        <w:rPr>
          <w:b/>
          <w:i/>
        </w:rPr>
        <w:t>Tokenizacija</w:t>
      </w:r>
      <w:proofErr w:type="spellEnd"/>
      <w:r w:rsidRPr="009D1C79">
        <w:rPr>
          <w:b/>
          <w:i/>
        </w:rPr>
        <w:t xml:space="preserve"> financijskih instrumenata</w:t>
      </w:r>
    </w:p>
    <w:p w14:paraId="2EFD428B" w14:textId="77777777" w:rsidR="007F2449" w:rsidRPr="009D1C79" w:rsidRDefault="007F2449" w:rsidP="007F2449">
      <w:pPr>
        <w:pStyle w:val="NormalHanging12a"/>
      </w:pPr>
      <w:r w:rsidRPr="009D1C79">
        <w:t>11.</w:t>
      </w:r>
      <w:r w:rsidRPr="009D1C79">
        <w:tab/>
        <w:t>konstatira da se u uvodnoj izjavi 3. Uredbe (EU) 2022/858 „</w:t>
      </w:r>
      <w:proofErr w:type="spellStart"/>
      <w:r w:rsidRPr="009D1C79">
        <w:t>tokenizacija</w:t>
      </w:r>
      <w:proofErr w:type="spellEnd"/>
      <w:r w:rsidRPr="009D1C79">
        <w:t xml:space="preserve">” financijskih instrumenata definira kao digitalni prikaz financijskih instrumenata u okviru distribuiranih zapisa ili izdavanja tradicionalnih kategorija imovine u </w:t>
      </w:r>
      <w:proofErr w:type="spellStart"/>
      <w:r w:rsidRPr="009D1C79">
        <w:t>tokeniziranom</w:t>
      </w:r>
      <w:proofErr w:type="spellEnd"/>
      <w:r w:rsidRPr="009D1C79">
        <w:t xml:space="preserve"> obliku radi omogućivanja njihova izdavanja, pohrane i prijenosa u okviru distribuiranog zapisa;</w:t>
      </w:r>
    </w:p>
    <w:p w14:paraId="44EE8E09" w14:textId="77777777" w:rsidR="007F2449" w:rsidRPr="009D1C79" w:rsidRDefault="007F2449" w:rsidP="007F2449">
      <w:pPr>
        <w:pStyle w:val="NormalHanging12a"/>
      </w:pPr>
      <w:r w:rsidRPr="009D1C79">
        <w:t>12.</w:t>
      </w:r>
      <w:r w:rsidRPr="009D1C79">
        <w:tab/>
        <w:t xml:space="preserve">naglašava da </w:t>
      </w:r>
      <w:proofErr w:type="spellStart"/>
      <w:r w:rsidRPr="009D1C79">
        <w:t>tokenizacija</w:t>
      </w:r>
      <w:proofErr w:type="spellEnd"/>
      <w:r w:rsidRPr="009D1C79">
        <w:t xml:space="preserve"> financijske imovine sama po sebi ne mijenja pravnu prirodu niti temeljna gospodarska obilježja te imovine; naglašava da se za </w:t>
      </w:r>
      <w:proofErr w:type="spellStart"/>
      <w:r w:rsidRPr="009D1C79">
        <w:t>tokenizirane</w:t>
      </w:r>
      <w:proofErr w:type="spellEnd"/>
      <w:r w:rsidRPr="009D1C79">
        <w:t xml:space="preserve"> financijske instrumente moraju dodijeliti prava istovjetna onima koja se dodjeljuju za tradicionalne vrijednosne papire kako bi se spriječila regulatorna arbitraža i očuvala zaštita ulagača;</w:t>
      </w:r>
    </w:p>
    <w:p w14:paraId="0ECBCA50" w14:textId="77777777" w:rsidR="007F2449" w:rsidRPr="009D1C79" w:rsidRDefault="007F2449" w:rsidP="007F2449">
      <w:pPr>
        <w:pStyle w:val="NormalHanging12a"/>
      </w:pPr>
      <w:r w:rsidRPr="009D1C79">
        <w:t>13.</w:t>
      </w:r>
      <w:r w:rsidRPr="009D1C79">
        <w:tab/>
        <w:t xml:space="preserve">pozdravlja potencijalne koristi </w:t>
      </w:r>
      <w:proofErr w:type="spellStart"/>
      <w:r w:rsidRPr="009D1C79">
        <w:t>tokenizacije</w:t>
      </w:r>
      <w:proofErr w:type="spellEnd"/>
      <w:r w:rsidRPr="009D1C79">
        <w:t xml:space="preserve"> za trgovanje financijskom imovinom, kao što su povećana učinkovitost i transparentnost, smanjen rizik druge ugovorne strane i smanjeni operativni troškovi, sklapanje pametnih ugovora i poboljšana likvidnost djelomičnim vlasništvom, te istodobno napominje da bi njezine ranjivosti trebalo pratiti;</w:t>
      </w:r>
    </w:p>
    <w:p w14:paraId="3B1D06C6" w14:textId="77777777" w:rsidR="007F2449" w:rsidRPr="009D1C79" w:rsidRDefault="007F2449" w:rsidP="007F2449">
      <w:pPr>
        <w:pStyle w:val="NormalHanging12a"/>
      </w:pPr>
      <w:r w:rsidRPr="009D1C79">
        <w:lastRenderedPageBreak/>
        <w:t>14.</w:t>
      </w:r>
      <w:r w:rsidRPr="009D1C79">
        <w:tab/>
        <w:t xml:space="preserve">potiče Komisiju da olakša i potakne </w:t>
      </w:r>
      <w:proofErr w:type="spellStart"/>
      <w:r w:rsidRPr="009D1C79">
        <w:t>tokenizaciju</w:t>
      </w:r>
      <w:proofErr w:type="spellEnd"/>
      <w:r w:rsidRPr="009D1C79">
        <w:t xml:space="preserve"> u svim financijskim uslugama i da pritom ustraje u interoperabilnosti i sprečavanju rascjepkanosti, i to poštovanjem standarda na cijelom jedinstvenom tržištu i osiguravanjem infrastrukture;</w:t>
      </w:r>
    </w:p>
    <w:p w14:paraId="6399BE1B" w14:textId="77777777" w:rsidR="007F2449" w:rsidRPr="009D1C79" w:rsidRDefault="007F2449" w:rsidP="007F2449">
      <w:pPr>
        <w:pStyle w:val="NormalHanging12a"/>
      </w:pPr>
      <w:r w:rsidRPr="009D1C79">
        <w:t>15.</w:t>
      </w:r>
      <w:r w:rsidRPr="009D1C79">
        <w:tab/>
        <w:t xml:space="preserve">prima na znanje napore ESB-a da pruži rješenja, uključujući infrastrukturu koja nudi opciju za digitalnu valutu središnje banke za plaćanja velikih vrijednosti koja omogućuje namiru gotovinske i imovinske strane u okviru dijeljenog zapisa, kao dopunu </w:t>
      </w:r>
      <w:proofErr w:type="spellStart"/>
      <w:r w:rsidRPr="009D1C79">
        <w:t>tokeniziranim</w:t>
      </w:r>
      <w:proofErr w:type="spellEnd"/>
      <w:r w:rsidRPr="009D1C79">
        <w:t xml:space="preserve"> depozitima komercijalnih banaka i stabilnim </w:t>
      </w:r>
      <w:proofErr w:type="spellStart"/>
      <w:r w:rsidRPr="009D1C79">
        <w:t>kriptovalutama</w:t>
      </w:r>
      <w:proofErr w:type="spellEnd"/>
      <w:r w:rsidRPr="009D1C79">
        <w:t>;</w:t>
      </w:r>
    </w:p>
    <w:p w14:paraId="1C1F0C65" w14:textId="77777777" w:rsidR="007F2449" w:rsidRPr="009D1C79" w:rsidRDefault="007F2449" w:rsidP="007F2449">
      <w:pPr>
        <w:pStyle w:val="NormalHanging12a"/>
      </w:pPr>
      <w:r w:rsidRPr="009D1C79">
        <w:t>16.</w:t>
      </w:r>
      <w:r w:rsidRPr="009D1C79">
        <w:tab/>
        <w:t xml:space="preserve">ističe potencijal za globalnu </w:t>
      </w:r>
      <w:proofErr w:type="spellStart"/>
      <w:r w:rsidRPr="009D1C79">
        <w:t>povezivost</w:t>
      </w:r>
      <w:proofErr w:type="spellEnd"/>
      <w:r w:rsidRPr="009D1C79">
        <w:t xml:space="preserve"> europskog </w:t>
      </w:r>
      <w:proofErr w:type="spellStart"/>
      <w:r w:rsidRPr="009D1C79">
        <w:t>tokeniziranog</w:t>
      </w:r>
      <w:proofErr w:type="spellEnd"/>
      <w:r w:rsidRPr="009D1C79">
        <w:t xml:space="preserve"> tržišta; ističe važnost međunarodne suradnje kako bi se uskladili kriteriji, načela i standardi kategorizacije; podržava rad Banke za međunarodne namire u inicijativama prekogranične suradnje u području plaćanja;</w:t>
      </w:r>
    </w:p>
    <w:p w14:paraId="6E2B3875" w14:textId="77777777" w:rsidR="007F2449" w:rsidRPr="009D1C79" w:rsidRDefault="007F2449" w:rsidP="007F2449">
      <w:pPr>
        <w:pStyle w:val="NormalHanging12a"/>
      </w:pPr>
      <w:r w:rsidRPr="009D1C79">
        <w:t>17.</w:t>
      </w:r>
      <w:r w:rsidRPr="009D1C79">
        <w:tab/>
        <w:t>pozdravlja trenutačne rasprave o pilot-režimu za DLT u okviru paketa za integraciju tržišta i nadzor;</w:t>
      </w:r>
    </w:p>
    <w:p w14:paraId="0B21E26F" w14:textId="77777777" w:rsidR="007F2449" w:rsidRPr="009D1C79" w:rsidRDefault="007F2449" w:rsidP="007F2449">
      <w:pPr>
        <w:pStyle w:val="Normal12a"/>
      </w:pPr>
      <w:r w:rsidRPr="009D1C79">
        <w:rPr>
          <w:b/>
          <w:i/>
        </w:rPr>
        <w:t xml:space="preserve">Stabilne </w:t>
      </w:r>
      <w:proofErr w:type="spellStart"/>
      <w:r w:rsidRPr="009D1C79">
        <w:rPr>
          <w:b/>
          <w:i/>
        </w:rPr>
        <w:t>kriptovalute</w:t>
      </w:r>
      <w:proofErr w:type="spellEnd"/>
    </w:p>
    <w:p w14:paraId="2DF86E9A" w14:textId="77777777" w:rsidR="007F2449" w:rsidRPr="009D1C79" w:rsidRDefault="007F2449" w:rsidP="007F2449">
      <w:pPr>
        <w:pStyle w:val="NormalHanging12a"/>
      </w:pPr>
      <w:r w:rsidRPr="009D1C79">
        <w:t>18.</w:t>
      </w:r>
      <w:r w:rsidRPr="009D1C79">
        <w:tab/>
        <w:t xml:space="preserve">konstatira da se stabilne </w:t>
      </w:r>
      <w:proofErr w:type="spellStart"/>
      <w:r w:rsidRPr="009D1C79">
        <w:t>kriptovalute</w:t>
      </w:r>
      <w:proofErr w:type="spellEnd"/>
      <w:r w:rsidRPr="009D1C79">
        <w:t xml:space="preserve"> u pravnom okviru Uredbe o tržištima </w:t>
      </w:r>
      <w:proofErr w:type="spellStart"/>
      <w:r w:rsidRPr="009D1C79">
        <w:t>kriptoimovine</w:t>
      </w:r>
      <w:proofErr w:type="spellEnd"/>
      <w:r w:rsidRPr="009D1C79">
        <w:t xml:space="preserve"> mogu razvrstati u dvije kategorije, a to su tokeni vezani uz imovinu i tokeni elektroničkog novca (e-novac);</w:t>
      </w:r>
    </w:p>
    <w:p w14:paraId="2EB7DF37" w14:textId="77777777" w:rsidR="007F2449" w:rsidRDefault="007F2449" w:rsidP="007F2449">
      <w:pPr>
        <w:pStyle w:val="NormalHanging12a"/>
      </w:pPr>
      <w:r w:rsidRPr="009D1C79">
        <w:t>19.</w:t>
      </w:r>
      <w:r w:rsidRPr="009D1C79">
        <w:tab/>
        <w:t xml:space="preserve">konstatira da su stabilne </w:t>
      </w:r>
      <w:proofErr w:type="spellStart"/>
      <w:r w:rsidRPr="009D1C79">
        <w:t>kriptovalute</w:t>
      </w:r>
      <w:proofErr w:type="spellEnd"/>
      <w:r w:rsidRPr="009D1C79">
        <w:t xml:space="preserve"> oblik stvaranja privatnog novca i da njihova gospodarska funkcija ima sličnosti s vezanim tečajem, novčanim fondovima i uskim bankama; naglašava, međutim, da se Uredbom o tržištima </w:t>
      </w:r>
      <w:proofErr w:type="spellStart"/>
      <w:r w:rsidRPr="009D1C79">
        <w:t>kriptoimovine</w:t>
      </w:r>
      <w:proofErr w:type="spellEnd"/>
      <w:r w:rsidRPr="009D1C79">
        <w:t xml:space="preserve"> izdavateljima tokena e-novca i pružateljima usluga povezanih s </w:t>
      </w:r>
      <w:proofErr w:type="spellStart"/>
      <w:r w:rsidRPr="009D1C79">
        <w:t>kriptoimovinom</w:t>
      </w:r>
      <w:proofErr w:type="spellEnd"/>
      <w:r w:rsidRPr="009D1C79">
        <w:t xml:space="preserve"> zabranjuje izravno ili neizravno odobravanje kamata u vezi s tokenima e-novca te da stabilne </w:t>
      </w:r>
      <w:proofErr w:type="spellStart"/>
      <w:r w:rsidRPr="009D1C79">
        <w:t>kriptovalute</w:t>
      </w:r>
      <w:proofErr w:type="spellEnd"/>
      <w:r w:rsidRPr="009D1C79">
        <w:t xml:space="preserve"> nemaju izravan pristup središnjim bankama i da njihovi vlasnici nisu obuhvaćeni sustavima osiguranja depozita; prima na znanje rizike od devalvacije ili gubitka vezanosti uz referentnu vrijednost te gubitka posrednika povezane sa stabilnim </w:t>
      </w:r>
      <w:proofErr w:type="spellStart"/>
      <w:r w:rsidRPr="009D1C79">
        <w:t>kriptovalutama</w:t>
      </w:r>
      <w:proofErr w:type="spellEnd"/>
      <w:r w:rsidRPr="009D1C79">
        <w:t>;</w:t>
      </w:r>
    </w:p>
    <w:p w14:paraId="6C4EFD56" w14:textId="100748C2" w:rsidR="00A01AC5" w:rsidRPr="009D1C79" w:rsidRDefault="00BC25C0" w:rsidP="007F2449">
      <w:pPr>
        <w:pStyle w:val="NormalHanging12a"/>
      </w:pPr>
      <w:r>
        <w:t>20</w:t>
      </w:r>
      <w:r w:rsidR="00A01AC5" w:rsidRPr="00A01AC5">
        <w:t>.</w:t>
      </w:r>
      <w:r w:rsidR="00A01AC5" w:rsidRPr="00A01AC5">
        <w:tab/>
        <w:t xml:space="preserve">sa zabrinutošću primjećuje stalno brzo širenje i dominaciju stabilnih </w:t>
      </w:r>
      <w:proofErr w:type="spellStart"/>
      <w:r w:rsidR="00A01AC5" w:rsidRPr="00A01AC5">
        <w:t>kriptovaluta</w:t>
      </w:r>
      <w:proofErr w:type="spellEnd"/>
      <w:r w:rsidR="00A01AC5" w:rsidRPr="00A01AC5">
        <w:t xml:space="preserve"> denominiranih u američkim dolarima, što bi moglo oslabiti monetarni suverenitet EU-a, povećati rizike za financijsku stabilnost, narušiti prijenos monetarne politike i povećati vanjsku ovisnost u plaćanjima;</w:t>
      </w:r>
    </w:p>
    <w:p w14:paraId="5EFB0F94" w14:textId="1D28CD46" w:rsidR="007F2449" w:rsidRPr="009D1C79" w:rsidRDefault="00BC25C0" w:rsidP="007F2449">
      <w:pPr>
        <w:pStyle w:val="NormalHanging12a"/>
      </w:pPr>
      <w:r>
        <w:t>21</w:t>
      </w:r>
      <w:r w:rsidR="007F2449" w:rsidRPr="009D1C79">
        <w:t>.</w:t>
      </w:r>
      <w:r w:rsidR="007F2449" w:rsidRPr="009D1C79">
        <w:tab/>
        <w:t xml:space="preserve">pozdravlja pojavu tokena e-novca denominiranih u eurima u okviru Uredbe o tržištima </w:t>
      </w:r>
      <w:proofErr w:type="spellStart"/>
      <w:r w:rsidR="007F2449" w:rsidRPr="009D1C79">
        <w:t>kriptoimovine</w:t>
      </w:r>
      <w:proofErr w:type="spellEnd"/>
      <w:r w:rsidR="007F2449" w:rsidRPr="009D1C79">
        <w:t xml:space="preserve"> i potiče njihov razvoj kako bi se poduprle inovacije u području plaćanja u EU-u, konkurentnost financijskih tržišta EU-a i međunarodna uloga eura, među ostalim bržim i jeftinijim prekograničnim plaćanjem, kao dopuna </w:t>
      </w:r>
      <w:proofErr w:type="spellStart"/>
      <w:r w:rsidR="007F2449" w:rsidRPr="009D1C79">
        <w:t>tokeniziranim</w:t>
      </w:r>
      <w:proofErr w:type="spellEnd"/>
      <w:r w:rsidR="007F2449" w:rsidRPr="009D1C79">
        <w:t xml:space="preserve"> depozitima i digitalnoj valuti središnje banke za plaćanja velikih vrijednosti; ističe važnost usklađenih okvira za </w:t>
      </w:r>
      <w:proofErr w:type="spellStart"/>
      <w:r w:rsidR="007F2449" w:rsidRPr="009D1C79">
        <w:t>likvidnosni</w:t>
      </w:r>
      <w:proofErr w:type="spellEnd"/>
      <w:r w:rsidR="007F2449" w:rsidRPr="009D1C79">
        <w:t xml:space="preserve"> rizik i upravljanje krizom, uključujući sustave za povrat ulaganja i zahtjeve za odvajanje pričuva; napominje da ESB smatra da stabilne </w:t>
      </w:r>
      <w:proofErr w:type="spellStart"/>
      <w:r w:rsidR="007F2449" w:rsidRPr="009D1C79">
        <w:t>kriptovalute</w:t>
      </w:r>
      <w:proofErr w:type="spellEnd"/>
      <w:r w:rsidR="007F2449" w:rsidRPr="009D1C79">
        <w:t xml:space="preserve"> koje nisu denominirane u eurima mogu nositi rizike za monetarnu politiku ako se njihova upotreba proširi; upozorava na zlouporabu klauzule o „obrnutom </w:t>
      </w:r>
      <w:proofErr w:type="spellStart"/>
      <w:r w:rsidR="007F2449" w:rsidRPr="009D1C79">
        <w:t>nuđenjuˮ</w:t>
      </w:r>
      <w:proofErr w:type="spellEnd"/>
      <w:r w:rsidR="007F2449" w:rsidRPr="009D1C79">
        <w:t>;</w:t>
      </w:r>
    </w:p>
    <w:p w14:paraId="60918F5C" w14:textId="4157BEE3" w:rsidR="007F2449" w:rsidRPr="009D1C79" w:rsidRDefault="00BC25C0" w:rsidP="007F2449">
      <w:pPr>
        <w:pStyle w:val="NormalHanging12a"/>
      </w:pPr>
      <w:r>
        <w:t>22</w:t>
      </w:r>
      <w:r w:rsidR="007F2449" w:rsidRPr="009D1C79">
        <w:t>.</w:t>
      </w:r>
      <w:r w:rsidR="007F2449" w:rsidRPr="009D1C79">
        <w:tab/>
        <w:t xml:space="preserve">prima na znanje potrebu za pravnom sigurnosti u pravu EU-a u pogledu mogućnosti višestrukog izdavanja stabilnih </w:t>
      </w:r>
      <w:proofErr w:type="spellStart"/>
      <w:r w:rsidR="007F2449" w:rsidRPr="009D1C79">
        <w:t>kriptovaluta</w:t>
      </w:r>
      <w:proofErr w:type="spellEnd"/>
      <w:r w:rsidR="007F2449" w:rsidRPr="009D1C79">
        <w:t xml:space="preserve"> od strane subjekta iz EU-a i subjekta izvan </w:t>
      </w:r>
      <w:r w:rsidR="007F2449" w:rsidRPr="009D1C79">
        <w:lastRenderedPageBreak/>
        <w:t xml:space="preserve">EU-a, pri čemu bi digitalne stabilne </w:t>
      </w:r>
      <w:proofErr w:type="spellStart"/>
      <w:r w:rsidR="007F2449" w:rsidRPr="009D1C79">
        <w:t>kriptovalute</w:t>
      </w:r>
      <w:proofErr w:type="spellEnd"/>
      <w:r w:rsidR="007F2449" w:rsidRPr="009D1C79">
        <w:t xml:space="preserve"> koje izdaju obje vrste subjekata bile u potpunosti zamjenjive i ne bi se razlikovale; podsjeća na to da je ESRB upozorio na višestruko izdavanje kao mogući kanal širenja; naglašava da je potrebno osigurati da se funkcioniranje takvih sustava u EU-u temelji na pravnoj sigurnosti i čvrstom regulatornom okviru kojim se pružaju snažne bonitetne zaštitne mjere, pouzdani aranžmani za suradnju i poboljšani protokoli za upravljanje krizama; ističe važnost promicanja međunarodne koordinacije u području regulacije i nadzora globalnih stabilnih </w:t>
      </w:r>
      <w:proofErr w:type="spellStart"/>
      <w:r w:rsidR="007F2449" w:rsidRPr="009D1C79">
        <w:t>kriptovaluta</w:t>
      </w:r>
      <w:proofErr w:type="spellEnd"/>
      <w:r w:rsidR="007F2449" w:rsidRPr="009D1C79">
        <w:t xml:space="preserve"> radi razvoja međunarodnih standarda;</w:t>
      </w:r>
    </w:p>
    <w:p w14:paraId="4B359A28" w14:textId="5E42D6BE" w:rsidR="007F2449" w:rsidRPr="009D1C79" w:rsidRDefault="00BC25C0" w:rsidP="007F2449">
      <w:pPr>
        <w:pStyle w:val="NormalHanging12a"/>
      </w:pPr>
      <w:r>
        <w:t>23</w:t>
      </w:r>
      <w:r w:rsidR="007F2449" w:rsidRPr="009D1C79">
        <w:t>.</w:t>
      </w:r>
      <w:r w:rsidR="007F2449" w:rsidRPr="009D1C79">
        <w:tab/>
        <w:t>pozdravlja privremeni dogovor o prijedlogu direktive</w:t>
      </w:r>
      <w:r w:rsidR="00A973AB">
        <w:rPr>
          <w:rStyle w:val="FootnoteReference"/>
        </w:rPr>
        <w:footnoteReference w:id="6"/>
      </w:r>
      <w:r w:rsidR="007F2449" w:rsidRPr="009D1C79">
        <w:t xml:space="preserve"> i uredbe</w:t>
      </w:r>
      <w:r w:rsidR="00A973AB">
        <w:rPr>
          <w:rStyle w:val="FootnoteReference"/>
        </w:rPr>
        <w:footnoteReference w:id="7"/>
      </w:r>
      <w:r w:rsidR="007F2449" w:rsidRPr="009D1C79">
        <w:t xml:space="preserve"> o platnim uslugama i pojednostavnjenom rješenju za izdavanje odobrenja za pružatelje usluga povezanih s </w:t>
      </w:r>
      <w:proofErr w:type="spellStart"/>
      <w:r w:rsidR="007F2449" w:rsidRPr="009D1C79">
        <w:t>kriptoimovinom</w:t>
      </w:r>
      <w:proofErr w:type="spellEnd"/>
      <w:r w:rsidR="007F2449" w:rsidRPr="009D1C79">
        <w:t xml:space="preserve"> koji već imaju odobrenje u skladu s Uredbom o tržištima </w:t>
      </w:r>
      <w:proofErr w:type="spellStart"/>
      <w:r w:rsidR="007F2449" w:rsidRPr="009D1C79">
        <w:t>kriptoimovine</w:t>
      </w:r>
      <w:proofErr w:type="spellEnd"/>
      <w:r w:rsidR="007F2449" w:rsidRPr="009D1C79">
        <w:t xml:space="preserve"> kako bi se izbjeglo nepotrebno regulatorno preklapanje, koji bi podlijegali pojednostavnjenom postupku, uz istodobno zadržavanje odgovarajućih kontrola rizika i pružanje samo usluga navedenih u zahtjevu;</w:t>
      </w:r>
    </w:p>
    <w:p w14:paraId="6267D349" w14:textId="77777777" w:rsidR="007F2449" w:rsidRPr="009D1C79" w:rsidRDefault="007F2449" w:rsidP="007F2449">
      <w:pPr>
        <w:pStyle w:val="Normal12a"/>
      </w:pPr>
      <w:r w:rsidRPr="009D1C79">
        <w:rPr>
          <w:b/>
          <w:i/>
        </w:rPr>
        <w:t>Međusektorska pitanja</w:t>
      </w:r>
    </w:p>
    <w:p w14:paraId="442180CB" w14:textId="45350D6A" w:rsidR="007F2449" w:rsidRPr="009D1C79" w:rsidRDefault="00BC25C0" w:rsidP="007F2449">
      <w:pPr>
        <w:pStyle w:val="NormalHanging12a"/>
      </w:pPr>
      <w:r>
        <w:t>24</w:t>
      </w:r>
      <w:r w:rsidR="007F2449" w:rsidRPr="009D1C79">
        <w:t>.</w:t>
      </w:r>
      <w:r w:rsidR="007F2449" w:rsidRPr="009D1C79">
        <w:tab/>
        <w:t xml:space="preserve">naglašava da je interoperabilnost presudna u digitalnim financijama te da iziskuje, na primjer, prenosivi identitet i provjerljive vjerodajnice kao </w:t>
      </w:r>
      <w:proofErr w:type="spellStart"/>
      <w:r w:rsidR="007F2449" w:rsidRPr="009D1C79">
        <w:t>omogućujuće</w:t>
      </w:r>
      <w:proofErr w:type="spellEnd"/>
      <w:r w:rsidR="007F2449" w:rsidRPr="009D1C79">
        <w:t xml:space="preserve"> komponente </w:t>
      </w:r>
      <w:proofErr w:type="spellStart"/>
      <w:r w:rsidR="007F2449" w:rsidRPr="009D1C79">
        <w:t>međumrežne</w:t>
      </w:r>
      <w:proofErr w:type="spellEnd"/>
      <w:r w:rsidR="007F2449" w:rsidRPr="009D1C79">
        <w:t xml:space="preserve"> tržišne infrastrukture; naglašava da bi se pristupi koji se odnose na identifikacijsku oznaku pravne osobe / provjerljivu identifikacijsku oznaku pravne osobe trebali ocijeniti kao alati na razini infrastrukture; poziva Komisiju da surađuje s europskim i međunarodnim organizacijama za normizaciju pri izradi zajedničkih tehničkih standarda i protokola za digitalnu imovinu, pametne ugovore i digitalne identitete;</w:t>
      </w:r>
    </w:p>
    <w:p w14:paraId="5456CD74" w14:textId="1F5085E9" w:rsidR="007F2449" w:rsidRPr="009D1C79" w:rsidRDefault="00BC25C0" w:rsidP="007F2449">
      <w:pPr>
        <w:pStyle w:val="NormalHanging12a"/>
      </w:pPr>
      <w:r>
        <w:t>25</w:t>
      </w:r>
      <w:r w:rsidR="007F2449" w:rsidRPr="009D1C79">
        <w:t>.</w:t>
      </w:r>
      <w:r w:rsidR="007F2449" w:rsidRPr="009D1C79">
        <w:tab/>
        <w:t>pozdravlja aktualne rasprave o digitalnom euru, uključujući pripreme za upotrebu u maloprodaji i veleprodaji, te podržava tekuće kratkoročne (</w:t>
      </w:r>
      <w:proofErr w:type="spellStart"/>
      <w:r w:rsidR="007F2449" w:rsidRPr="009D1C79">
        <w:t>Pontes</w:t>
      </w:r>
      <w:proofErr w:type="spellEnd"/>
      <w:r w:rsidR="007F2449" w:rsidRPr="009D1C79">
        <w:t>) i dugoročne (</w:t>
      </w:r>
      <w:proofErr w:type="spellStart"/>
      <w:r w:rsidR="007F2449" w:rsidRPr="009D1C79">
        <w:t>Appia</w:t>
      </w:r>
      <w:proofErr w:type="spellEnd"/>
      <w:r w:rsidR="007F2449" w:rsidRPr="009D1C79">
        <w:t>) projekte u području DLT-a za veleprodajnu namiru novca središnje banke; poziva Komisiju i ESB da osiguraju da buduća rješenja za digitalni euro budu osmišljena tako da se omogući interoperabilnost s infrastrukturom DLT-a i osigura komplementarnost s gotovinom;</w:t>
      </w:r>
    </w:p>
    <w:p w14:paraId="2114AF96" w14:textId="6F2DEC6C" w:rsidR="007F2449" w:rsidRPr="009D1C79" w:rsidRDefault="00BC25C0" w:rsidP="007F2449">
      <w:pPr>
        <w:pStyle w:val="NormalHanging12a"/>
      </w:pPr>
      <w:r>
        <w:t>26</w:t>
      </w:r>
      <w:r w:rsidR="007F2449" w:rsidRPr="009D1C79">
        <w:t>.</w:t>
      </w:r>
      <w:r w:rsidR="007F2449" w:rsidRPr="009D1C79">
        <w:tab/>
        <w:t>žali zbog ovisnosti EU-a o pružateljima usluga izvan EU-a za infrastrukturu DLT-a; naglašava da bi, kad je riječ o postupanju s digitalnom imovinom, pristup vlade SAD-a trebalo pažljivo pratiti;</w:t>
      </w:r>
    </w:p>
    <w:p w14:paraId="31A0DC2B" w14:textId="4FD3CE97" w:rsidR="007F2449" w:rsidRPr="009D1C79" w:rsidRDefault="00BC25C0" w:rsidP="007F2449">
      <w:pPr>
        <w:pStyle w:val="NormalHanging12a"/>
      </w:pPr>
      <w:r>
        <w:t>27</w:t>
      </w:r>
      <w:r w:rsidR="007F2449" w:rsidRPr="009D1C79">
        <w:t>.</w:t>
      </w:r>
      <w:r w:rsidR="007F2449" w:rsidRPr="009D1C79">
        <w:tab/>
        <w:t xml:space="preserve">prima na znanje trenutačne rasprave o nadzoru nad pružateljima usluga povezanih s </w:t>
      </w:r>
      <w:proofErr w:type="spellStart"/>
      <w:r w:rsidR="007F2449" w:rsidRPr="009D1C79">
        <w:t>kriptoimovinom</w:t>
      </w:r>
      <w:proofErr w:type="spellEnd"/>
      <w:r w:rsidR="007F2449" w:rsidRPr="009D1C79">
        <w:t xml:space="preserve"> u pogledu uloge ESMA-e u okviru paketa za integraciju tržišta i nadzor;</w:t>
      </w:r>
    </w:p>
    <w:p w14:paraId="22AFDC5D" w14:textId="77777777" w:rsidR="00A973AB" w:rsidRDefault="00A973AB" w:rsidP="00A973AB">
      <w:pPr>
        <w:pStyle w:val="NormalHanging12a"/>
        <w:ind w:left="0" w:firstLine="0"/>
        <w:jc w:val="center"/>
      </w:pPr>
      <w:r>
        <w:t>°</w:t>
      </w:r>
    </w:p>
    <w:p w14:paraId="4F8064B7" w14:textId="77777777" w:rsidR="00A973AB" w:rsidRDefault="00A973AB" w:rsidP="00A973AB">
      <w:pPr>
        <w:pStyle w:val="NormalHanging12a"/>
        <w:ind w:left="0" w:firstLine="0"/>
        <w:jc w:val="center"/>
      </w:pPr>
      <w:r>
        <w:lastRenderedPageBreak/>
        <w:t>°     °</w:t>
      </w:r>
    </w:p>
    <w:p w14:paraId="3EB07A0D" w14:textId="0BA94B4E" w:rsidR="009D1C79" w:rsidRPr="009D1C79" w:rsidRDefault="00BC25C0" w:rsidP="00A973AB">
      <w:pPr>
        <w:pStyle w:val="NormalHanging12a"/>
        <w:ind w:left="0" w:firstLine="0"/>
        <w:jc w:val="both"/>
      </w:pPr>
      <w:r>
        <w:t>28</w:t>
      </w:r>
      <w:r w:rsidR="007F2449" w:rsidRPr="009D1C79">
        <w:t>.</w:t>
      </w:r>
      <w:r w:rsidR="007F2449" w:rsidRPr="009D1C79">
        <w:tab/>
        <w:t>nalaže svojoj predsjednici da ovu Rezoluciju proslijedi Vijeću i Komisiji.</w:t>
      </w:r>
    </w:p>
    <w:p w14:paraId="68653924" w14:textId="6A356149" w:rsidR="00E365E1" w:rsidRPr="009D1C79" w:rsidRDefault="00E365E1" w:rsidP="001B387C"/>
    <w:sectPr w:rsidR="00E365E1" w:rsidRPr="009D1C79" w:rsidSect="009D1C79">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AC000" w14:textId="77777777" w:rsidR="001B387C" w:rsidRPr="009D1C79" w:rsidRDefault="001B387C">
      <w:r w:rsidRPr="009D1C79">
        <w:separator/>
      </w:r>
    </w:p>
  </w:endnote>
  <w:endnote w:type="continuationSeparator" w:id="0">
    <w:p w14:paraId="3FDE4382" w14:textId="77777777" w:rsidR="001B387C" w:rsidRPr="009D1C79" w:rsidRDefault="001B387C">
      <w:r w:rsidRPr="009D1C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966E1" w14:textId="77777777" w:rsidR="001B387C" w:rsidRPr="009D1C79" w:rsidRDefault="001B387C">
      <w:r w:rsidRPr="009D1C79">
        <w:separator/>
      </w:r>
    </w:p>
  </w:footnote>
  <w:footnote w:type="continuationSeparator" w:id="0">
    <w:p w14:paraId="5441D415" w14:textId="77777777" w:rsidR="001B387C" w:rsidRPr="009D1C79" w:rsidRDefault="001B387C">
      <w:r w:rsidRPr="009D1C79">
        <w:continuationSeparator/>
      </w:r>
    </w:p>
  </w:footnote>
  <w:footnote w:id="1">
    <w:p w14:paraId="23D42226" w14:textId="006F1093" w:rsidR="00A973AB" w:rsidRPr="009D1C79" w:rsidRDefault="00A973AB" w:rsidP="009D1C79">
      <w:pPr>
        <w:pStyle w:val="FootnoteText"/>
        <w:ind w:left="567" w:hanging="567"/>
        <w:rPr>
          <w:sz w:val="24"/>
          <w:lang w:val="hr-HR"/>
        </w:rPr>
      </w:pPr>
      <w:r>
        <w:rPr>
          <w:rStyle w:val="FootnoteReference"/>
        </w:rPr>
        <w:footnoteRef/>
      </w:r>
      <w:r w:rsidRPr="009D1C79">
        <w:rPr>
          <w:sz w:val="24"/>
          <w:lang w:val="hr-HR"/>
        </w:rPr>
        <w:t xml:space="preserve"> </w:t>
      </w:r>
      <w:r w:rsidRPr="009D1C79">
        <w:rPr>
          <w:sz w:val="24"/>
          <w:lang w:val="hr-HR"/>
        </w:rPr>
        <w:tab/>
        <w:t>Međunarodni monetarni fond, ‘</w:t>
      </w:r>
      <w:proofErr w:type="spellStart"/>
      <w:r w:rsidRPr="009D1C79">
        <w:rPr>
          <w:sz w:val="24"/>
          <w:lang w:val="hr-HR"/>
        </w:rPr>
        <w:t>Stablecoins</w:t>
      </w:r>
      <w:proofErr w:type="spellEnd"/>
      <w:r w:rsidRPr="009D1C79">
        <w:rPr>
          <w:sz w:val="24"/>
          <w:lang w:val="hr-HR"/>
        </w:rPr>
        <w:t xml:space="preserve"> </w:t>
      </w:r>
      <w:proofErr w:type="spellStart"/>
      <w:r w:rsidRPr="009D1C79">
        <w:rPr>
          <w:sz w:val="24"/>
          <w:lang w:val="hr-HR"/>
        </w:rPr>
        <w:t>and</w:t>
      </w:r>
      <w:proofErr w:type="spellEnd"/>
      <w:r w:rsidRPr="009D1C79">
        <w:rPr>
          <w:sz w:val="24"/>
          <w:lang w:val="hr-HR"/>
        </w:rPr>
        <w:t xml:space="preserve"> </w:t>
      </w:r>
      <w:proofErr w:type="spellStart"/>
      <w:r w:rsidRPr="009D1C79">
        <w:rPr>
          <w:sz w:val="24"/>
          <w:lang w:val="hr-HR"/>
        </w:rPr>
        <w:t>the</w:t>
      </w:r>
      <w:proofErr w:type="spellEnd"/>
      <w:r w:rsidRPr="009D1C79">
        <w:rPr>
          <w:sz w:val="24"/>
          <w:lang w:val="hr-HR"/>
        </w:rPr>
        <w:t xml:space="preserve"> future </w:t>
      </w:r>
      <w:proofErr w:type="spellStart"/>
      <w:r w:rsidRPr="009D1C79">
        <w:rPr>
          <w:sz w:val="24"/>
          <w:lang w:val="hr-HR"/>
        </w:rPr>
        <w:t>of</w:t>
      </w:r>
      <w:proofErr w:type="spellEnd"/>
      <w:r w:rsidRPr="009D1C79">
        <w:rPr>
          <w:sz w:val="24"/>
          <w:lang w:val="hr-HR"/>
        </w:rPr>
        <w:t xml:space="preserve"> </w:t>
      </w:r>
      <w:proofErr w:type="spellStart"/>
      <w:r w:rsidRPr="009D1C79">
        <w:rPr>
          <w:sz w:val="24"/>
          <w:lang w:val="hr-HR"/>
        </w:rPr>
        <w:t>finance</w:t>
      </w:r>
      <w:proofErr w:type="spellEnd"/>
      <w:r w:rsidRPr="009D1C79">
        <w:rPr>
          <w:sz w:val="24"/>
          <w:lang w:val="hr-HR"/>
        </w:rPr>
        <w:t xml:space="preserve">’, </w:t>
      </w:r>
      <w:proofErr w:type="spellStart"/>
      <w:r w:rsidRPr="009D1C79">
        <w:rPr>
          <w:i/>
          <w:sz w:val="24"/>
          <w:lang w:val="hr-HR"/>
        </w:rPr>
        <w:t>Finance</w:t>
      </w:r>
      <w:proofErr w:type="spellEnd"/>
      <w:r w:rsidRPr="009D1C79">
        <w:rPr>
          <w:i/>
          <w:sz w:val="24"/>
          <w:lang w:val="hr-HR"/>
        </w:rPr>
        <w:t xml:space="preserve"> &amp; Development</w:t>
      </w:r>
      <w:r w:rsidRPr="009D1C79">
        <w:rPr>
          <w:sz w:val="24"/>
          <w:lang w:val="hr-HR"/>
        </w:rPr>
        <w:t xml:space="preserve">, sv. 62., izdanje 3., 3 rujna 2025., Međunarodni monetarni fond, Washington, </w:t>
      </w:r>
      <w:hyperlink r:id="rId1" w:tgtFrame="https://doi.org/10.5089/9798400297649.022" w:history="1">
        <w:r w:rsidRPr="009D1C79">
          <w:rPr>
            <w:rStyle w:val="Hyperlink"/>
            <w:sz w:val="24"/>
            <w:lang w:val="hr-HR"/>
          </w:rPr>
          <w:t>https://doi.org/10.5089/9798400297649.022</w:t>
        </w:r>
      </w:hyperlink>
      <w:r w:rsidRPr="009D1C79">
        <w:rPr>
          <w:sz w:val="24"/>
          <w:lang w:val="hr-HR"/>
        </w:rPr>
        <w:t>.</w:t>
      </w:r>
    </w:p>
  </w:footnote>
  <w:footnote w:id="2">
    <w:p w14:paraId="7999A429" w14:textId="67EC31CC" w:rsidR="00A973AB" w:rsidRPr="009D1C79" w:rsidRDefault="00A973AB" w:rsidP="009D1C79">
      <w:pPr>
        <w:pStyle w:val="FootnoteText"/>
        <w:ind w:left="567" w:hanging="567"/>
        <w:rPr>
          <w:sz w:val="24"/>
          <w:lang w:val="hr-HR"/>
        </w:rPr>
      </w:pPr>
      <w:r>
        <w:rPr>
          <w:rStyle w:val="FootnoteReference"/>
        </w:rPr>
        <w:footnoteRef/>
      </w:r>
      <w:r w:rsidRPr="009D1C79">
        <w:rPr>
          <w:sz w:val="24"/>
          <w:lang w:val="hr-HR"/>
        </w:rPr>
        <w:t xml:space="preserve"> </w:t>
      </w:r>
      <w:r w:rsidRPr="009D1C79">
        <w:rPr>
          <w:sz w:val="24"/>
          <w:lang w:val="hr-HR"/>
        </w:rPr>
        <w:tab/>
        <w:t>Dokumenti o politici OECD-a u području poslovanja i financija, br. 75.</w:t>
      </w:r>
    </w:p>
  </w:footnote>
  <w:footnote w:id="3">
    <w:p w14:paraId="762C7C9F" w14:textId="1081B998" w:rsidR="00A973AB" w:rsidRPr="009D1C79" w:rsidRDefault="00A973AB" w:rsidP="009D1C79">
      <w:pPr>
        <w:pStyle w:val="FootnoteText"/>
        <w:ind w:left="567" w:hanging="567"/>
        <w:rPr>
          <w:sz w:val="24"/>
          <w:lang w:val="hr-HR"/>
        </w:rPr>
      </w:pPr>
      <w:r>
        <w:rPr>
          <w:rStyle w:val="FootnoteReference"/>
        </w:rPr>
        <w:footnoteRef/>
      </w:r>
      <w:r w:rsidRPr="009D1C79">
        <w:rPr>
          <w:sz w:val="24"/>
          <w:lang w:val="hr-HR"/>
        </w:rPr>
        <w:t xml:space="preserve"> </w:t>
      </w:r>
      <w:r w:rsidRPr="009D1C79">
        <w:rPr>
          <w:sz w:val="24"/>
          <w:lang w:val="hr-HR"/>
        </w:rPr>
        <w:tab/>
        <w:t>Uredba (EU) 2022/858 Europskog parlamenta i Vijeća od 30. svibnja 2022. o pilot-režimu za tržišne infrastrukture temeljene na tehnologiji distribuiranog zapisa i o izmjeni uredaba (EU) br. 600/2014 i (EU) br. 909/2014 te Direktive 2014/65/EU (SL L 151, 2.6.2022., str. </w:t>
      </w:r>
      <w:r w:rsidRPr="009D1C79">
        <w:rPr>
          <w:sz w:val="24"/>
          <w:lang w:val="hr-HR"/>
        </w:rPr>
        <w:t xml:space="preserve">1., ELI: </w:t>
      </w:r>
      <w:hyperlink r:id="rId2" w:tgtFrame="http://data.europa.eu/eli/reg/2022/858/oj" w:history="1">
        <w:r w:rsidRPr="009D1C79">
          <w:rPr>
            <w:rStyle w:val="Hyperlink"/>
            <w:sz w:val="24"/>
            <w:lang w:val="hr-HR"/>
          </w:rPr>
          <w:t>http://data.europa.eu/eli/reg/2022/858/oj)</w:t>
        </w:r>
      </w:hyperlink>
      <w:r w:rsidRPr="009D1C79">
        <w:rPr>
          <w:sz w:val="24"/>
          <w:lang w:val="hr-HR"/>
        </w:rPr>
        <w:t>.</w:t>
      </w:r>
    </w:p>
  </w:footnote>
  <w:footnote w:id="4">
    <w:p w14:paraId="1F7E4D95" w14:textId="14222B07" w:rsidR="00A973AB" w:rsidRPr="009D1C79" w:rsidRDefault="00A973AB" w:rsidP="009D1C79">
      <w:pPr>
        <w:pStyle w:val="FootnoteText"/>
        <w:ind w:left="567" w:hanging="567"/>
        <w:rPr>
          <w:sz w:val="24"/>
          <w:lang w:val="hr-HR"/>
        </w:rPr>
      </w:pPr>
      <w:r>
        <w:rPr>
          <w:rStyle w:val="FootnoteReference"/>
        </w:rPr>
        <w:footnoteRef/>
      </w:r>
      <w:r w:rsidRPr="009D1C79">
        <w:rPr>
          <w:sz w:val="24"/>
          <w:lang w:val="hr-HR"/>
        </w:rPr>
        <w:t xml:space="preserve"> </w:t>
      </w:r>
      <w:r w:rsidRPr="009D1C79">
        <w:rPr>
          <w:sz w:val="24"/>
          <w:lang w:val="hr-HR"/>
        </w:rPr>
        <w:tab/>
        <w:t xml:space="preserve">Uredba (EU) 2023/1114 Europskog parlamenta i Vijeća od 31. svibnja 2023. o tržištima </w:t>
      </w:r>
      <w:proofErr w:type="spellStart"/>
      <w:r w:rsidRPr="009D1C79">
        <w:rPr>
          <w:sz w:val="24"/>
          <w:lang w:val="hr-HR"/>
        </w:rPr>
        <w:t>kriptoimovine</w:t>
      </w:r>
      <w:proofErr w:type="spellEnd"/>
      <w:r w:rsidRPr="009D1C79">
        <w:rPr>
          <w:sz w:val="24"/>
          <w:lang w:val="hr-HR"/>
        </w:rPr>
        <w:t xml:space="preserve"> i izmjeni uredaba (EU) br. 1093/2010 i (EU) br. 1095/2010 te direktiva 2013/36/EU i (EU) 2019/1937 (SL L 150, 9.6.2023., str. </w:t>
      </w:r>
      <w:r w:rsidRPr="009D1C79">
        <w:rPr>
          <w:sz w:val="24"/>
          <w:lang w:val="hr-HR"/>
        </w:rPr>
        <w:t xml:space="preserve">40., ELI: </w:t>
      </w:r>
      <w:hyperlink r:id="rId3" w:tgtFrame="http://data.europa.eu/eli/reg/2023/1114/oj" w:history="1">
        <w:r w:rsidRPr="009D1C79">
          <w:rPr>
            <w:rStyle w:val="Hyperlink"/>
            <w:sz w:val="24"/>
            <w:lang w:val="hr-HR"/>
          </w:rPr>
          <w:t>http://data.europa.eu/eli/reg/2023/1114/oj</w:t>
        </w:r>
      </w:hyperlink>
      <w:r w:rsidRPr="009D1C79">
        <w:rPr>
          <w:sz w:val="24"/>
          <w:lang w:val="hr-HR"/>
        </w:rPr>
        <w:t>).</w:t>
      </w:r>
    </w:p>
  </w:footnote>
  <w:footnote w:id="5">
    <w:p w14:paraId="3CB31810" w14:textId="7C34865A" w:rsidR="00A973AB" w:rsidRPr="009D1C79" w:rsidRDefault="00A973AB" w:rsidP="009D1C79">
      <w:pPr>
        <w:pStyle w:val="FootnoteText"/>
        <w:ind w:left="567" w:hanging="567"/>
        <w:rPr>
          <w:sz w:val="24"/>
          <w:lang w:val="hr-HR"/>
        </w:rPr>
      </w:pPr>
      <w:r>
        <w:rPr>
          <w:rStyle w:val="FootnoteReference"/>
        </w:rPr>
        <w:footnoteRef/>
      </w:r>
      <w:r w:rsidRPr="009D1C79">
        <w:rPr>
          <w:sz w:val="24"/>
          <w:lang w:val="hr-HR"/>
        </w:rPr>
        <w:t xml:space="preserve"> </w:t>
      </w:r>
      <w:r w:rsidRPr="009D1C79">
        <w:rPr>
          <w:sz w:val="24"/>
          <w:lang w:val="hr-HR"/>
        </w:rPr>
        <w:tab/>
        <w:t xml:space="preserve">Uredba (EU) 2023/1113 Europskog parlamenta i Vijeća od 31. svibnja 2023. o informacijama koje se prilažu prijenosima novčanih sredstava i određene </w:t>
      </w:r>
      <w:proofErr w:type="spellStart"/>
      <w:r w:rsidRPr="009D1C79">
        <w:rPr>
          <w:sz w:val="24"/>
          <w:lang w:val="hr-HR"/>
        </w:rPr>
        <w:t>kriptoimovine</w:t>
      </w:r>
      <w:proofErr w:type="spellEnd"/>
      <w:r w:rsidRPr="009D1C79">
        <w:rPr>
          <w:sz w:val="24"/>
          <w:lang w:val="hr-HR"/>
        </w:rPr>
        <w:t xml:space="preserve"> i o izmjeni Direktive (EU) 2015/849 (SL L 150, </w:t>
      </w:r>
      <w:r w:rsidRPr="00A973AB">
        <w:rPr>
          <w:sz w:val="24"/>
          <w:lang w:val="hr-HR"/>
        </w:rPr>
        <w:t>9.6.2023</w:t>
      </w:r>
      <w:r>
        <w:rPr>
          <w:i/>
          <w:iCs/>
          <w:sz w:val="24"/>
          <w:lang w:val="hr-HR"/>
        </w:rPr>
        <w:t>.</w:t>
      </w:r>
      <w:r w:rsidR="00C37502" w:rsidRPr="00C37502">
        <w:rPr>
          <w:sz w:val="24"/>
          <w:lang w:val="hr-HR"/>
        </w:rPr>
        <w:t>,</w:t>
      </w:r>
      <w:r w:rsidRPr="00C37502">
        <w:rPr>
          <w:sz w:val="24"/>
          <w:lang w:val="hr-HR"/>
        </w:rPr>
        <w:t xml:space="preserve"> </w:t>
      </w:r>
      <w:r w:rsidRPr="009D1C79">
        <w:rPr>
          <w:sz w:val="24"/>
          <w:lang w:val="hr-HR"/>
        </w:rPr>
        <w:t>str. </w:t>
      </w:r>
      <w:r w:rsidRPr="009D1C79">
        <w:rPr>
          <w:sz w:val="24"/>
          <w:lang w:val="hr-HR"/>
        </w:rPr>
        <w:t xml:space="preserve">1., ELI: </w:t>
      </w:r>
      <w:hyperlink r:id="rId4" w:tgtFrame="http://data.europa.eu/eli/reg/2023/1113/oj" w:history="1">
        <w:r w:rsidRPr="009D1C79">
          <w:rPr>
            <w:rStyle w:val="Hyperlink"/>
            <w:sz w:val="24"/>
            <w:lang w:val="hr-HR"/>
          </w:rPr>
          <w:t>http://data.europa.eu/eli/reg/2023/1113/oj</w:t>
        </w:r>
      </w:hyperlink>
      <w:r w:rsidRPr="009D1C79">
        <w:rPr>
          <w:sz w:val="24"/>
          <w:lang w:val="hr-HR"/>
        </w:rPr>
        <w:t>).</w:t>
      </w:r>
    </w:p>
  </w:footnote>
  <w:footnote w:id="6">
    <w:p w14:paraId="6A5AA134" w14:textId="47BF8BF7" w:rsidR="00A973AB" w:rsidRPr="009D1C79" w:rsidRDefault="00A973AB" w:rsidP="009D1C79">
      <w:pPr>
        <w:pStyle w:val="FootnoteText"/>
        <w:ind w:left="567" w:hanging="567"/>
        <w:rPr>
          <w:sz w:val="24"/>
          <w:lang w:val="hr-HR"/>
        </w:rPr>
      </w:pPr>
      <w:r>
        <w:rPr>
          <w:rStyle w:val="FootnoteReference"/>
        </w:rPr>
        <w:footnoteRef/>
      </w:r>
      <w:r w:rsidRPr="009D1C79">
        <w:rPr>
          <w:sz w:val="24"/>
          <w:lang w:val="hr-HR"/>
        </w:rPr>
        <w:t xml:space="preserve"> </w:t>
      </w:r>
      <w:r w:rsidRPr="009D1C79">
        <w:rPr>
          <w:sz w:val="24"/>
          <w:lang w:val="hr-HR"/>
        </w:rPr>
        <w:tab/>
        <w:t>Prijedlog Komisije od 28. lipnja 2023. za direktivu Europskog parlamenta i Vijeća o platnim uslugama i uslugama elektroničkog novca na unutarnjem tržištu, izmjenama Direktive 98/26/EZ i stavljanju izvan snage direktiva (EU) 2015/2366 i 2009/110/EZ (COM(2023)0366).</w:t>
      </w:r>
    </w:p>
  </w:footnote>
  <w:footnote w:id="7">
    <w:p w14:paraId="3160814B" w14:textId="31B95326" w:rsidR="00A973AB" w:rsidRPr="009D1C79" w:rsidRDefault="00A973AB" w:rsidP="009D1C79">
      <w:pPr>
        <w:pStyle w:val="FootnoteText"/>
        <w:ind w:left="567" w:hanging="567"/>
        <w:rPr>
          <w:sz w:val="24"/>
          <w:lang w:val="hr-HR"/>
        </w:rPr>
      </w:pPr>
      <w:r>
        <w:rPr>
          <w:rStyle w:val="FootnoteReference"/>
        </w:rPr>
        <w:footnoteRef/>
      </w:r>
      <w:r w:rsidRPr="009D1C79">
        <w:rPr>
          <w:sz w:val="24"/>
          <w:lang w:val="hr-HR"/>
        </w:rPr>
        <w:t xml:space="preserve"> </w:t>
      </w:r>
      <w:r w:rsidRPr="009D1C79">
        <w:rPr>
          <w:sz w:val="24"/>
          <w:lang w:val="hr-HR"/>
        </w:rPr>
        <w:tab/>
        <w:t>Prijedlog Komisije od 28. lipnja 2023. za uredbu Europskog parlamenta i Vijeća o platnim uslugama na unutarnjem tržištu i izmjeni Uredbe (EU) br. 1093/2010, (COM(0367)).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33494854">
    <w:abstractNumId w:val="9"/>
  </w:num>
  <w:num w:numId="2" w16cid:durableId="1798790621">
    <w:abstractNumId w:val="9"/>
  </w:num>
  <w:num w:numId="3" w16cid:durableId="219899540">
    <w:abstractNumId w:val="7"/>
  </w:num>
  <w:num w:numId="4" w16cid:durableId="260340892">
    <w:abstractNumId w:val="7"/>
  </w:num>
  <w:num w:numId="5" w16cid:durableId="2086684820">
    <w:abstractNumId w:val="6"/>
  </w:num>
  <w:num w:numId="6" w16cid:durableId="1855683720">
    <w:abstractNumId w:val="6"/>
  </w:num>
  <w:num w:numId="7" w16cid:durableId="772895451">
    <w:abstractNumId w:val="5"/>
  </w:num>
  <w:num w:numId="8" w16cid:durableId="510998459">
    <w:abstractNumId w:val="5"/>
  </w:num>
  <w:num w:numId="9" w16cid:durableId="63334280">
    <w:abstractNumId w:val="4"/>
  </w:num>
  <w:num w:numId="10" w16cid:durableId="1849902369">
    <w:abstractNumId w:val="4"/>
  </w:num>
  <w:num w:numId="11" w16cid:durableId="1340160415">
    <w:abstractNumId w:val="8"/>
  </w:num>
  <w:num w:numId="12" w16cid:durableId="1955288014">
    <w:abstractNumId w:val="8"/>
  </w:num>
  <w:num w:numId="13" w16cid:durableId="2112584507">
    <w:abstractNumId w:val="3"/>
  </w:num>
  <w:num w:numId="14" w16cid:durableId="1194416103">
    <w:abstractNumId w:val="3"/>
  </w:num>
  <w:num w:numId="15" w16cid:durableId="1069116793">
    <w:abstractNumId w:val="2"/>
  </w:num>
  <w:num w:numId="16" w16cid:durableId="567882829">
    <w:abstractNumId w:val="2"/>
  </w:num>
  <w:num w:numId="17" w16cid:durableId="269312825">
    <w:abstractNumId w:val="1"/>
  </w:num>
  <w:num w:numId="18" w16cid:durableId="84039225">
    <w:abstractNumId w:val="1"/>
  </w:num>
  <w:num w:numId="19" w16cid:durableId="1641838941">
    <w:abstractNumId w:val="0"/>
  </w:num>
  <w:num w:numId="20" w16cid:durableId="1243223238">
    <w:abstractNumId w:val="0"/>
  </w:num>
  <w:num w:numId="21" w16cid:durableId="1960719260">
    <w:abstractNumId w:val="9"/>
  </w:num>
  <w:num w:numId="22" w16cid:durableId="1902406771">
    <w:abstractNumId w:val="7"/>
  </w:num>
  <w:num w:numId="23" w16cid:durableId="897285559">
    <w:abstractNumId w:val="6"/>
  </w:num>
  <w:num w:numId="24" w16cid:durableId="2033604836">
    <w:abstractNumId w:val="5"/>
  </w:num>
  <w:num w:numId="25" w16cid:durableId="1214125018">
    <w:abstractNumId w:val="4"/>
  </w:num>
  <w:num w:numId="26" w16cid:durableId="719019718">
    <w:abstractNumId w:val="8"/>
  </w:num>
  <w:num w:numId="27" w16cid:durableId="1241208516">
    <w:abstractNumId w:val="3"/>
  </w:num>
  <w:num w:numId="28" w16cid:durableId="42217878">
    <w:abstractNumId w:val="2"/>
  </w:num>
  <w:num w:numId="29" w16cid:durableId="1720082092">
    <w:abstractNumId w:val="1"/>
  </w:num>
  <w:num w:numId="30" w16cid:durableId="1046177569">
    <w:abstractNumId w:val="0"/>
  </w:num>
  <w:num w:numId="31" w16cid:durableId="478814765">
    <w:abstractNumId w:val="9"/>
  </w:num>
  <w:num w:numId="32" w16cid:durableId="1330013937">
    <w:abstractNumId w:val="7"/>
  </w:num>
  <w:num w:numId="33" w16cid:durableId="564534687">
    <w:abstractNumId w:val="6"/>
  </w:num>
  <w:num w:numId="34" w16cid:durableId="1494637463">
    <w:abstractNumId w:val="5"/>
  </w:num>
  <w:num w:numId="35" w16cid:durableId="1493831578">
    <w:abstractNumId w:val="4"/>
  </w:num>
  <w:num w:numId="36" w16cid:durableId="472793938">
    <w:abstractNumId w:val="8"/>
  </w:num>
  <w:num w:numId="37" w16cid:durableId="292558490">
    <w:abstractNumId w:val="3"/>
  </w:num>
  <w:num w:numId="38" w16cid:durableId="975988605">
    <w:abstractNumId w:val="2"/>
  </w:num>
  <w:num w:numId="39" w16cid:durableId="579144107">
    <w:abstractNumId w:val="1"/>
  </w:num>
  <w:num w:numId="40" w16cid:durableId="1422222083">
    <w:abstractNumId w:val="0"/>
  </w:num>
  <w:num w:numId="41" w16cid:durableId="358552562">
    <w:abstractNumId w:val="10"/>
  </w:num>
  <w:num w:numId="42" w16cid:durableId="649092643">
    <w:abstractNumId w:val="10"/>
  </w:num>
  <w:num w:numId="43" w16cid:durableId="365060699">
    <w:abstractNumId w:val="10"/>
  </w:num>
  <w:num w:numId="44" w16cid:durableId="6606978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6/2026"/>
    <w:docVar w:name="dvlangue" w:val="HR"/>
    <w:docVar w:name="dvnumam" w:val="0"/>
    <w:docVar w:name="dvpe" w:val="784.381"/>
    <w:docVar w:name="dvrapporteur" w:val="Izvjestitelj: "/>
    <w:docVar w:name="dvtitre" w:val="Rezolucija Europskog parlamenta od .... 2026. o digitalnoj imovini – izazovi za konkurentnost i cjelovitost financijskog sustava Europske unije(2025/2208(INI))"/>
  </w:docVars>
  <w:rsids>
    <w:rsidRoot w:val="001B387C"/>
    <w:rsid w:val="00002272"/>
    <w:rsid w:val="00064002"/>
    <w:rsid w:val="000677B9"/>
    <w:rsid w:val="000831BA"/>
    <w:rsid w:val="000A42CC"/>
    <w:rsid w:val="000E7DD9"/>
    <w:rsid w:val="000F7D07"/>
    <w:rsid w:val="0010095E"/>
    <w:rsid w:val="00125B37"/>
    <w:rsid w:val="001815A8"/>
    <w:rsid w:val="00187494"/>
    <w:rsid w:val="001B387C"/>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429D"/>
    <w:rsid w:val="00680577"/>
    <w:rsid w:val="006F74FA"/>
    <w:rsid w:val="00731ADD"/>
    <w:rsid w:val="00734777"/>
    <w:rsid w:val="00747932"/>
    <w:rsid w:val="00751A4A"/>
    <w:rsid w:val="00756632"/>
    <w:rsid w:val="00762C74"/>
    <w:rsid w:val="00786EC0"/>
    <w:rsid w:val="007D1690"/>
    <w:rsid w:val="007E22AD"/>
    <w:rsid w:val="007F2449"/>
    <w:rsid w:val="00817416"/>
    <w:rsid w:val="00842779"/>
    <w:rsid w:val="00865F67"/>
    <w:rsid w:val="00881A7B"/>
    <w:rsid w:val="008840E5"/>
    <w:rsid w:val="00887B3E"/>
    <w:rsid w:val="008C2AC6"/>
    <w:rsid w:val="00930C23"/>
    <w:rsid w:val="0093193B"/>
    <w:rsid w:val="009509D8"/>
    <w:rsid w:val="00950B64"/>
    <w:rsid w:val="00981893"/>
    <w:rsid w:val="009D1C79"/>
    <w:rsid w:val="00A01AC5"/>
    <w:rsid w:val="00A1687D"/>
    <w:rsid w:val="00A43E52"/>
    <w:rsid w:val="00A4678D"/>
    <w:rsid w:val="00A778C7"/>
    <w:rsid w:val="00A973AB"/>
    <w:rsid w:val="00AB441E"/>
    <w:rsid w:val="00AB6293"/>
    <w:rsid w:val="00AE0928"/>
    <w:rsid w:val="00AF3B82"/>
    <w:rsid w:val="00B12E95"/>
    <w:rsid w:val="00B22876"/>
    <w:rsid w:val="00B558F0"/>
    <w:rsid w:val="00BC25C0"/>
    <w:rsid w:val="00BD48FE"/>
    <w:rsid w:val="00BD7BD8"/>
    <w:rsid w:val="00BE6ADC"/>
    <w:rsid w:val="00C05BFE"/>
    <w:rsid w:val="00C23CD4"/>
    <w:rsid w:val="00C37502"/>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3867D9"/>
  <w15:chartTrackingRefBased/>
  <w15:docId w15:val="{F95AF16F-05BA-417E-8AEC-0E62FCEA6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7F2449"/>
    <w:pPr>
      <w:widowControl/>
      <w:spacing w:after="240"/>
    </w:pPr>
    <w:rPr>
      <w:szCs w:val="24"/>
      <w:lang w:eastAsia="en-US"/>
    </w:rPr>
  </w:style>
  <w:style w:type="paragraph" w:customStyle="1" w:styleId="NormalHanging12a">
    <w:name w:val="NormalHanging12a"/>
    <w:basedOn w:val="Normal"/>
    <w:rsid w:val="007F2449"/>
    <w:pPr>
      <w:widowControl/>
      <w:spacing w:after="240"/>
      <w:ind w:left="566" w:hanging="566"/>
    </w:pPr>
    <w:rPr>
      <w:szCs w:val="24"/>
      <w:lang w:eastAsia="en-US"/>
    </w:rPr>
  </w:style>
  <w:style w:type="paragraph" w:customStyle="1" w:styleId="Normal12">
    <w:name w:val="Normal12"/>
    <w:basedOn w:val="Normal"/>
    <w:rsid w:val="007F2449"/>
    <w:pPr>
      <w:spacing w:after="240"/>
    </w:pPr>
    <w:rPr>
      <w:szCs w:val="24"/>
      <w:lang w:eastAsia="en-US"/>
    </w:rPr>
  </w:style>
  <w:style w:type="paragraph" w:customStyle="1" w:styleId="NormalHanging">
    <w:name w:val="NormalHanging"/>
    <w:basedOn w:val="Normal"/>
    <w:rsid w:val="007F2449"/>
    <w:pPr>
      <w:spacing w:after="240"/>
      <w:ind w:left="566" w:hanging="566"/>
    </w:pPr>
    <w:rPr>
      <w:szCs w:val="24"/>
      <w:lang w:eastAsia="en-US"/>
    </w:rPr>
  </w:style>
  <w:style w:type="paragraph" w:customStyle="1" w:styleId="NormalCenter12a">
    <w:name w:val="NormalCenter12a"/>
    <w:basedOn w:val="Normal"/>
    <w:rsid w:val="007F2449"/>
    <w:pPr>
      <w:widowControl/>
      <w:spacing w:after="240"/>
      <w:jc w:val="center"/>
    </w:pPr>
    <w:rPr>
      <w:szCs w:val="24"/>
      <w:lang w:eastAsia="en-US"/>
    </w:rPr>
  </w:style>
  <w:style w:type="character" w:styleId="Hyperlink">
    <w:name w:val="Hyperlink"/>
    <w:basedOn w:val="DefaultParagraphFont"/>
    <w:rsid w:val="007F2449"/>
    <w:rPr>
      <w:color w:val="0000FF"/>
      <w:u w:val="single"/>
    </w:rPr>
  </w:style>
  <w:style w:type="character" w:styleId="FollowedHyperlink">
    <w:name w:val="FollowedHyperlink"/>
    <w:basedOn w:val="DefaultParagraphFont"/>
    <w:rsid w:val="00A973AB"/>
    <w:rPr>
      <w:color w:val="954F72" w:themeColor="followedHyperlink"/>
      <w:u w:val="single"/>
    </w:rPr>
  </w:style>
  <w:style w:type="paragraph" w:styleId="Revision">
    <w:name w:val="Revision"/>
    <w:hidden/>
    <w:uiPriority w:val="99"/>
    <w:semiHidden/>
    <w:rsid w:val="00A01AC5"/>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3/1114/oj" TargetMode="External"/><Relationship Id="rId2" Type="http://schemas.openxmlformats.org/officeDocument/2006/relationships/hyperlink" Target="http://data.europa.eu/eli/reg/2022/858/oj" TargetMode="External"/><Relationship Id="rId1" Type="http://schemas.openxmlformats.org/officeDocument/2006/relationships/hyperlink" Target="https://doi.org/10.5089/9798400297649.022" TargetMode="External"/><Relationship Id="rId4" Type="http://schemas.openxmlformats.org/officeDocument/2006/relationships/hyperlink" Target="http://data.europa.eu/eli/reg/2023/11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2472</Words>
  <Characters>16227</Characters>
  <Application>Microsoft Office Word</Application>
  <DocSecurity>0</DocSecurity>
  <Lines>135</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ZOVKO Jadranka</cp:lastModifiedBy>
  <cp:revision>2</cp:revision>
  <cp:lastPrinted>2004-11-19T15:42:00Z</cp:lastPrinted>
  <dcterms:created xsi:type="dcterms:W3CDTF">2026-07-07T12:59:00Z</dcterms:created>
  <dcterms:modified xsi:type="dcterms:W3CDTF">2026-07-07T12:59:00Z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A10-0186/2026</vt:lpwstr>
  </property>
  <property fmtid="{D5CDD505-2E9C-101B-9397-08002B2CF9AE}" pid="4" name="&lt;Type&gt;">
    <vt:lpwstr>RR</vt:lpwstr>
  </property>
</Properties>
</file>