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2F2D" w14:paraId="1AFA4A46" w14:textId="77777777" w:rsidTr="0010095E">
        <w:trPr>
          <w:trHeight w:hRule="exact" w:val="1418"/>
        </w:trPr>
        <w:tc>
          <w:tcPr>
            <w:tcW w:w="6804" w:type="dxa"/>
            <w:shd w:val="clear" w:color="auto" w:fill="auto"/>
            <w:vAlign w:val="center"/>
          </w:tcPr>
          <w:p w14:paraId="0C15AF6A" w14:textId="77777777" w:rsidR="00751A4A" w:rsidRPr="00892F2D" w:rsidRDefault="00AF7D98" w:rsidP="0010095E">
            <w:pPr>
              <w:pStyle w:val="EPName"/>
            </w:pPr>
            <w:r w:rsidRPr="00892F2D">
              <w:t>Európai Parlament</w:t>
            </w:r>
          </w:p>
          <w:p w14:paraId="36F71A39" w14:textId="77777777" w:rsidR="00751A4A" w:rsidRPr="00892F2D" w:rsidRDefault="005F1B17" w:rsidP="005F1B17">
            <w:pPr>
              <w:pStyle w:val="EPTerm"/>
              <w:rPr>
                <w:rStyle w:val="HideTWBExt"/>
                <w:noProof w:val="0"/>
                <w:vanish w:val="0"/>
                <w:color w:val="auto"/>
              </w:rPr>
            </w:pPr>
            <w:r w:rsidRPr="00892F2D">
              <w:t>2024</w:t>
            </w:r>
            <w:r w:rsidR="00817416" w:rsidRPr="00892F2D">
              <w:t>-202</w:t>
            </w:r>
            <w:r w:rsidRPr="00892F2D">
              <w:t>9</w:t>
            </w:r>
          </w:p>
        </w:tc>
        <w:tc>
          <w:tcPr>
            <w:tcW w:w="2268" w:type="dxa"/>
            <w:shd w:val="clear" w:color="auto" w:fill="auto"/>
          </w:tcPr>
          <w:p w14:paraId="40B5D6B2" w14:textId="77777777" w:rsidR="00751A4A" w:rsidRPr="00892F2D" w:rsidRDefault="00187494" w:rsidP="0010095E">
            <w:pPr>
              <w:pStyle w:val="EPLogo"/>
            </w:pPr>
            <w:r w:rsidRPr="00892F2D">
              <w:rPr>
                <w:noProof/>
                <w:lang w:eastAsia="ja-JP"/>
              </w:rPr>
              <w:drawing>
                <wp:inline distT="0" distB="0" distL="0" distR="0" wp14:anchorId="643BEB2F" wp14:editId="69BA55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003095" w14:textId="77777777" w:rsidR="00D058B8" w:rsidRPr="00892F2D" w:rsidRDefault="00D058B8" w:rsidP="004C5D52">
      <w:pPr>
        <w:pStyle w:val="LineTop"/>
      </w:pPr>
    </w:p>
    <w:p w14:paraId="15546CBE" w14:textId="77777777" w:rsidR="00680577" w:rsidRPr="00892F2D" w:rsidRDefault="00AF7D98" w:rsidP="00680577">
      <w:pPr>
        <w:pStyle w:val="EPBodyTA1"/>
      </w:pPr>
      <w:r w:rsidRPr="00892F2D">
        <w:t>ELFOGADOTT SZÖVEGEK</w:t>
      </w:r>
    </w:p>
    <w:p w14:paraId="62DC79BB" w14:textId="77777777" w:rsidR="00D058B8" w:rsidRPr="00892F2D" w:rsidRDefault="00D058B8" w:rsidP="00D058B8">
      <w:pPr>
        <w:pStyle w:val="LineBottom"/>
      </w:pPr>
    </w:p>
    <w:p w14:paraId="3F36EA6D" w14:textId="24F0D3D0" w:rsidR="00AF7D98" w:rsidRPr="00892F2D" w:rsidRDefault="00AF7D98" w:rsidP="00AF7D98">
      <w:pPr>
        <w:pStyle w:val="ATHeading1"/>
      </w:pPr>
      <w:bookmarkStart w:id="0" w:name="TANumber"/>
      <w:r w:rsidRPr="00892F2D">
        <w:t>P10_TA(2026)0</w:t>
      </w:r>
      <w:r w:rsidR="00892F2D">
        <w:t>251</w:t>
      </w:r>
      <w:bookmarkEnd w:id="0"/>
    </w:p>
    <w:p w14:paraId="38CC3C3A" w14:textId="640F9DFE" w:rsidR="00AF7D98" w:rsidRPr="00892F2D" w:rsidRDefault="001C484E" w:rsidP="00AF7D98">
      <w:pPr>
        <w:pStyle w:val="ATHeading2"/>
      </w:pPr>
      <w:bookmarkStart w:id="1" w:name="title"/>
      <w:r w:rsidRPr="00892F2D">
        <w:t>Digitális eszközök – az Európai Unió pénzügyi rendszerének versenyképessége és integritása előtt álló kihívások</w:t>
      </w:r>
      <w:bookmarkEnd w:id="1"/>
    </w:p>
    <w:p w14:paraId="0E2F54BD" w14:textId="77777777" w:rsidR="00AF7D98" w:rsidRPr="00892F2D" w:rsidRDefault="00AF7D98" w:rsidP="00AF7D98">
      <w:pPr>
        <w:rPr>
          <w:i/>
          <w:vanish/>
        </w:rPr>
      </w:pPr>
      <w:r w:rsidRPr="00892F2D">
        <w:rPr>
          <w:i/>
        </w:rPr>
        <w:fldChar w:fldCharType="begin"/>
      </w:r>
      <w:r w:rsidRPr="00892F2D">
        <w:rPr>
          <w:i/>
        </w:rPr>
        <w:instrText xml:space="preserve"> TC"(</w:instrText>
      </w:r>
      <w:bookmarkStart w:id="2" w:name="DocNumber"/>
      <w:r w:rsidRPr="00892F2D">
        <w:rPr>
          <w:i/>
        </w:rPr>
        <w:instrText>A10-0186/2026</w:instrText>
      </w:r>
      <w:bookmarkEnd w:id="2"/>
      <w:r w:rsidRPr="00892F2D">
        <w:rPr>
          <w:i/>
        </w:rPr>
        <w:instrText xml:space="preserve"> - Előadó: Johan Van Overtveldt)"\l3 \n&gt; \* MERGEFORMAT </w:instrText>
      </w:r>
      <w:r w:rsidRPr="00892F2D">
        <w:rPr>
          <w:i/>
        </w:rPr>
        <w:fldChar w:fldCharType="end"/>
      </w:r>
    </w:p>
    <w:p w14:paraId="48D29E11" w14:textId="77777777" w:rsidR="00AF7D98" w:rsidRPr="00892F2D" w:rsidRDefault="00AF7D98" w:rsidP="00AF7D98">
      <w:pPr>
        <w:rPr>
          <w:vanish/>
        </w:rPr>
      </w:pPr>
      <w:bookmarkStart w:id="3" w:name="Commission"/>
      <w:r w:rsidRPr="00892F2D">
        <w:rPr>
          <w:vanish/>
        </w:rPr>
        <w:t>Gazdasági és Monetáris Bizottság</w:t>
      </w:r>
      <w:bookmarkEnd w:id="3"/>
    </w:p>
    <w:p w14:paraId="5306CFFC" w14:textId="77777777" w:rsidR="00AF7D98" w:rsidRPr="00892F2D" w:rsidRDefault="00AF7D98" w:rsidP="00AF7D98">
      <w:pPr>
        <w:rPr>
          <w:vanish/>
        </w:rPr>
      </w:pPr>
      <w:bookmarkStart w:id="4" w:name="PE"/>
      <w:r w:rsidRPr="00892F2D">
        <w:rPr>
          <w:vanish/>
        </w:rPr>
        <w:t>PE784.381</w:t>
      </w:r>
      <w:bookmarkEnd w:id="4"/>
    </w:p>
    <w:p w14:paraId="4765E045" w14:textId="265DCB54" w:rsidR="00AF7D98" w:rsidRPr="00892F2D" w:rsidRDefault="00AF7D98" w:rsidP="00AF7D98">
      <w:pPr>
        <w:pStyle w:val="ATHeading3"/>
      </w:pPr>
      <w:bookmarkStart w:id="5" w:name="Sujet"/>
      <w:r w:rsidRPr="00892F2D">
        <w:t xml:space="preserve">Az Európai Parlament 2026. </w:t>
      </w:r>
      <w:r w:rsidR="00E25F38" w:rsidRPr="00892F2D">
        <w:t>július 7</w:t>
      </w:r>
      <w:r w:rsidRPr="00892F2D">
        <w:t>-i állásfoglalása a digitális eszközökről – az Európai Unió pénzügyi rendszerének versenyképessége és integritása előtt álló kihívások</w:t>
      </w:r>
      <w:bookmarkEnd w:id="5"/>
      <w:r w:rsidRPr="00892F2D">
        <w:t xml:space="preserve"> </w:t>
      </w:r>
      <w:bookmarkStart w:id="6" w:name="References"/>
      <w:r w:rsidRPr="00892F2D">
        <w:t>(2025/2208(INI))</w:t>
      </w:r>
      <w:bookmarkEnd w:id="6"/>
    </w:p>
    <w:p w14:paraId="4D8CD004" w14:textId="77777777" w:rsidR="000E65A1" w:rsidRPr="00892F2D" w:rsidRDefault="000E65A1" w:rsidP="001E7460">
      <w:pPr>
        <w:pStyle w:val="Normal12"/>
        <w:spacing w:before="360"/>
        <w:rPr>
          <w:i/>
          <w:iCs/>
        </w:rPr>
      </w:pPr>
      <w:r w:rsidRPr="00892F2D">
        <w:rPr>
          <w:i/>
          <w:iCs/>
        </w:rPr>
        <w:t>Az Európai Parlament,</w:t>
      </w:r>
    </w:p>
    <w:p w14:paraId="2E150DC9" w14:textId="77777777" w:rsidR="000E65A1" w:rsidRPr="00892F2D" w:rsidRDefault="000E65A1" w:rsidP="001E7460">
      <w:pPr>
        <w:pStyle w:val="NormalHanging"/>
        <w:widowControl/>
        <w:ind w:left="567" w:hanging="567"/>
      </w:pPr>
      <w:r w:rsidRPr="00892F2D">
        <w:t>–</w:t>
      </w:r>
      <w:r w:rsidRPr="00892F2D">
        <w:tab/>
        <w:t>tekintettel az Európai Központi Bank (EKB) 2025. novemberi pénzügyi stabilitási jelentésére,</w:t>
      </w:r>
    </w:p>
    <w:p w14:paraId="78BE93CF" w14:textId="77777777" w:rsidR="000E65A1" w:rsidRPr="00892F2D" w:rsidRDefault="000E65A1" w:rsidP="001E7460">
      <w:pPr>
        <w:pStyle w:val="NormalHanging"/>
        <w:widowControl/>
        <w:ind w:left="567" w:hanging="567"/>
      </w:pPr>
      <w:r w:rsidRPr="00892F2D">
        <w:t>–</w:t>
      </w:r>
      <w:r w:rsidRPr="00892F2D">
        <w:tab/>
        <w:t>tekintettel az EKB „Stablecoins and monetary policy transmission” (Stabil kriptopénzek és monetáris transzmissziós mechanizmus) című, 2026. március 3-i 3199. sz. munkadokumentumára,</w:t>
      </w:r>
    </w:p>
    <w:p w14:paraId="42396A74" w14:textId="77777777" w:rsidR="000E65A1" w:rsidRPr="00892F2D" w:rsidRDefault="000E65A1" w:rsidP="001E7460">
      <w:pPr>
        <w:pStyle w:val="NormalHanging"/>
        <w:widowControl/>
        <w:ind w:left="567" w:hanging="567"/>
      </w:pPr>
      <w:r w:rsidRPr="00892F2D">
        <w:t>–</w:t>
      </w:r>
      <w:r w:rsidRPr="00892F2D">
        <w:tab/>
        <w:t>tekintettel az Európai Rendszerkockázati Testületnek (ERKT) a harmadik országbeli, több kibocsátót magukban foglaló stabilkriptopénz-rendszerekről szóló, 2025. szeptember 25-i ajánlására,</w:t>
      </w:r>
    </w:p>
    <w:p w14:paraId="2FB5C087" w14:textId="77777777" w:rsidR="000E65A1" w:rsidRPr="00892F2D" w:rsidRDefault="000E65A1" w:rsidP="001E7460">
      <w:pPr>
        <w:pStyle w:val="NormalHanging"/>
        <w:widowControl/>
        <w:ind w:left="567" w:hanging="567"/>
      </w:pPr>
      <w:r w:rsidRPr="00892F2D">
        <w:t>–</w:t>
      </w:r>
      <w:r w:rsidRPr="00892F2D">
        <w:tab/>
        <w:t>tekintettel az ERKT „Kriptoeszközök és decentralizált finanszírozás – Jelentés a stabil kriptopénzekről, a kriptobefektetési termékekről és a többfunkciós csoportokról” című, 2025. októberi jelentésére,</w:t>
      </w:r>
    </w:p>
    <w:p w14:paraId="6AA7D375" w14:textId="77777777" w:rsidR="000E65A1" w:rsidRPr="00892F2D" w:rsidRDefault="000E65A1" w:rsidP="001E7460">
      <w:pPr>
        <w:pStyle w:val="NormalHanging"/>
        <w:widowControl/>
        <w:ind w:left="567" w:hanging="567"/>
      </w:pPr>
      <w:r w:rsidRPr="00892F2D">
        <w:t>–</w:t>
      </w:r>
      <w:r w:rsidRPr="00892F2D">
        <w:tab/>
        <w:t>tekintettel az Európai Értékpapírpiaci Hatóságnak (ESMA) a kriptoeszközök pénzügyi eszköznek minősítésének feltételeiről és kritériumairól szóló, 2025. március 19-i iránymutatására,</w:t>
      </w:r>
    </w:p>
    <w:p w14:paraId="4368163B" w14:textId="77777777" w:rsidR="000E65A1" w:rsidRPr="00892F2D" w:rsidRDefault="000E65A1" w:rsidP="001E7460">
      <w:pPr>
        <w:pStyle w:val="NormalHanging"/>
        <w:widowControl/>
        <w:ind w:left="567" w:hanging="567"/>
      </w:pPr>
      <w:r w:rsidRPr="00892F2D">
        <w:t>–</w:t>
      </w:r>
      <w:r w:rsidRPr="00892F2D">
        <w:tab/>
        <w:t>tekintettel az Európai Bankhatóság (EBH) „Jelentés a tokenizált betétekről” című, 2024. decemberi jelentésére,</w:t>
      </w:r>
    </w:p>
    <w:p w14:paraId="0B29B066" w14:textId="77777777" w:rsidR="000E65A1" w:rsidRPr="00892F2D" w:rsidRDefault="000E65A1" w:rsidP="001E7460">
      <w:pPr>
        <w:pStyle w:val="NormalHanging"/>
        <w:widowControl/>
        <w:ind w:left="567" w:hanging="567"/>
      </w:pPr>
      <w:r w:rsidRPr="00892F2D">
        <w:t>–</w:t>
      </w:r>
      <w:r w:rsidRPr="00892F2D">
        <w:tab/>
        <w:t>tekintettel az EBH „Report on tackling ML/TF risks in crypto-asset services through supervision - Lessons learned from recent cases” (Jelentés a kriptoeszköz-szolgáltatások pénzmosási és terrorizmusfinanszírozási kockázatainak felügyelet révén történő kezeléséről – A közelmúltbeli esetek tanulságai) című, 2025. októberi jelentésére,</w:t>
      </w:r>
    </w:p>
    <w:p w14:paraId="59610029" w14:textId="5821FC66" w:rsidR="000E65A1" w:rsidRPr="00892F2D" w:rsidRDefault="000E65A1" w:rsidP="001E7460">
      <w:pPr>
        <w:pStyle w:val="NormalHanging"/>
        <w:widowControl/>
        <w:ind w:left="567" w:hanging="567"/>
      </w:pPr>
      <w:r w:rsidRPr="00892F2D">
        <w:lastRenderedPageBreak/>
        <w:t>–</w:t>
      </w:r>
      <w:r w:rsidRPr="00892F2D">
        <w:tab/>
        <w:t>tekintettel a Nemzetközi Valutaalap „Finance &amp; Development” kiadványa 2025. szeptemberi számára, amely „Stablecoins and the future of finance” (Stabil kriptopénzek és a pénzügyek jövője) címmel jelent meg</w:t>
      </w:r>
      <w:r w:rsidR="001C484E" w:rsidRPr="00892F2D">
        <w:rPr>
          <w:rStyle w:val="FootnoteReference"/>
        </w:rPr>
        <w:footnoteReference w:id="1"/>
      </w:r>
      <w:r w:rsidRPr="00892F2D">
        <w:t>,</w:t>
      </w:r>
    </w:p>
    <w:p w14:paraId="79500D31" w14:textId="77777777" w:rsidR="000E65A1" w:rsidRPr="00892F2D" w:rsidRDefault="000E65A1" w:rsidP="001E7460">
      <w:pPr>
        <w:pStyle w:val="NormalHanging"/>
        <w:widowControl/>
        <w:ind w:left="567" w:hanging="567"/>
      </w:pPr>
      <w:r w:rsidRPr="00892F2D">
        <w:t>–</w:t>
      </w:r>
      <w:r w:rsidRPr="00892F2D">
        <w:tab/>
        <w:t>tekintettel az Értékpapír-felügyeletek Nemzetközi Szervezetének „A pénzügyi eszközök tokenizációja” című, 2025. novemberi jelentésére,</w:t>
      </w:r>
    </w:p>
    <w:p w14:paraId="0F170B03" w14:textId="77777777" w:rsidR="000E65A1" w:rsidRPr="00892F2D" w:rsidRDefault="000E65A1" w:rsidP="001E7460">
      <w:pPr>
        <w:pStyle w:val="NormalHanging"/>
        <w:widowControl/>
        <w:ind w:left="567" w:hanging="567"/>
      </w:pPr>
      <w:r w:rsidRPr="00892F2D">
        <w:t>–</w:t>
      </w:r>
      <w:r w:rsidRPr="00892F2D">
        <w:tab/>
        <w:t>tekintettel a Nemzetközi Fizetések Bankjának 2025. júniusi éves gazdasági jelentésére,</w:t>
      </w:r>
    </w:p>
    <w:p w14:paraId="020E2F76" w14:textId="77777777" w:rsidR="000E65A1" w:rsidRPr="00892F2D" w:rsidRDefault="000E65A1" w:rsidP="001E7460">
      <w:pPr>
        <w:pStyle w:val="NormalHanging"/>
        <w:widowControl/>
        <w:ind w:left="567" w:hanging="567"/>
      </w:pPr>
      <w:r w:rsidRPr="00892F2D">
        <w:t>–</w:t>
      </w:r>
      <w:r w:rsidRPr="00892F2D">
        <w:tab/>
        <w:t>tekintettel a Pénzügyi Stabilitási Tanács (FSB) „Thematic Review on FSB Global Regulatory Framework for Crypto-asset Activities” (Az FSB kriptoeszközökre vonatkozó globális szabályozási keretének tematikus felülvizsgálata) című, 2025. október 16-i jelentésére,</w:t>
      </w:r>
    </w:p>
    <w:p w14:paraId="753F6C46" w14:textId="77777777" w:rsidR="000E65A1" w:rsidRPr="00892F2D" w:rsidRDefault="000E65A1" w:rsidP="001E7460">
      <w:pPr>
        <w:pStyle w:val="NormalHanging"/>
        <w:widowControl/>
        <w:ind w:left="567" w:hanging="567"/>
      </w:pPr>
      <w:r w:rsidRPr="00892F2D">
        <w:t>–</w:t>
      </w:r>
      <w:r w:rsidRPr="00892F2D">
        <w:tab/>
        <w:t>tekintettel az FSB „A G20-ak kriptoeszköz-politikájának végrehajtási ütemterve” című, 2024. október 22-i helyzetjelentésére,</w:t>
      </w:r>
    </w:p>
    <w:p w14:paraId="1D29B24B" w14:textId="77777777" w:rsidR="000E65A1" w:rsidRPr="00892F2D" w:rsidRDefault="000E65A1" w:rsidP="001E7460">
      <w:pPr>
        <w:pStyle w:val="NormalHanging"/>
        <w:widowControl/>
        <w:ind w:left="567" w:hanging="567"/>
      </w:pPr>
      <w:r w:rsidRPr="00892F2D">
        <w:t>–</w:t>
      </w:r>
      <w:r w:rsidRPr="00892F2D">
        <w:tab/>
        <w:t>tekintettel az FSB-nek „A tokenizáció pénzügyi stabilitási vonatkozásai” című, 2024. október 22-i helyzetjelentésére,</w:t>
      </w:r>
    </w:p>
    <w:p w14:paraId="63A9B133" w14:textId="77777777" w:rsidR="000E65A1" w:rsidRPr="00892F2D" w:rsidRDefault="000E65A1" w:rsidP="001E7460">
      <w:pPr>
        <w:pStyle w:val="NormalHanging"/>
        <w:widowControl/>
        <w:ind w:left="567" w:hanging="567"/>
      </w:pPr>
      <w:r w:rsidRPr="00892F2D">
        <w:t>–</w:t>
      </w:r>
      <w:r w:rsidRPr="00892F2D">
        <w:tab/>
        <w:t>tekintettel a Bank of England „Proposed regulatory regime for sterling-denominated systemic stablecoins” (Javasolt szabályozási rendszer a font sterlingben denominált szisztemikus stabil kriptopénzekre) című, 2025. november 10-i konzultációs dokumentumára,</w:t>
      </w:r>
    </w:p>
    <w:p w14:paraId="7FFFD614" w14:textId="77777777" w:rsidR="000E65A1" w:rsidRPr="00892F2D" w:rsidRDefault="000E65A1" w:rsidP="001E7460">
      <w:pPr>
        <w:pStyle w:val="NormalHanging"/>
        <w:widowControl/>
        <w:ind w:left="567" w:hanging="567"/>
      </w:pPr>
      <w:r w:rsidRPr="00892F2D">
        <w:t>–</w:t>
      </w:r>
      <w:r w:rsidRPr="00892F2D">
        <w:tab/>
        <w:t>tekintettel a Gazdasági Kormányzás és a GMU Ellenőrzésével Foglalkozó Osztályának „Digitális eszközök: az EU szabályozási kerete, piaci elterjedés, kockázatok és kihívások” című, 2025. novemberi tájékoztatójára,</w:t>
      </w:r>
    </w:p>
    <w:p w14:paraId="14C4B454" w14:textId="5EEF1220" w:rsidR="000E65A1" w:rsidRPr="00892F2D" w:rsidRDefault="000E65A1" w:rsidP="001E7460">
      <w:pPr>
        <w:pStyle w:val="NormalHanging"/>
        <w:widowControl/>
        <w:ind w:left="567" w:hanging="567"/>
      </w:pPr>
      <w:r w:rsidRPr="00892F2D">
        <w:t>–</w:t>
      </w:r>
      <w:r w:rsidRPr="00892F2D">
        <w:tab/>
        <w:t>tekintettel az OECD „Tokenisation of assets and distributed ledger technologies in financial markets – Potential impediments to market development and policy implications” (Az eszközök és a megosztott főkönyvi technológiák tokenizálása a pénzügyi piacokon – A piacfejlesztés lehetséges akadályai és szakpolitikai következmények) című, 2025. január 9-i szakpolitikai dokumentumára</w:t>
      </w:r>
      <w:r w:rsidR="001C484E" w:rsidRPr="00892F2D">
        <w:rPr>
          <w:rStyle w:val="FootnoteReference"/>
        </w:rPr>
        <w:footnoteReference w:id="2"/>
      </w:r>
      <w:r w:rsidRPr="00892F2D">
        <w:t>,</w:t>
      </w:r>
    </w:p>
    <w:p w14:paraId="5946C61E" w14:textId="77777777" w:rsidR="000E65A1" w:rsidRPr="00892F2D" w:rsidRDefault="000E65A1" w:rsidP="001E7460">
      <w:pPr>
        <w:pStyle w:val="NormalHanging"/>
        <w:widowControl/>
        <w:ind w:left="567" w:hanging="567"/>
      </w:pPr>
      <w:r w:rsidRPr="00892F2D">
        <w:t>–</w:t>
      </w:r>
      <w:r w:rsidRPr="00892F2D">
        <w:tab/>
        <w:t>tekintettel eljárási szabályzata 55. cikkére,</w:t>
      </w:r>
    </w:p>
    <w:p w14:paraId="0B2B514E" w14:textId="77777777" w:rsidR="000E65A1" w:rsidRPr="00892F2D" w:rsidRDefault="000E65A1" w:rsidP="001E7460">
      <w:pPr>
        <w:pStyle w:val="NormalHanging"/>
        <w:widowControl/>
        <w:ind w:left="567" w:hanging="567"/>
      </w:pPr>
      <w:r w:rsidRPr="00892F2D">
        <w:t>–</w:t>
      </w:r>
      <w:r w:rsidRPr="00892F2D">
        <w:tab/>
        <w:t>tekintettel a Gazdasági és Monetáris Bizottság jelentésére (A10-0186/2026),</w:t>
      </w:r>
    </w:p>
    <w:p w14:paraId="17DAE01A" w14:textId="77777777" w:rsidR="000E65A1" w:rsidRPr="00892F2D" w:rsidRDefault="000E65A1" w:rsidP="001E7460">
      <w:pPr>
        <w:pStyle w:val="NormalHanging"/>
        <w:widowControl/>
        <w:ind w:left="567" w:hanging="567"/>
      </w:pPr>
      <w:r w:rsidRPr="00892F2D">
        <w:t>A.</w:t>
      </w:r>
      <w:r w:rsidRPr="00892F2D">
        <w:tab/>
        <w:t>mivel az EKB fogyasztói elvárásokról szóló, 2024. novemberi felmérése szerint a felmérésben résztvevők átlagosan 9,7 %-a esetében a résztvevő vagy háztartásának valamelyik tagja rendelkezett kriptovaluta-eszközökkel, és ezen belül 54 %-uk 1 000 EUR alatti értékű, 91 %-uk pedig 20 000 EUR alatti értékű eszközökről számolt be;</w:t>
      </w:r>
    </w:p>
    <w:p w14:paraId="42D3F2DA" w14:textId="77777777" w:rsidR="000E65A1" w:rsidRPr="00892F2D" w:rsidRDefault="000E65A1" w:rsidP="001E7460">
      <w:pPr>
        <w:pStyle w:val="NormalHanging"/>
        <w:widowControl/>
        <w:ind w:left="567" w:hanging="567"/>
      </w:pPr>
      <w:r w:rsidRPr="00892F2D">
        <w:t>B.</w:t>
      </w:r>
      <w:r w:rsidRPr="00892F2D">
        <w:tab/>
        <w:t xml:space="preserve">mivel a kriptoeszközök teljes globális piaci kapitalizációja 2026. február 10-én 2,03 billió EUR-t tett ki, és ebből a stabil kriptopénzek piaci részesedése 12,9 %, azaz 261 milliárd EUR volt, magán adatforrások szerint; mivel az EKB 3199. sz. </w:t>
      </w:r>
      <w:r w:rsidRPr="00892F2D">
        <w:lastRenderedPageBreak/>
        <w:t>munkadokumentuma szerint a piaci várakozások a stabil kriptopénzek kibocsátásának erőteljes növekedését jelzik;</w:t>
      </w:r>
    </w:p>
    <w:p w14:paraId="581871E1" w14:textId="77777777" w:rsidR="000E65A1" w:rsidRPr="00892F2D" w:rsidRDefault="000E65A1" w:rsidP="001E7460">
      <w:pPr>
        <w:pStyle w:val="NormalHanging"/>
        <w:widowControl/>
        <w:ind w:left="567" w:hanging="567"/>
      </w:pPr>
      <w:r w:rsidRPr="00892F2D">
        <w:t>C.</w:t>
      </w:r>
      <w:r w:rsidRPr="00892F2D">
        <w:tab/>
        <w:t>mivel 2026 februárjában a tokenizált eszközök a globális digitális eszközök mintegy 1 %-át tették ki, és ez az arány nem harmonizált magán adatforrások alapján gyorsan növekszik;</w:t>
      </w:r>
    </w:p>
    <w:p w14:paraId="3CD5B907" w14:textId="77777777" w:rsidR="000E65A1" w:rsidRPr="00892F2D" w:rsidRDefault="000E65A1" w:rsidP="001E7460">
      <w:pPr>
        <w:pStyle w:val="NormalHanging"/>
        <w:widowControl/>
        <w:ind w:left="567" w:hanging="567"/>
      </w:pPr>
      <w:r w:rsidRPr="00892F2D">
        <w:t>D.</w:t>
      </w:r>
      <w:r w:rsidRPr="00892F2D">
        <w:tab/>
        <w:t>mivel 2025-ben a globális kriptopiaci munkaerő több mint 1,6 millió szakembert számlált, amelyeknek az EU jelentős, ám csökkenő hányadát foglalkoztatja magán adatforrások alapján;</w:t>
      </w:r>
    </w:p>
    <w:p w14:paraId="6E2817C8" w14:textId="47CF7CD9" w:rsidR="000E65A1" w:rsidRPr="00892F2D" w:rsidRDefault="000E65A1" w:rsidP="001E7460">
      <w:pPr>
        <w:pStyle w:val="NormalHanging"/>
        <w:widowControl/>
        <w:ind w:left="567" w:hanging="567"/>
      </w:pPr>
      <w:r w:rsidRPr="00892F2D">
        <w:t>E.</w:t>
      </w:r>
      <w:r w:rsidRPr="00892F2D">
        <w:tab/>
        <w:t>mivel a megosztott főkönyvi technológián alapuló kísérleti rendszerről szóló (EU) 2022/858 rendelet</w:t>
      </w:r>
      <w:r w:rsidR="001C484E" w:rsidRPr="00892F2D">
        <w:rPr>
          <w:rStyle w:val="FootnoteReference"/>
        </w:rPr>
        <w:footnoteReference w:id="3"/>
      </w:r>
      <w:r w:rsidRPr="00892F2D">
        <w:t xml:space="preserve"> 2. cikkének (1) bekezdésében található meghatározás szerint a „megosztott főkönyvi technológia” vagy „DLT” a „megosztott főkönyvek működését és használatát lehetővé tevő technológia”; mivel a 2. cikk (2) bekezdése szerint „megosztott főkönyv” az „ügyletek nyilvántartását tartalmazó, a DLT-hálózati csomópontok adott körében konszenzusos mechanizmus alkalmazásával megosztott és szinkronizált adattár”:</w:t>
      </w:r>
    </w:p>
    <w:p w14:paraId="1325567C" w14:textId="60379514" w:rsidR="000E65A1" w:rsidRPr="00892F2D" w:rsidRDefault="000E65A1" w:rsidP="001E7460">
      <w:pPr>
        <w:pStyle w:val="NormalHanging"/>
        <w:widowControl/>
        <w:ind w:left="567" w:hanging="567"/>
      </w:pPr>
      <w:r w:rsidRPr="00892F2D">
        <w:t>F.</w:t>
      </w:r>
      <w:r w:rsidRPr="00892F2D">
        <w:tab/>
        <w:t>mivel a kriptoeszközök piacairól szóló (EU) 2023/1114 rendelet</w:t>
      </w:r>
      <w:r w:rsidR="001C484E" w:rsidRPr="00892F2D">
        <w:rPr>
          <w:rStyle w:val="FootnoteReference"/>
        </w:rPr>
        <w:footnoteReference w:id="4"/>
      </w:r>
      <w:r w:rsidRPr="00892F2D">
        <w:t xml:space="preserve"> (MiCA rendelet) harmonizált keretet hoz létre az EU-ban a kriptoeszközökre vonatkozóan azáltal, hogy három fő kategóriát különböztet meg, nevezetesen az elektronikuspénz-tokeneket, amelyek egyetlen hivatalos pénznemhez kötve törekednek értékük stabilizálására, az eszközalapú tokeneket, amelyek célja értékük stabilizálása más értékhez vagy joghoz, vagy ezek kombinációjához kötve, beleértve egy vagy több hivatalos pénznemet is, valamint az egyéb kriptoeszközöket, azaz érték vagy jog olyan digitális megtestesítőjét, amely megosztott főkönyvi technológia vagy hasonló technológia alkalmazásával elektronikusan átruházható és tárolható, és amely nem tartozik bele a többi kategóriába;</w:t>
      </w:r>
    </w:p>
    <w:p w14:paraId="1A738C38" w14:textId="77777777" w:rsidR="000E65A1" w:rsidRPr="00892F2D" w:rsidRDefault="000E65A1" w:rsidP="001E7460">
      <w:pPr>
        <w:pStyle w:val="NormalHanging"/>
        <w:widowControl/>
        <w:ind w:left="567" w:hanging="567"/>
      </w:pPr>
      <w:r w:rsidRPr="00892F2D">
        <w:t>G.</w:t>
      </w:r>
      <w:r w:rsidRPr="00892F2D">
        <w:tab/>
        <w:t>mivel a MiCA rendelet 2. cikkének (4) bekezdése értelmében a rendelet hatálya nem terjed ki azokra a kriptoeszközökre, amelyek a jelenlegi uniós jog értelmében pénzügyi eszköznek, betétnek, pénznek, értékpapírosításnak, biztosítási vagy nyugdíjterméknek minősülnek, ezáltal biztosítva, hogy az ilyen kriptoeszközök továbbra is a vonatkozó ágazatspecifikus jogszabályi keretek hatálya alá tartozzanak, és tükrözve a pénzügyi szolgáltatásokra vonatkozó uniós jog termékalapú felügyeleti modelljét;</w:t>
      </w:r>
    </w:p>
    <w:p w14:paraId="5DD70A85" w14:textId="77777777" w:rsidR="000E65A1" w:rsidRPr="00892F2D" w:rsidRDefault="000E65A1" w:rsidP="001E7460">
      <w:pPr>
        <w:pStyle w:val="NormalHanging"/>
        <w:widowControl/>
        <w:ind w:left="567" w:hanging="567"/>
      </w:pPr>
      <w:r w:rsidRPr="00892F2D">
        <w:t>H.</w:t>
      </w:r>
      <w:r w:rsidRPr="00892F2D">
        <w:tab/>
        <w:t xml:space="preserve">mivel az Egyesült Államok új kormánya lényegesen nyitottabb a kriptoeszközök iránt, ami kulcsfontosságú jogszabályok elfogadásához vezetett, valamint ahhoz, hogy a felügyeleti hatóságok enyhébb megközelítést alkalmaznak a végrehajtás tekintetében; mivel az Egyesült Államokban a szabályozási megközelítés továbbra is kidolgozás alatt áll, és az amerikai politikai döntéshozók és szabályozók ehelyett általában „digitális eszközökre” hivatkoznak, amelyek alatt általában érték vagy jog megosztott </w:t>
      </w:r>
      <w:r w:rsidRPr="00892F2D">
        <w:lastRenderedPageBreak/>
        <w:t>főkönyvben rögzített, kriptográfiailag digitális megjelenítését értik, beleértve a kriptovalutákat, a stabil kriptopénzeket és egyes tokenizált eszközöket;</w:t>
      </w:r>
    </w:p>
    <w:p w14:paraId="1DBB89C7" w14:textId="77777777" w:rsidR="000E65A1" w:rsidRPr="00892F2D" w:rsidRDefault="000E65A1" w:rsidP="001E7460">
      <w:pPr>
        <w:pStyle w:val="Normal12a"/>
        <w:ind w:left="567" w:hanging="567"/>
      </w:pPr>
      <w:r w:rsidRPr="00892F2D">
        <w:rPr>
          <w:b/>
          <w:i/>
        </w:rPr>
        <w:t>Áttekintés</w:t>
      </w:r>
    </w:p>
    <w:p w14:paraId="3EA15BA1" w14:textId="77777777" w:rsidR="000E65A1" w:rsidRPr="00892F2D" w:rsidRDefault="000E65A1" w:rsidP="001E7460">
      <w:pPr>
        <w:pStyle w:val="NormalHanging12a"/>
        <w:ind w:left="567" w:hanging="567"/>
      </w:pPr>
      <w:r w:rsidRPr="00892F2D">
        <w:t>1.</w:t>
      </w:r>
      <w:r w:rsidRPr="00892F2D">
        <w:tab/>
        <w:t>támogatja a hosszú távú célt, amely egy rendszerszintű, tevékenységalapú és technológiailag semleges megközelítés bevezetését célozza az EU pénzügyi szolgáltatásokra vonatkozó szabályozási kerete tekintetében;</w:t>
      </w:r>
    </w:p>
    <w:p w14:paraId="4F44FC24" w14:textId="77777777" w:rsidR="000E65A1" w:rsidRPr="00892F2D" w:rsidRDefault="000E65A1" w:rsidP="001E7460">
      <w:pPr>
        <w:pStyle w:val="NormalHanging12a"/>
        <w:ind w:left="567" w:hanging="567"/>
      </w:pPr>
      <w:r w:rsidRPr="00892F2D">
        <w:t>2.</w:t>
      </w:r>
      <w:r w:rsidRPr="00892F2D">
        <w:tab/>
        <w:t>hangsúlyozza, hogy a megosztott főkönyvi technológiák és az eszköztokenizáció a határokon átnyúló beruházások megkönnyítése, a piac széttagoltságának csökkentése és a hatékonyabb és inkluzívabb tőkepiaci infrastruktúra EU-szerte történő lehetővé tétele révén támogathatják a megtakarítási és beruházási unió célkitűzéseit; hangsúlyozza az interoperabilitás kritikus szerepét;</w:t>
      </w:r>
    </w:p>
    <w:p w14:paraId="2489C3F3" w14:textId="77777777" w:rsidR="000E65A1" w:rsidRPr="00892F2D" w:rsidRDefault="000E65A1" w:rsidP="001E7460">
      <w:pPr>
        <w:pStyle w:val="NormalHanging12a"/>
        <w:ind w:left="567" w:hanging="567"/>
      </w:pPr>
      <w:r w:rsidRPr="00892F2D">
        <w:t>3.</w:t>
      </w:r>
      <w:r w:rsidRPr="00892F2D">
        <w:tab/>
        <w:t>hangsúlyozza, hogy az új pénzügyi technológiák megjelenése új kihívásokat jelent a szabályozási és felügyeleti keret számára; tudomásul veszi a digitális eszközök sokféleségét, és elismeri, hogy a kapcsolódó kockázatok és üzleti lehetőségek kategóriánként eltérőek; megerősíti elkötelezettségét az uniós szabályozási keretek célzott felülvizsgálata mellett a szilárd, digitális eszközöket lehetővé tevő uniós tőkepiacok és pénzforgalmi infrastruktúra kialakítása érdekében; sürgeti a Bizottságot, hogy értékelje a MiCA rendelet keretében a kriptoeszköz-kölcsönzés és -kölcsönvétel szabályozásának szükségességét és megvalósíthatóságát, beleértve a lekötést, a nem helyettesíthető tokeneket és a decentralizált finanszírozást;</w:t>
      </w:r>
    </w:p>
    <w:p w14:paraId="542F1712" w14:textId="77777777" w:rsidR="000E65A1" w:rsidRPr="00892F2D" w:rsidRDefault="000E65A1" w:rsidP="001E7460">
      <w:pPr>
        <w:pStyle w:val="NormalHanging12a"/>
        <w:ind w:left="567" w:hanging="567"/>
      </w:pPr>
      <w:r w:rsidRPr="00892F2D">
        <w:t>4.</w:t>
      </w:r>
      <w:r w:rsidRPr="00892F2D">
        <w:tab/>
        <w:t>hangsúlyozza a kriptográfiailag biztonságos megosztott főkönyvek és hasonló technológiák által biztosított, az innovációval és a konnektivitással kapcsolatos képességeket a pénzügyi szolgáltatási infrastruktúra tekintetében, mind az EU-n belül, mind az EU globális szerepe szempontjából; hangsúlyozza, hogy a kiszámítható, innovációbarát szabályozási környezet alapvető fontosságú lesz annak biztosításához, hogy a beruházások és a technológiai fejlődés az EU-n belül maradjanak, valamint a versenyképesség és az euróban denominált pénzügyi infrastruktúrába vetett bizalom előmozdításához;</w:t>
      </w:r>
    </w:p>
    <w:p w14:paraId="2D94E68E" w14:textId="77777777" w:rsidR="000E65A1" w:rsidRPr="00892F2D" w:rsidRDefault="000E65A1" w:rsidP="001E7460">
      <w:pPr>
        <w:pStyle w:val="Normal12a"/>
        <w:ind w:left="567" w:hanging="567"/>
      </w:pPr>
      <w:r w:rsidRPr="00892F2D">
        <w:rPr>
          <w:b/>
          <w:i/>
        </w:rPr>
        <w:t>Kriptoeszközök</w:t>
      </w:r>
    </w:p>
    <w:p w14:paraId="445DA755" w14:textId="5FED4666" w:rsidR="000E65A1" w:rsidRPr="00892F2D" w:rsidRDefault="000E65A1" w:rsidP="001E7460">
      <w:pPr>
        <w:pStyle w:val="NormalHanging12a"/>
        <w:ind w:left="567" w:hanging="567"/>
      </w:pPr>
      <w:r w:rsidRPr="00892F2D">
        <w:t>5.</w:t>
      </w:r>
      <w:r w:rsidRPr="00892F2D">
        <w:tab/>
        <w:t>elismeri, hogy az EU volt az egyik első olyan joghatóság, amely a MiCA rendelettel külön rendszert fogadott el és vezetett be a kriptoeszközökre, valamint a megosztott könyvelési technológia pénzügyi ágazatban való alkalmazására vonatkozóan; felhívja a Bizottságot, hogy az EBH-val, az ESMA-val, a Pénzmosás és Terrorizmusfinanszírozás Elleni Hatósággal (AMLA) és az illetékes nemzeti hatóságokkal szoros együttműködésben biztosítsa a MiCA rendelet hatékony végrehajtását; felhívja a tagállamokat, hogy tartózkodjanak a MiCA rendelet vagy a pénzátutalásokról szóló rendelet</w:t>
      </w:r>
      <w:r w:rsidR="001C484E" w:rsidRPr="00892F2D">
        <w:rPr>
          <w:rStyle w:val="FootnoteReference"/>
        </w:rPr>
        <w:footnoteReference w:id="5"/>
      </w:r>
      <w:r w:rsidRPr="00892F2D">
        <w:t xml:space="preserve"> keretén túlmutató további követelmények és kötelezettségek bevezetésétől;</w:t>
      </w:r>
    </w:p>
    <w:p w14:paraId="57E9483C" w14:textId="77777777" w:rsidR="000E65A1" w:rsidRPr="00892F2D" w:rsidRDefault="000E65A1" w:rsidP="001E7460">
      <w:pPr>
        <w:pStyle w:val="NormalHanging12a"/>
        <w:ind w:left="567" w:hanging="567"/>
      </w:pPr>
      <w:r w:rsidRPr="00892F2D">
        <w:t>6.</w:t>
      </w:r>
      <w:r w:rsidRPr="00892F2D">
        <w:tab/>
        <w:t xml:space="preserve">hangsúlyozza az adatképességek megerősítésének fontosságát, különös tekintettel a kriptográfiai ágazat tőkeáttételi hatására és a banknak nem minősülő pénzintézetek </w:t>
      </w:r>
      <w:r w:rsidRPr="00892F2D">
        <w:lastRenderedPageBreak/>
        <w:t>ágazatával való kapcsolatokra; sürgeti a Bizottságot, hogy továbbra is kövesse nyomon a kriptoeszközök pénzügyi rendszerrel való összekapcsoltságát; megjegyzi, hogy az értékbázis nélküli kriptoeszközök további kockázatoknak és volatilitásnak lehetnek kitéve;</w:t>
      </w:r>
    </w:p>
    <w:p w14:paraId="2B851644" w14:textId="77777777" w:rsidR="000E65A1" w:rsidRPr="00892F2D" w:rsidRDefault="000E65A1" w:rsidP="001E7460">
      <w:pPr>
        <w:pStyle w:val="NormalHanging12a"/>
        <w:ind w:left="567" w:hanging="567"/>
      </w:pPr>
      <w:r w:rsidRPr="00892F2D">
        <w:t>7.</w:t>
      </w:r>
      <w:r w:rsidRPr="00892F2D">
        <w:tab/>
        <w:t>felhívja az EBH-t, az ESMA-t, az AMLA-t, az Európai Biztosítás- és Foglalkoztatóinyugdíj-hatóságot, az illetékes nemzeti hatóságokat, az EKB-t és az ERKT-t, hogy erősítsék meg a jelentős többfunkciós csoportokról folytatott felügyeleti párbeszédet; hangsúlyozza, hogy össze kell hangolni a MiCA rendelet szakpolitikai keretét a banknak nem minősülő jelentős többfunkciós csoportok tekintetében;</w:t>
      </w:r>
    </w:p>
    <w:p w14:paraId="2BB3FAD5" w14:textId="77777777" w:rsidR="000E65A1" w:rsidRPr="00892F2D" w:rsidRDefault="000E65A1" w:rsidP="001E7460">
      <w:pPr>
        <w:pStyle w:val="NormalHanging12a"/>
        <w:ind w:left="567" w:hanging="567"/>
      </w:pPr>
      <w:r w:rsidRPr="00892F2D">
        <w:t>8.</w:t>
      </w:r>
      <w:r w:rsidRPr="00892F2D">
        <w:tab/>
        <w:t>elismeri, hogy a megosztott könyvelési technológiák új technológiai és működési megfontolásokat vezetnek be a pénzügyi felügyeletek számára, beleértve az intelligens szerződésbiztonsággal, a decentralizált hálózatok irányításával, a kiberrezilienciával és a működési kockázatok kezelésével kapcsolatos kérdéseket; felhívja a felügyeleti hatóságokat, hogy alakítsanak ki megfelelő technikai szakértelmet e kialakulóban lévő piaci infrastruktúrák hatékony megértéséhez és nyomon követéséhez;</w:t>
      </w:r>
    </w:p>
    <w:p w14:paraId="32AA85D6" w14:textId="77777777" w:rsidR="000E65A1" w:rsidRPr="00892F2D" w:rsidRDefault="000E65A1" w:rsidP="001E7460">
      <w:pPr>
        <w:pStyle w:val="NormalHanging12a"/>
        <w:ind w:left="567" w:hanging="567"/>
      </w:pPr>
      <w:r w:rsidRPr="00892F2D">
        <w:t>9.</w:t>
      </w:r>
      <w:r w:rsidRPr="00892F2D">
        <w:tab/>
        <w:t>aggodalmát fejezi ki amiatt, hogy a kriptoeszközök szerepet játszanak a pénzmosás és a terrorizmusfinanszírozás elleni szabályok és szankciók kijátszásában; hangsúlyozza a felügyeleti eszközök, az érvényesítés és a megfelelési standardok megerősítésének fontosságát a pénzmosással és a terrorizmusfinanszírozással kapcsolatos kockázatok kezelése érdekében, többek között a hatékony „Ismerd az ügyfeledet” elvvel kapcsolatos normák és a fizetések nyomon követése terén; hangsúlyozza annak fontosságát, hogy a nyomozó hatóságok a kriptoeszközök mögötti technológiát használják a kriptobűncselekmények visszaszorítására, és együttműködjenek egymással a felderített vagy bejelentett jogellenes ügyletek blokkolása érdekében;</w:t>
      </w:r>
    </w:p>
    <w:p w14:paraId="52DD2F05" w14:textId="77777777" w:rsidR="000E65A1" w:rsidRPr="00892F2D" w:rsidRDefault="000E65A1" w:rsidP="001E7460">
      <w:pPr>
        <w:pStyle w:val="NormalHanging12a"/>
        <w:ind w:left="567" w:hanging="567"/>
      </w:pPr>
      <w:r w:rsidRPr="00892F2D">
        <w:t>10.</w:t>
      </w:r>
      <w:r w:rsidRPr="00892F2D">
        <w:tab/>
        <w:t>megjegyzi, hogy a kriptoeszközök és a hagyományos pénzügyi eszközök jellemzőit ötvöző hibrid termékek megjelenése jogbizonytalanságot teremthet;</w:t>
      </w:r>
    </w:p>
    <w:p w14:paraId="0A61A936" w14:textId="77777777" w:rsidR="000E65A1" w:rsidRPr="00892F2D" w:rsidRDefault="000E65A1" w:rsidP="001E7460">
      <w:pPr>
        <w:pStyle w:val="Normal12a"/>
        <w:ind w:left="567" w:hanging="567"/>
      </w:pPr>
      <w:r w:rsidRPr="00892F2D">
        <w:rPr>
          <w:b/>
          <w:i/>
        </w:rPr>
        <w:t>A pénzügyi eszközök tokenizációja</w:t>
      </w:r>
    </w:p>
    <w:p w14:paraId="5FA540A7" w14:textId="77777777" w:rsidR="000E65A1" w:rsidRPr="00892F2D" w:rsidRDefault="000E65A1" w:rsidP="001E7460">
      <w:pPr>
        <w:pStyle w:val="NormalHanging12a"/>
        <w:ind w:left="567" w:hanging="567"/>
      </w:pPr>
      <w:r w:rsidRPr="00892F2D">
        <w:t>11.</w:t>
      </w:r>
      <w:r w:rsidRPr="00892F2D">
        <w:tab/>
        <w:t>megjegyzi, hogy az (EU) 2022/858 rendelet (3) preambulumbekezdése szerint a pénzügyi eszközök „tokenizálása” a pénzügyi eszközök megosztott főkönyvekben való digitális reprezentációja vagy hagyományos eszközosztályok tokenizált formában történő kibocsátása annak céljából, hogy azokat megosztott főkönyvön belül lehessen kibocsátani, tárolni és átruházni;</w:t>
      </w:r>
    </w:p>
    <w:p w14:paraId="61AE1DCF" w14:textId="77777777" w:rsidR="000E65A1" w:rsidRPr="00892F2D" w:rsidRDefault="000E65A1" w:rsidP="001E7460">
      <w:pPr>
        <w:pStyle w:val="NormalHanging12a"/>
        <w:ind w:left="567" w:hanging="567"/>
      </w:pPr>
      <w:r w:rsidRPr="00892F2D">
        <w:t>12.</w:t>
      </w:r>
      <w:r w:rsidRPr="00892F2D">
        <w:tab/>
        <w:t>hangsúlyozza, hogy a pénzügyi eszközök tokenizálása önmagában nem változtatja meg ezen eszközök jogi jellegét vagy alapvető gazdasági jellemzőit; hangsúlyozza, hogy a tokenizált pénzügyi eszközöknek a hagyományos értékpapírokhoz kapcsolódó jogokkal egyenértékű jogokat kell biztosítaniuk a szabályozási arbitrázs megelőzése és a befektetők védelmének biztosítása érdekében;</w:t>
      </w:r>
    </w:p>
    <w:p w14:paraId="6FBA718D" w14:textId="77777777" w:rsidR="000E65A1" w:rsidRPr="00892F2D" w:rsidRDefault="000E65A1" w:rsidP="001E7460">
      <w:pPr>
        <w:pStyle w:val="NormalHanging12a"/>
        <w:ind w:left="567" w:hanging="567"/>
      </w:pPr>
      <w:r w:rsidRPr="00892F2D">
        <w:t>13.</w:t>
      </w:r>
      <w:r w:rsidRPr="00892F2D">
        <w:tab/>
        <w:t>üdvözli a tokenizáció potenciális előnyeit a pénzügyi eszközökkel való kereskedés szempontjából, például a fokozott hatékonyságot és átláthatóságot, a partnerkockázat és a működési költségek csökkenését, az intelligens szerződéskötést és a résztulajdonlás révén javuló likviditást, ugyanakkor megjegyzi, hogy nyomon kell követni a sebezhetőségeit;</w:t>
      </w:r>
    </w:p>
    <w:p w14:paraId="5EA328E1" w14:textId="77777777" w:rsidR="000E65A1" w:rsidRPr="00892F2D" w:rsidRDefault="000E65A1" w:rsidP="001E7460">
      <w:pPr>
        <w:pStyle w:val="NormalHanging12a"/>
        <w:ind w:left="567" w:hanging="567"/>
      </w:pPr>
      <w:r w:rsidRPr="00892F2D">
        <w:lastRenderedPageBreak/>
        <w:t>14.</w:t>
      </w:r>
      <w:r w:rsidRPr="00892F2D">
        <w:tab/>
        <w:t>sürgeti a Bizottságot, hogy könnyítse meg és ösztönözze a tokenizációt a pénzügyi szolgáltatások területén, ragaszkodva az interoperabilitáshoz és megelőzve a széttagoltságot a szabványok egységes piacon belüli fenntartása és infrastruktúra biztosítása révén;</w:t>
      </w:r>
    </w:p>
    <w:p w14:paraId="346426EA" w14:textId="77777777" w:rsidR="000E65A1" w:rsidRPr="00892F2D" w:rsidRDefault="000E65A1" w:rsidP="001E7460">
      <w:pPr>
        <w:pStyle w:val="NormalHanging12a"/>
        <w:ind w:left="567" w:hanging="567"/>
      </w:pPr>
      <w:r w:rsidRPr="00892F2D">
        <w:t>15.</w:t>
      </w:r>
      <w:r w:rsidRPr="00892F2D">
        <w:tab/>
        <w:t>elismeri az EKB arra irányuló erőfeszítéseit, hogy megoldásokat kínáljon, beleértve a központi banki nagykereskedelmi digitális fizetőeszköz (CBDC) lehetőségét kínáló infrastruktúrát, amely lehetővé teszi a készpénz- és eszközoldal közös főkönyvben történő kiegyenlítését, kiegészítve a tokenizált kereskedelmi banki betéteket és a stabil kriptopénzeket;</w:t>
      </w:r>
    </w:p>
    <w:p w14:paraId="0135BD6C" w14:textId="77777777" w:rsidR="000E65A1" w:rsidRPr="00892F2D" w:rsidRDefault="000E65A1" w:rsidP="001E7460">
      <w:pPr>
        <w:pStyle w:val="NormalHanging12a"/>
        <w:ind w:left="567" w:hanging="567"/>
      </w:pPr>
      <w:r w:rsidRPr="00892F2D">
        <w:t>16.</w:t>
      </w:r>
      <w:r w:rsidRPr="00892F2D">
        <w:tab/>
        <w:t>hangsúlyozza az európai tokenizált piac globális összekapcsoltságában rejlő lehetőségeket; hangsúlyozza a nemzetközi együttműködés fontosságát a besorolási kritériumok, az elvek és a standardok harmonizálása érdekében; támogatja a Nemzetközi Fizetések Bankjának munkáját a határokon átnyúló fizetések terén való együttműködésekre irányuló kezdeményezések terén;</w:t>
      </w:r>
    </w:p>
    <w:p w14:paraId="05B0869E" w14:textId="77777777" w:rsidR="000E65A1" w:rsidRPr="00892F2D" w:rsidRDefault="000E65A1" w:rsidP="001E7460">
      <w:pPr>
        <w:pStyle w:val="NormalHanging12a"/>
        <w:ind w:left="567" w:hanging="567"/>
      </w:pPr>
      <w:r w:rsidRPr="00892F2D">
        <w:t>17.</w:t>
      </w:r>
      <w:r w:rsidRPr="00892F2D">
        <w:tab/>
        <w:t>üdvözli a megosztott főkönyvi technológia kísérleti rendszerével kapcsolatos, a piaci integrációs és felügyeleti csomag részeként folytatott tárgyalásokat;</w:t>
      </w:r>
    </w:p>
    <w:p w14:paraId="60291F95" w14:textId="77777777" w:rsidR="000E65A1" w:rsidRPr="00892F2D" w:rsidRDefault="000E65A1" w:rsidP="001E7460">
      <w:pPr>
        <w:pStyle w:val="Normal12a"/>
        <w:ind w:left="567" w:hanging="567"/>
      </w:pPr>
      <w:r w:rsidRPr="00892F2D">
        <w:rPr>
          <w:b/>
          <w:i/>
        </w:rPr>
        <w:t>Stabil kriptopénzek</w:t>
      </w:r>
    </w:p>
    <w:p w14:paraId="24AD87B5" w14:textId="77777777" w:rsidR="000E65A1" w:rsidRPr="00892F2D" w:rsidRDefault="000E65A1" w:rsidP="001E7460">
      <w:pPr>
        <w:pStyle w:val="NormalHanging12a"/>
        <w:ind w:left="567" w:hanging="567"/>
      </w:pPr>
      <w:r w:rsidRPr="00892F2D">
        <w:t>18.</w:t>
      </w:r>
      <w:r w:rsidRPr="00892F2D">
        <w:tab/>
        <w:t>megjegyzi, hogy a stabil kriptopénzek a MiCA rendelet jogi kerete értelmében két kategóriába tartozhatnak: eszközalapú tokenek és elektronikuspénz-tokenek (e-pénz-tokenek);</w:t>
      </w:r>
    </w:p>
    <w:p w14:paraId="303BE68C" w14:textId="77777777" w:rsidR="000E65A1" w:rsidRPr="00892F2D" w:rsidRDefault="000E65A1" w:rsidP="001E7460">
      <w:pPr>
        <w:pStyle w:val="NormalHanging12a"/>
        <w:ind w:left="567" w:hanging="567"/>
      </w:pPr>
      <w:r w:rsidRPr="00892F2D">
        <w:t>19.</w:t>
      </w:r>
      <w:r w:rsidRPr="00892F2D">
        <w:tab/>
        <w:t>megjegyzi, hogy a stabil kriptopénzek a magánpénzek létrehozásának egyik formáját jelentik, és gazdasági funkciójuk hasonlóságot mutat az árfolyamrögzítéssel, a pénzpiaci alapokkal és az „aligbankokkal” („narrow banks”); hangsúlyozza azonban, hogy a MiCA rendelet megtiltja az e-pénz-tokenek kibocsátói és a kriptoeszköz-szolgáltatók számára, hogy közvetlenül vagy közvetve kamatot nyújtsanak az e-pénz-tokenekkel kapcsolatban, és hogy a stabil kriptopénzek nem rendelkeznek közvetlen eléréssel a központi bankokhoz, és birtokosaikra nem vonatkoznak az állami betétgaranciák; tudomásul veszi a stabil kriptopénzekkel összefüggő, a leértékeléssel vagy a referenciától való eltéréssel, valamint a közvetítők kiiktatásával kapcsolatos kockázatokat;</w:t>
      </w:r>
    </w:p>
    <w:p w14:paraId="2FEDF1A4" w14:textId="7C4C0096" w:rsidR="00892F2D" w:rsidRDefault="00892F2D" w:rsidP="001E7460">
      <w:pPr>
        <w:pStyle w:val="NormalHanging12a"/>
        <w:ind w:left="567" w:hanging="567"/>
      </w:pPr>
      <w:r>
        <w:t>20</w:t>
      </w:r>
      <w:r w:rsidRPr="00892F2D">
        <w:t>.</w:t>
      </w:r>
      <w:r w:rsidRPr="00892F2D">
        <w:tab/>
        <w:t>aggodalommal veszi tudomásul az USA-dollárban denominált stabil kriptopénzek folyamatos gyors bővülését és erőfölényét, ami gyengítheti az EU monetáris szuverenitását, növelheti a pénzügyi stabilitási kockázatokat, akadályozhatja a monetáris transzmissziós mechanizmust és megerősítheti a külső függőségeket a fizetések terén;</w:t>
      </w:r>
    </w:p>
    <w:p w14:paraId="050860C1" w14:textId="0ABF8843" w:rsidR="000E65A1" w:rsidRPr="00892F2D" w:rsidRDefault="00892F2D" w:rsidP="001E7460">
      <w:pPr>
        <w:pStyle w:val="NormalHanging12a"/>
        <w:ind w:left="567" w:hanging="567"/>
      </w:pPr>
      <w:r>
        <w:t>21</w:t>
      </w:r>
      <w:r w:rsidR="000E65A1" w:rsidRPr="00892F2D">
        <w:t>.</w:t>
      </w:r>
      <w:r w:rsidR="000E65A1" w:rsidRPr="00892F2D">
        <w:tab/>
        <w:t xml:space="preserve">üdvözli az euróban denominált e-pénz-tokenek MiCA rendelet keretében történő megjelenését, és ösztönzi fejlesztésüket az uniós fizetési innováció, az uniós pénzügyi piacok versenyképességének és az euró nemzetközi szerepének támogatása érdekében, többek között a gyorsabb és alacsonyabb költségű, határokon átnyúló fizetések révén, kiegészítve a tokenizált betéteket és a központi banki nagykereskedelmi digitális fizetőeszközt; hangsúlyozza a harmonizált likviditási kockázati és válságkezelési keretek fontosságát, beleértve a visszaváltási kifizetési sorrendre és a tartalékok elkülönítésére vonatkozó követelményeket; megjegyzi, hogy az EKB fenntartja, hogy a </w:t>
      </w:r>
      <w:r w:rsidR="000E65A1" w:rsidRPr="00892F2D">
        <w:lastRenderedPageBreak/>
        <w:t>nem euróban denominált stabil kriptopénzek kockázatot jelenthetnek a monetáris politikára nézve, ha használatuk széles körben elterjed; óva int a „fordított ajánlattételre” vonatkozó záradékkal való visszaéléstől;</w:t>
      </w:r>
    </w:p>
    <w:p w14:paraId="2D748210" w14:textId="70DB18ED" w:rsidR="000E65A1" w:rsidRPr="00892F2D" w:rsidRDefault="00892F2D" w:rsidP="001E7460">
      <w:pPr>
        <w:pStyle w:val="NormalHanging12a"/>
        <w:ind w:left="567" w:hanging="567"/>
      </w:pPr>
      <w:r>
        <w:t>22</w:t>
      </w:r>
      <w:r w:rsidR="000E65A1" w:rsidRPr="00892F2D">
        <w:t>.</w:t>
      </w:r>
      <w:r w:rsidR="000E65A1" w:rsidRPr="00892F2D">
        <w:tab/>
        <w:t>elismeri, hogy az uniós jogban szükség van a jogbiztonságra a stabil kriptopénzek több kibocsátót magában foglaló, uniós és Unión kívüli szervezet általi kibocsátásának lehetőségét illetően, amennyiben a két szervezet által kibocsátott digitális stabil kriptopénzek teljes mértékben helyettesíthetőek és megkülönböztethetetlenek lennének; emlékeztet arra, hogy az ERKT figyelmeztetett arra, hogy a többes kibocsátás potenciális átterjedési csatorna; hangsúlyozza, hogy biztosítani kell, hogy az ilyen rendszerek működése az EU-ban jogbiztonságon és szilárd szabályozási kereten alapuljon, amely erős prudenciális biztosítékokat, szilárd együttműködési megállapodásokat és megerősített válságkezelési protokollokat biztosít; hangsúlyozza a globális stabil kriptopénzek szabályozásával és felügyeletével kapcsolatos nemzetközi koordináció előmozdításának fontosságát, a nemzetközi standardok kidolgozása céljából;</w:t>
      </w:r>
    </w:p>
    <w:p w14:paraId="69AE7142" w14:textId="20582AD8" w:rsidR="000E65A1" w:rsidRPr="00892F2D" w:rsidRDefault="00892F2D" w:rsidP="001E7460">
      <w:pPr>
        <w:pStyle w:val="NormalHanging12a"/>
        <w:ind w:left="567" w:hanging="567"/>
      </w:pPr>
      <w:r>
        <w:t>23</w:t>
      </w:r>
      <w:r w:rsidR="000E65A1" w:rsidRPr="00892F2D">
        <w:t>.</w:t>
      </w:r>
      <w:r w:rsidR="000E65A1" w:rsidRPr="00892F2D">
        <w:tab/>
        <w:t>üdvözli a pénzforgalmi szolgáltatásokról szóló irányelvre</w:t>
      </w:r>
      <w:r w:rsidR="001C484E" w:rsidRPr="00892F2D">
        <w:rPr>
          <w:rStyle w:val="FootnoteReference"/>
        </w:rPr>
        <w:footnoteReference w:id="6"/>
      </w:r>
      <w:r w:rsidR="000E65A1" w:rsidRPr="00892F2D">
        <w:t xml:space="preserve"> és rendeletre</w:t>
      </w:r>
      <w:r w:rsidR="001C484E" w:rsidRPr="00892F2D">
        <w:rPr>
          <w:rStyle w:val="FootnoteReference"/>
        </w:rPr>
        <w:footnoteReference w:id="7"/>
      </w:r>
      <w:r w:rsidR="000E65A1" w:rsidRPr="00892F2D">
        <w:t xml:space="preserve"> irányuló javaslatokról, valamint a MiCA rendelet alapján már engedélyezett kriptoeszköz-szolgáltatókra vonatkozó egyszerűsített engedélyezési megoldásról szóló ideiglenes megállapodást a szükségtelen szabályozási átfedések elkerülése érdekében, amelyekre egyszerűsített eljárás vonatkozna, a megfelelő kockázatellenőrzések fenntartása és csak a kérelemben meghatározott szolgáltatások nyújtása mellett;</w:t>
      </w:r>
    </w:p>
    <w:p w14:paraId="643BDBD3" w14:textId="77777777" w:rsidR="000E65A1" w:rsidRPr="00892F2D" w:rsidRDefault="000E65A1" w:rsidP="001E7460">
      <w:pPr>
        <w:pStyle w:val="Normal12a"/>
        <w:ind w:left="567" w:hanging="567"/>
      </w:pPr>
      <w:r w:rsidRPr="00892F2D">
        <w:rPr>
          <w:b/>
          <w:i/>
        </w:rPr>
        <w:t>Több területet érintő megfontolások</w:t>
      </w:r>
    </w:p>
    <w:p w14:paraId="676D083D" w14:textId="717065ED" w:rsidR="000E65A1" w:rsidRPr="00892F2D" w:rsidRDefault="00892F2D" w:rsidP="001E7460">
      <w:pPr>
        <w:pStyle w:val="NormalHanging12a"/>
        <w:ind w:left="567" w:hanging="567"/>
      </w:pPr>
      <w:r>
        <w:t>24</w:t>
      </w:r>
      <w:r w:rsidR="000E65A1" w:rsidRPr="00892F2D">
        <w:t>.</w:t>
      </w:r>
      <w:r w:rsidR="000E65A1" w:rsidRPr="00892F2D">
        <w:tab/>
        <w:t>hangsúlyozza, hogy az interoperabilitás döntő fontosságú a digitális pénzügyi szolgáltatások terén, ami például hordozható személyazonosságot és ellenőrizhető hitelesítő adatokat követel meg a hálózatokon átívelő piaci infrastruktúra támogató elemeiként; hangsúlyozza, hogy a jogalany-azonosító/ellenőrizhető jogalany-azonosító típusú megközelítéseket infrastruktúra-szintű eszközként kell értékelni; felhívja a Bizottságot, hogy működjön együtt az európai és nemzetközi szabványügyi szervezetekkel a digitális eszközökre, az intelligens szerződésekre és a digitális személyazonosságra vonatkozó közös műszaki szabványok és protokollok kidolgozása érdekében;</w:t>
      </w:r>
    </w:p>
    <w:p w14:paraId="5CE1FD27" w14:textId="00031D8D" w:rsidR="000E65A1" w:rsidRPr="00892F2D" w:rsidRDefault="00892F2D" w:rsidP="001E7460">
      <w:pPr>
        <w:pStyle w:val="NormalHanging12a"/>
        <w:ind w:left="567" w:hanging="567"/>
      </w:pPr>
      <w:r>
        <w:t>25</w:t>
      </w:r>
      <w:r w:rsidR="000E65A1" w:rsidRPr="00892F2D">
        <w:t>.</w:t>
      </w:r>
      <w:r w:rsidR="000E65A1" w:rsidRPr="00892F2D">
        <w:tab/>
        <w:t xml:space="preserve">üdvözli a digitális euróról folyó vitákat, beleértve a lakossági és a nagykereskedelmi felhasználásra való előkészületeket, és támogatja a folyamatban lévő rövid távú (Pontes) és hosszú távú (Appia) megosztott könyvelési technológia projekteket a nagykereskedelmi központi banki pénzkiegyenlítés érdekében; felhívja a Bizottságot és az EKB-t annak biztosítására, hogy a digitális euróval kapcsolatos jövőbeli megoldásokat úgy alakítsák ki, hogy megkönnyítsék a megosztott főkönyvi </w:t>
      </w:r>
      <w:r w:rsidR="000E65A1" w:rsidRPr="00892F2D">
        <w:lastRenderedPageBreak/>
        <w:t>technológián alapuló infrastruktúrával való interoperabilitást, és biztosítsák a készpénzzel való kiegészítő jelleget;</w:t>
      </w:r>
    </w:p>
    <w:p w14:paraId="64B997B5" w14:textId="129165CB" w:rsidR="000E65A1" w:rsidRPr="00892F2D" w:rsidRDefault="00892F2D" w:rsidP="001E7460">
      <w:pPr>
        <w:pStyle w:val="NormalHanging12a"/>
        <w:ind w:left="567" w:hanging="567"/>
      </w:pPr>
      <w:r>
        <w:t>26</w:t>
      </w:r>
      <w:r w:rsidR="000E65A1" w:rsidRPr="00892F2D">
        <w:t>.</w:t>
      </w:r>
      <w:r w:rsidR="000E65A1" w:rsidRPr="00892F2D">
        <w:tab/>
        <w:t>sajnálatát fejezi ki amiatt, hogy az EU a megosztott főkönyvi technológiai infrastruktúra tekintetében nem uniós szolgáltatóktól függ; hangsúlyozza, hogy a digitális eszközök amerikai kormányzat általi kezelését körültekintően kell nyomon követni;</w:t>
      </w:r>
    </w:p>
    <w:p w14:paraId="3EFDF317" w14:textId="6EFADFBB" w:rsidR="000E65A1" w:rsidRPr="00892F2D" w:rsidRDefault="00892F2D" w:rsidP="001E7460">
      <w:pPr>
        <w:pStyle w:val="NormalHanging12a"/>
        <w:ind w:left="567" w:hanging="567"/>
      </w:pPr>
      <w:r>
        <w:t>27</w:t>
      </w:r>
      <w:r w:rsidR="000E65A1" w:rsidRPr="00892F2D">
        <w:t>.</w:t>
      </w:r>
      <w:r w:rsidR="000E65A1" w:rsidRPr="00892F2D">
        <w:tab/>
        <w:t>tudomásul veszi a kriptoeszköz-szolgáltatók felügyeletéről az ESMA szerepének tekintetében folyó megbeszéléseket a piaci integrációs és felügyeleti csomag részeként;</w:t>
      </w:r>
    </w:p>
    <w:p w14:paraId="2F638842" w14:textId="77777777" w:rsidR="000E65A1" w:rsidRPr="00892F2D" w:rsidRDefault="000E65A1" w:rsidP="001E7460">
      <w:pPr>
        <w:pStyle w:val="NormalCenter12a"/>
        <w:ind w:left="567" w:hanging="567"/>
      </w:pPr>
      <w:r w:rsidRPr="00892F2D">
        <w:t>°</w:t>
      </w:r>
    </w:p>
    <w:p w14:paraId="186F09B8" w14:textId="77777777" w:rsidR="000E65A1" w:rsidRPr="00892F2D" w:rsidRDefault="000E65A1" w:rsidP="001E7460">
      <w:pPr>
        <w:pStyle w:val="NormalCenter12a"/>
        <w:ind w:left="567" w:hanging="567"/>
      </w:pPr>
      <w:r w:rsidRPr="00892F2D">
        <w:t>°</w:t>
      </w:r>
      <w:r w:rsidRPr="00892F2D">
        <w:tab/>
        <w:t>°</w:t>
      </w:r>
    </w:p>
    <w:p w14:paraId="76D4A518" w14:textId="2965FF6F" w:rsidR="00E22823" w:rsidRPr="00E22823" w:rsidRDefault="00892F2D" w:rsidP="001E7460">
      <w:pPr>
        <w:pStyle w:val="NormalHanging12a"/>
        <w:ind w:left="567" w:hanging="567"/>
      </w:pPr>
      <w:r>
        <w:t>28</w:t>
      </w:r>
      <w:r w:rsidR="000E65A1" w:rsidRPr="00892F2D">
        <w:t>.</w:t>
      </w:r>
      <w:r w:rsidR="000E65A1" w:rsidRPr="00892F2D">
        <w:tab/>
        <w:t>utasítja elnökét, hogy továbbítsa ezt az állásfoglalást a Tanácsnak és a Bizottságnak.</w:t>
      </w:r>
    </w:p>
    <w:sectPr w:rsidR="00E22823" w:rsidRPr="00E22823" w:rsidSect="00E2282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8EED3" w14:textId="77777777" w:rsidR="00AF7D98" w:rsidRPr="00E22823" w:rsidRDefault="00AF7D98">
      <w:r w:rsidRPr="00E22823">
        <w:separator/>
      </w:r>
    </w:p>
  </w:endnote>
  <w:endnote w:type="continuationSeparator" w:id="0">
    <w:p w14:paraId="3B707EB7" w14:textId="77777777" w:rsidR="00AF7D98" w:rsidRPr="00E22823" w:rsidRDefault="00AF7D98">
      <w:r w:rsidRPr="00E228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3A87" w14:textId="77777777" w:rsidR="00064002" w:rsidRPr="00E228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9BAEE" w14:textId="77777777" w:rsidR="00064002" w:rsidRPr="00E228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DAC40" w14:textId="77777777" w:rsidR="00064002" w:rsidRPr="00E228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A7D79" w14:textId="77777777" w:rsidR="00AF7D98" w:rsidRPr="00E22823" w:rsidRDefault="00AF7D98">
      <w:r w:rsidRPr="00E22823">
        <w:separator/>
      </w:r>
    </w:p>
  </w:footnote>
  <w:footnote w:type="continuationSeparator" w:id="0">
    <w:p w14:paraId="7521F7ED" w14:textId="77777777" w:rsidR="00AF7D98" w:rsidRPr="00E22823" w:rsidRDefault="00AF7D98">
      <w:r w:rsidRPr="00E22823">
        <w:continuationSeparator/>
      </w:r>
    </w:p>
  </w:footnote>
  <w:footnote w:id="1">
    <w:p w14:paraId="1C015A31" w14:textId="70BB0703" w:rsidR="001C484E" w:rsidRPr="00E22823" w:rsidRDefault="001C484E" w:rsidP="00E22823">
      <w:pPr>
        <w:pStyle w:val="FootnoteText"/>
        <w:ind w:left="567" w:hanging="567"/>
        <w:rPr>
          <w:sz w:val="24"/>
          <w:lang w:val="hu-HU"/>
        </w:rPr>
      </w:pPr>
      <w:r>
        <w:rPr>
          <w:rStyle w:val="FootnoteReference"/>
        </w:rPr>
        <w:footnoteRef/>
      </w:r>
      <w:r w:rsidRPr="00E22823">
        <w:rPr>
          <w:sz w:val="24"/>
          <w:lang w:val="hu-HU"/>
        </w:rPr>
        <w:t xml:space="preserve"> </w:t>
      </w:r>
      <w:r w:rsidRPr="00E22823">
        <w:rPr>
          <w:sz w:val="24"/>
          <w:lang w:val="hu-HU"/>
        </w:rPr>
        <w:tab/>
        <w:t>Nemzetközi Valutaalap, „Stablecoins and the future of finance”, Finance &amp; Development, 62. kötet, 3. szám, 2025. szeptember 3., Nemzetközi Valutaalap, Washington,</w:t>
      </w:r>
      <w:hyperlink r:id="rId1" w:tgtFrame="https://doi.org/10.5089/9798400297649.022" w:history="1">
        <w:r w:rsidRPr="00E22823">
          <w:rPr>
            <w:rStyle w:val="Hyperlink"/>
            <w:sz w:val="24"/>
            <w:lang w:val="hu-HU"/>
          </w:rPr>
          <w:t xml:space="preserve"> https://doi.org/10.5089/9798400297649.022</w:t>
        </w:r>
      </w:hyperlink>
      <w:r w:rsidRPr="00E22823">
        <w:rPr>
          <w:sz w:val="24"/>
          <w:lang w:val="hu-HU"/>
        </w:rPr>
        <w:t>.</w:t>
      </w:r>
    </w:p>
  </w:footnote>
  <w:footnote w:id="2">
    <w:p w14:paraId="162685FE" w14:textId="097D1D74" w:rsidR="001C484E" w:rsidRPr="00E22823" w:rsidRDefault="001C484E" w:rsidP="00E22823">
      <w:pPr>
        <w:pStyle w:val="FootnoteText"/>
        <w:ind w:left="567" w:hanging="567"/>
        <w:rPr>
          <w:sz w:val="24"/>
          <w:lang w:val="hu-HU"/>
        </w:rPr>
      </w:pPr>
      <w:r>
        <w:rPr>
          <w:rStyle w:val="FootnoteReference"/>
        </w:rPr>
        <w:footnoteRef/>
      </w:r>
      <w:r w:rsidRPr="00E22823">
        <w:rPr>
          <w:sz w:val="24"/>
          <w:lang w:val="hu-HU"/>
        </w:rPr>
        <w:t xml:space="preserve"> </w:t>
      </w:r>
      <w:r w:rsidRPr="00E22823">
        <w:rPr>
          <w:sz w:val="24"/>
          <w:lang w:val="hu-HU"/>
        </w:rPr>
        <w:tab/>
        <w:t>OECD Business and Finance Policy Papers, 75. szám.</w:t>
      </w:r>
    </w:p>
  </w:footnote>
  <w:footnote w:id="3">
    <w:p w14:paraId="25F1C997" w14:textId="4A6081C9" w:rsidR="001C484E" w:rsidRPr="00E22823" w:rsidRDefault="001C484E" w:rsidP="00E22823">
      <w:pPr>
        <w:pStyle w:val="FootnoteText"/>
        <w:ind w:left="567" w:hanging="567"/>
        <w:rPr>
          <w:sz w:val="24"/>
          <w:lang w:val="hu-HU"/>
        </w:rPr>
      </w:pPr>
      <w:r>
        <w:rPr>
          <w:rStyle w:val="FootnoteReference"/>
        </w:rPr>
        <w:footnoteRef/>
      </w:r>
      <w:r w:rsidRPr="00E22823">
        <w:rPr>
          <w:sz w:val="24"/>
          <w:lang w:val="hu-HU"/>
        </w:rPr>
        <w:t xml:space="preserve"> </w:t>
      </w:r>
      <w:r w:rsidRPr="00E22823">
        <w:rPr>
          <w:sz w:val="24"/>
          <w:lang w:val="hu-HU"/>
        </w:rPr>
        <w:tab/>
        <w:t xml:space="preserve">Az Európai Parlament és a Tanács (EU) 2022/858 rendelete (2022. május 30.) a megosztott főkönyvi technológián alapuló piaci infrastruktúrák kísérleti rendszeréről, valamint a 600/2014/EU és a 909/2014/EU rendelet, továbbá a 2014/65/EU irányelv módosításáról (HL L 151., 2022.6.2., 1. o., ELI: </w:t>
      </w:r>
      <w:hyperlink r:id="rId2" w:tgtFrame="http://data.europa.eu/eli/reg/2022/858/oj" w:history="1">
        <w:r w:rsidRPr="00E22823">
          <w:rPr>
            <w:rStyle w:val="Hyperlink"/>
            <w:sz w:val="24"/>
            <w:lang w:val="hu-HU"/>
          </w:rPr>
          <w:t>http://data.europa.eu/eli/reg/2022/858/oj)</w:t>
        </w:r>
      </w:hyperlink>
      <w:r w:rsidRPr="00E22823">
        <w:rPr>
          <w:sz w:val="24"/>
          <w:lang w:val="hu-HU"/>
        </w:rPr>
        <w:t>.</w:t>
      </w:r>
    </w:p>
  </w:footnote>
  <w:footnote w:id="4">
    <w:p w14:paraId="348EAAB4" w14:textId="0C1D736C" w:rsidR="001C484E" w:rsidRPr="00E22823" w:rsidRDefault="001C484E" w:rsidP="00E22823">
      <w:pPr>
        <w:pStyle w:val="FootnoteText"/>
        <w:ind w:left="567" w:hanging="567"/>
        <w:rPr>
          <w:sz w:val="24"/>
          <w:lang w:val="hu-HU"/>
        </w:rPr>
      </w:pPr>
      <w:r>
        <w:rPr>
          <w:rStyle w:val="FootnoteReference"/>
        </w:rPr>
        <w:footnoteRef/>
      </w:r>
      <w:r w:rsidRPr="00E22823">
        <w:rPr>
          <w:sz w:val="24"/>
          <w:lang w:val="hu-HU"/>
        </w:rPr>
        <w:t xml:space="preserve"> </w:t>
      </w:r>
      <w:r w:rsidRPr="00E22823">
        <w:rPr>
          <w:sz w:val="24"/>
          <w:lang w:val="hu-HU"/>
        </w:rPr>
        <w:tab/>
        <w:t xml:space="preserve">Az Európai Parlament és a Tanács (EU) 2023/1114 rendelete (2023. május 31.) a kriptoeszközök piacairól, valamint az 1093/2010/EU és az 1095/2010/EU rendelet, továbbá a 2013/36/EU és az (EU) 2019/1937 irányelv módosításáról (HL L 150., 2023.6.9., 40. o., ELI: </w:t>
      </w:r>
      <w:hyperlink r:id="rId3" w:tgtFrame="http://data.europa.eu/eli/reg/2023/1114/oj" w:history="1">
        <w:r w:rsidRPr="00E22823">
          <w:rPr>
            <w:rStyle w:val="Hyperlink"/>
            <w:sz w:val="24"/>
            <w:lang w:val="hu-HU"/>
          </w:rPr>
          <w:t>http://data.europa.eu/eli/reg/2023/1114/oj</w:t>
        </w:r>
      </w:hyperlink>
      <w:r w:rsidRPr="00E22823">
        <w:rPr>
          <w:sz w:val="24"/>
          <w:lang w:val="hu-HU"/>
        </w:rPr>
        <w:t>).</w:t>
      </w:r>
    </w:p>
  </w:footnote>
  <w:footnote w:id="5">
    <w:p w14:paraId="4FFE0AB3" w14:textId="5AEEA188" w:rsidR="001C484E" w:rsidRPr="00E22823" w:rsidRDefault="001C484E" w:rsidP="00E22823">
      <w:pPr>
        <w:pStyle w:val="FootnoteText"/>
        <w:ind w:left="567" w:hanging="567"/>
        <w:rPr>
          <w:sz w:val="24"/>
          <w:lang w:val="hu-HU"/>
        </w:rPr>
      </w:pPr>
      <w:r>
        <w:rPr>
          <w:rStyle w:val="FootnoteReference"/>
        </w:rPr>
        <w:footnoteRef/>
      </w:r>
      <w:r w:rsidRPr="00E22823">
        <w:rPr>
          <w:sz w:val="24"/>
          <w:lang w:val="hu-HU"/>
        </w:rPr>
        <w:t xml:space="preserve"> </w:t>
      </w:r>
      <w:r w:rsidRPr="00E22823">
        <w:rPr>
          <w:sz w:val="24"/>
          <w:lang w:val="hu-HU"/>
        </w:rPr>
        <w:tab/>
        <w:t xml:space="preserve">Az Európai Parlament és a Tanács (EU) 2023/1113 rendelete (2023. május 31.) a pénzátutalásokat és egyes kriptoeszköz-átruházásokat kísérő adatokról és az (EU) 2015/849 irányelv módosításáról (HL L 150., 2023.6.9., 1. o., ELI: </w:t>
      </w:r>
      <w:hyperlink r:id="rId4" w:tgtFrame="http://data.europa.eu/eli/reg/2023/1113/oj" w:history="1">
        <w:r w:rsidRPr="00E22823">
          <w:rPr>
            <w:rStyle w:val="Hyperlink"/>
            <w:sz w:val="24"/>
            <w:lang w:val="hu-HU"/>
          </w:rPr>
          <w:t>http://data.europa.eu/eli/reg/2023/1113/oj</w:t>
        </w:r>
      </w:hyperlink>
      <w:r w:rsidRPr="00E22823">
        <w:rPr>
          <w:sz w:val="24"/>
          <w:lang w:val="hu-HU"/>
        </w:rPr>
        <w:t>).</w:t>
      </w:r>
    </w:p>
  </w:footnote>
  <w:footnote w:id="6">
    <w:p w14:paraId="67414A78" w14:textId="0FD6655B" w:rsidR="001C484E" w:rsidRPr="00E22823" w:rsidRDefault="001C484E" w:rsidP="00E22823">
      <w:pPr>
        <w:pStyle w:val="FootnoteText"/>
        <w:ind w:left="567" w:hanging="567"/>
        <w:rPr>
          <w:sz w:val="24"/>
          <w:lang w:val="hu-HU"/>
        </w:rPr>
      </w:pPr>
      <w:r>
        <w:rPr>
          <w:rStyle w:val="FootnoteReference"/>
        </w:rPr>
        <w:footnoteRef/>
      </w:r>
      <w:r w:rsidRPr="00E22823">
        <w:rPr>
          <w:sz w:val="24"/>
          <w:lang w:val="hu-HU"/>
        </w:rPr>
        <w:t xml:space="preserve"> </w:t>
      </w:r>
      <w:r w:rsidRPr="00E22823">
        <w:rPr>
          <w:sz w:val="24"/>
          <w:lang w:val="hu-HU"/>
        </w:rPr>
        <w:tab/>
        <w:t>A Bizottság belső piaci pénzforgalmi szolgáltatásokról és elektronikuspénz-szolgáltatásokról, a 98/26/EK irányelv módosításáról, valamint az (EU) 2015/2366 és a 2009/110/EK irányelv hatályon kívül helyezéséről szóló európai parlamenti és tanácsi irányelvre irányuló, 2023. június 28-i javaslata (COM(2023)0366).</w:t>
      </w:r>
    </w:p>
  </w:footnote>
  <w:footnote w:id="7">
    <w:p w14:paraId="2E435BB2" w14:textId="15EE8F23" w:rsidR="001C484E" w:rsidRPr="00E22823" w:rsidRDefault="001C484E" w:rsidP="00E22823">
      <w:pPr>
        <w:pStyle w:val="FootnoteText"/>
        <w:ind w:left="567" w:hanging="567"/>
        <w:rPr>
          <w:sz w:val="24"/>
          <w:lang w:val="hu-HU"/>
        </w:rPr>
      </w:pPr>
      <w:r>
        <w:rPr>
          <w:rStyle w:val="FootnoteReference"/>
        </w:rPr>
        <w:footnoteRef/>
      </w:r>
      <w:r w:rsidRPr="00E22823">
        <w:rPr>
          <w:sz w:val="24"/>
          <w:lang w:val="hu-HU"/>
        </w:rPr>
        <w:t xml:space="preserve"> </w:t>
      </w:r>
      <w:r w:rsidRPr="00E22823">
        <w:rPr>
          <w:sz w:val="24"/>
          <w:lang w:val="hu-HU"/>
        </w:rPr>
        <w:tab/>
        <w:t>A Bizottság belső piaci pénzforgalmi szolgáltatásokról és az 1093/2010/EU rendelet módosításáról szóló európai parlamenti és tanácsi rendeletre irányuló, 2023. június 28-i javaslata (COM(2023)0367).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8D3F" w14:textId="77777777" w:rsidR="00064002" w:rsidRPr="00E228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24939" w14:textId="77777777" w:rsidR="00064002" w:rsidRPr="00E228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D7279" w14:textId="77777777" w:rsidR="00064002" w:rsidRPr="00E228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7190469">
    <w:abstractNumId w:val="9"/>
  </w:num>
  <w:num w:numId="2" w16cid:durableId="98959504">
    <w:abstractNumId w:val="9"/>
  </w:num>
  <w:num w:numId="3" w16cid:durableId="1225222006">
    <w:abstractNumId w:val="7"/>
  </w:num>
  <w:num w:numId="4" w16cid:durableId="1581602499">
    <w:abstractNumId w:val="7"/>
  </w:num>
  <w:num w:numId="5" w16cid:durableId="195385475">
    <w:abstractNumId w:val="6"/>
  </w:num>
  <w:num w:numId="6" w16cid:durableId="878512466">
    <w:abstractNumId w:val="6"/>
  </w:num>
  <w:num w:numId="7" w16cid:durableId="1805348239">
    <w:abstractNumId w:val="5"/>
  </w:num>
  <w:num w:numId="8" w16cid:durableId="1187214908">
    <w:abstractNumId w:val="5"/>
  </w:num>
  <w:num w:numId="9" w16cid:durableId="724524606">
    <w:abstractNumId w:val="4"/>
  </w:num>
  <w:num w:numId="10" w16cid:durableId="1352222471">
    <w:abstractNumId w:val="4"/>
  </w:num>
  <w:num w:numId="11" w16cid:durableId="119424404">
    <w:abstractNumId w:val="8"/>
  </w:num>
  <w:num w:numId="12" w16cid:durableId="1819229457">
    <w:abstractNumId w:val="8"/>
  </w:num>
  <w:num w:numId="13" w16cid:durableId="1185364769">
    <w:abstractNumId w:val="3"/>
  </w:num>
  <w:num w:numId="14" w16cid:durableId="910895237">
    <w:abstractNumId w:val="3"/>
  </w:num>
  <w:num w:numId="15" w16cid:durableId="1343698859">
    <w:abstractNumId w:val="2"/>
  </w:num>
  <w:num w:numId="16" w16cid:durableId="1018696454">
    <w:abstractNumId w:val="2"/>
  </w:num>
  <w:num w:numId="17" w16cid:durableId="1471560253">
    <w:abstractNumId w:val="1"/>
  </w:num>
  <w:num w:numId="18" w16cid:durableId="1252200101">
    <w:abstractNumId w:val="1"/>
  </w:num>
  <w:num w:numId="19" w16cid:durableId="358707060">
    <w:abstractNumId w:val="0"/>
  </w:num>
  <w:num w:numId="20" w16cid:durableId="40329076">
    <w:abstractNumId w:val="0"/>
  </w:num>
  <w:num w:numId="21" w16cid:durableId="565914581">
    <w:abstractNumId w:val="9"/>
  </w:num>
  <w:num w:numId="22" w16cid:durableId="741609276">
    <w:abstractNumId w:val="7"/>
  </w:num>
  <w:num w:numId="23" w16cid:durableId="1357929087">
    <w:abstractNumId w:val="6"/>
  </w:num>
  <w:num w:numId="24" w16cid:durableId="57939915">
    <w:abstractNumId w:val="5"/>
  </w:num>
  <w:num w:numId="25" w16cid:durableId="1308314293">
    <w:abstractNumId w:val="4"/>
  </w:num>
  <w:num w:numId="26" w16cid:durableId="9534480">
    <w:abstractNumId w:val="8"/>
  </w:num>
  <w:num w:numId="27" w16cid:durableId="1478448549">
    <w:abstractNumId w:val="3"/>
  </w:num>
  <w:num w:numId="28" w16cid:durableId="675502994">
    <w:abstractNumId w:val="2"/>
  </w:num>
  <w:num w:numId="29" w16cid:durableId="731583542">
    <w:abstractNumId w:val="1"/>
  </w:num>
  <w:num w:numId="30" w16cid:durableId="613245191">
    <w:abstractNumId w:val="0"/>
  </w:num>
  <w:num w:numId="31" w16cid:durableId="1714117893">
    <w:abstractNumId w:val="9"/>
  </w:num>
  <w:num w:numId="32" w16cid:durableId="963535877">
    <w:abstractNumId w:val="7"/>
  </w:num>
  <w:num w:numId="33" w16cid:durableId="651787333">
    <w:abstractNumId w:val="6"/>
  </w:num>
  <w:num w:numId="34" w16cid:durableId="1488741113">
    <w:abstractNumId w:val="5"/>
  </w:num>
  <w:num w:numId="35" w16cid:durableId="1221399238">
    <w:abstractNumId w:val="4"/>
  </w:num>
  <w:num w:numId="36" w16cid:durableId="111705121">
    <w:abstractNumId w:val="8"/>
  </w:num>
  <w:num w:numId="37" w16cid:durableId="1252590532">
    <w:abstractNumId w:val="3"/>
  </w:num>
  <w:num w:numId="38" w16cid:durableId="288361567">
    <w:abstractNumId w:val="2"/>
  </w:num>
  <w:num w:numId="39" w16cid:durableId="60107081">
    <w:abstractNumId w:val="1"/>
  </w:num>
  <w:num w:numId="40" w16cid:durableId="529339352">
    <w:abstractNumId w:val="0"/>
  </w:num>
  <w:num w:numId="41" w16cid:durableId="1932351705">
    <w:abstractNumId w:val="10"/>
  </w:num>
  <w:num w:numId="42" w16cid:durableId="1689260682">
    <w:abstractNumId w:val="10"/>
  </w:num>
  <w:num w:numId="43" w16cid:durableId="569391694">
    <w:abstractNumId w:val="10"/>
  </w:num>
  <w:num w:numId="44" w16cid:durableId="11252741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HU"/>
    <w:docVar w:name="dvnumam" w:val="0"/>
    <w:docVar w:name="dvpe" w:val="784.381"/>
    <w:docVar w:name="dvrapporteur" w:val="Előadó: "/>
    <w:docVar w:name="dvtitre" w:val="Az Európai Parlament 2026.  ...-i állásfoglalása a digitális eszközökről – az Európai Unió pénzügyi rendszerének versenyképessége és integritása előtt álló kihívások(2025/2208(INI))"/>
  </w:docVars>
  <w:rsids>
    <w:rsidRoot w:val="00AF7D98"/>
    <w:rsid w:val="00002272"/>
    <w:rsid w:val="00064002"/>
    <w:rsid w:val="000677B9"/>
    <w:rsid w:val="000831BA"/>
    <w:rsid w:val="000A42CC"/>
    <w:rsid w:val="000E65A1"/>
    <w:rsid w:val="000E7DD9"/>
    <w:rsid w:val="0010095E"/>
    <w:rsid w:val="00125B37"/>
    <w:rsid w:val="00187494"/>
    <w:rsid w:val="001C484E"/>
    <w:rsid w:val="001E7460"/>
    <w:rsid w:val="001F32AE"/>
    <w:rsid w:val="002767FF"/>
    <w:rsid w:val="002B18FE"/>
    <w:rsid w:val="002B5493"/>
    <w:rsid w:val="002C1E8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B5D"/>
    <w:rsid w:val="006631B6"/>
    <w:rsid w:val="00680577"/>
    <w:rsid w:val="0068356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F2D"/>
    <w:rsid w:val="008C2AC6"/>
    <w:rsid w:val="00930C23"/>
    <w:rsid w:val="0093193B"/>
    <w:rsid w:val="009509D8"/>
    <w:rsid w:val="00950B64"/>
    <w:rsid w:val="00981893"/>
    <w:rsid w:val="00A1687D"/>
    <w:rsid w:val="00A43E52"/>
    <w:rsid w:val="00A4678D"/>
    <w:rsid w:val="00A778C7"/>
    <w:rsid w:val="00A9379F"/>
    <w:rsid w:val="00AB441E"/>
    <w:rsid w:val="00AB6293"/>
    <w:rsid w:val="00AE0928"/>
    <w:rsid w:val="00AF3B82"/>
    <w:rsid w:val="00AF7D98"/>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823"/>
    <w:rsid w:val="00E25F38"/>
    <w:rsid w:val="00E365E1"/>
    <w:rsid w:val="00E820A4"/>
    <w:rsid w:val="00EB006A"/>
    <w:rsid w:val="00EB4772"/>
    <w:rsid w:val="00ED169E"/>
    <w:rsid w:val="00ED4235"/>
    <w:rsid w:val="00F04346"/>
    <w:rsid w:val="00F075DC"/>
    <w:rsid w:val="00F149E9"/>
    <w:rsid w:val="00F15C7D"/>
    <w:rsid w:val="00F366F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36C50"/>
  <w15:chartTrackingRefBased/>
  <w15:docId w15:val="{C10581EF-EE6F-4AFA-860B-1DB74360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E65A1"/>
    <w:pPr>
      <w:widowControl/>
      <w:spacing w:after="240"/>
    </w:pPr>
    <w:rPr>
      <w:szCs w:val="24"/>
      <w:lang w:eastAsia="en-US"/>
    </w:rPr>
  </w:style>
  <w:style w:type="paragraph" w:customStyle="1" w:styleId="NormalHanging12a">
    <w:name w:val="NormalHanging12a"/>
    <w:basedOn w:val="Normal"/>
    <w:rsid w:val="000E65A1"/>
    <w:pPr>
      <w:widowControl/>
      <w:spacing w:after="240"/>
      <w:ind w:left="566" w:hanging="566"/>
    </w:pPr>
    <w:rPr>
      <w:szCs w:val="24"/>
      <w:lang w:eastAsia="en-US"/>
    </w:rPr>
  </w:style>
  <w:style w:type="paragraph" w:customStyle="1" w:styleId="Normal12">
    <w:name w:val="Normal12"/>
    <w:basedOn w:val="Normal"/>
    <w:rsid w:val="000E65A1"/>
    <w:pPr>
      <w:spacing w:after="240"/>
    </w:pPr>
    <w:rPr>
      <w:szCs w:val="24"/>
      <w:lang w:eastAsia="en-US"/>
    </w:rPr>
  </w:style>
  <w:style w:type="paragraph" w:customStyle="1" w:styleId="NormalHanging">
    <w:name w:val="NormalHanging"/>
    <w:basedOn w:val="Normal"/>
    <w:rsid w:val="000E65A1"/>
    <w:pPr>
      <w:spacing w:after="240"/>
      <w:ind w:left="566" w:hanging="566"/>
    </w:pPr>
    <w:rPr>
      <w:szCs w:val="24"/>
      <w:lang w:eastAsia="en-US"/>
    </w:rPr>
  </w:style>
  <w:style w:type="paragraph" w:customStyle="1" w:styleId="NormalCenter12a">
    <w:name w:val="NormalCenter12a"/>
    <w:basedOn w:val="Normal"/>
    <w:rsid w:val="000E65A1"/>
    <w:pPr>
      <w:widowControl/>
      <w:spacing w:after="240"/>
      <w:jc w:val="center"/>
    </w:pPr>
    <w:rPr>
      <w:szCs w:val="24"/>
      <w:lang w:eastAsia="en-US"/>
    </w:rPr>
  </w:style>
  <w:style w:type="character" w:styleId="Hyperlink">
    <w:name w:val="Hyperlink"/>
    <w:basedOn w:val="DefaultParagraphFont"/>
    <w:rsid w:val="000E65A1"/>
    <w:rPr>
      <w:color w:val="0000FF"/>
      <w:u w:val="single"/>
    </w:rPr>
  </w:style>
  <w:style w:type="paragraph" w:styleId="Revision">
    <w:name w:val="Revision"/>
    <w:hidden/>
    <w:uiPriority w:val="99"/>
    <w:semiHidden/>
    <w:rsid w:val="00E25F38"/>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2278</Words>
  <Characters>17372</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2026-07-07T12:45:00Z</dcterms:created>
  <dcterms:modified xsi:type="dcterms:W3CDTF">2026-07-07T12:45:00Z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A10-0186/2026</vt:lpwstr>
  </property>
  <property fmtid="{D5CDD505-2E9C-101B-9397-08002B2CF9AE}" pid="4" name="&lt;Type&gt;">
    <vt:lpwstr>RR</vt:lpwstr>
  </property>
</Properties>
</file>