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421B7" w14:paraId="186A314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6D03D3" w14:textId="77777777" w:rsidR="00751A4A" w:rsidRPr="000421B7" w:rsidRDefault="00D61634" w:rsidP="0010095E">
            <w:pPr>
              <w:pStyle w:val="EPName"/>
            </w:pPr>
            <w:r w:rsidRPr="000421B7">
              <w:t>Parlamento europeo</w:t>
            </w:r>
          </w:p>
          <w:p w14:paraId="293873C5" w14:textId="77777777" w:rsidR="00751A4A" w:rsidRPr="000421B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21B7">
              <w:t>2024</w:t>
            </w:r>
            <w:r w:rsidR="00817416" w:rsidRPr="000421B7">
              <w:t>-202</w:t>
            </w:r>
            <w:r w:rsidRPr="000421B7">
              <w:t>9</w:t>
            </w:r>
          </w:p>
        </w:tc>
        <w:tc>
          <w:tcPr>
            <w:tcW w:w="2268" w:type="dxa"/>
            <w:shd w:val="clear" w:color="auto" w:fill="auto"/>
          </w:tcPr>
          <w:p w14:paraId="75BE164B" w14:textId="77777777" w:rsidR="00751A4A" w:rsidRPr="000421B7" w:rsidRDefault="00187494" w:rsidP="0010095E">
            <w:pPr>
              <w:pStyle w:val="EPLogo"/>
            </w:pPr>
            <w:r w:rsidRPr="000421B7">
              <w:rPr>
                <w:noProof/>
                <w:lang w:eastAsia="ja-JP"/>
              </w:rPr>
              <w:drawing>
                <wp:inline distT="0" distB="0" distL="0" distR="0" wp14:anchorId="358D8694" wp14:editId="1170B48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F08E1D" w14:textId="77777777" w:rsidR="00D058B8" w:rsidRPr="000421B7" w:rsidRDefault="00D058B8" w:rsidP="004C5D52">
      <w:pPr>
        <w:pStyle w:val="LineTop"/>
      </w:pPr>
    </w:p>
    <w:p w14:paraId="7388BFE8" w14:textId="77777777" w:rsidR="00680577" w:rsidRPr="000421B7" w:rsidRDefault="00D61634" w:rsidP="00680577">
      <w:pPr>
        <w:pStyle w:val="EPBodyTA1"/>
      </w:pPr>
      <w:r w:rsidRPr="000421B7">
        <w:t>TESTI APPROVATI</w:t>
      </w:r>
    </w:p>
    <w:p w14:paraId="60370B29" w14:textId="77777777" w:rsidR="00D058B8" w:rsidRPr="000421B7" w:rsidRDefault="00D058B8" w:rsidP="00D058B8">
      <w:pPr>
        <w:pStyle w:val="LineBottom"/>
      </w:pPr>
    </w:p>
    <w:p w14:paraId="3AB402AE" w14:textId="56F2D492" w:rsidR="00D61634" w:rsidRPr="000421B7" w:rsidRDefault="00D61634" w:rsidP="00D61634">
      <w:pPr>
        <w:pStyle w:val="ATHeading1"/>
      </w:pPr>
      <w:bookmarkStart w:id="0" w:name="TANumber"/>
      <w:r w:rsidRPr="000421B7">
        <w:t>P10_TA(2026)0</w:t>
      </w:r>
      <w:bookmarkEnd w:id="0"/>
      <w:r w:rsidR="009B02FB" w:rsidRPr="000421B7">
        <w:t>251</w:t>
      </w:r>
    </w:p>
    <w:p w14:paraId="26D79E6F" w14:textId="77777777" w:rsidR="00D61634" w:rsidRPr="000421B7" w:rsidRDefault="00D61634" w:rsidP="00D61634">
      <w:pPr>
        <w:pStyle w:val="ATHeading2"/>
      </w:pPr>
      <w:bookmarkStart w:id="1" w:name="title"/>
      <w:r w:rsidRPr="000421B7">
        <w:t>Attività digitali – sfide per la competitività e l'integrità del sistema finanziario dell'Unione europea</w:t>
      </w:r>
      <w:bookmarkEnd w:id="1"/>
    </w:p>
    <w:p w14:paraId="38E5DE45" w14:textId="77777777" w:rsidR="00D61634" w:rsidRPr="000421B7" w:rsidRDefault="00D61634" w:rsidP="00D61634">
      <w:pPr>
        <w:rPr>
          <w:i/>
          <w:vanish/>
        </w:rPr>
      </w:pPr>
      <w:r w:rsidRPr="000421B7">
        <w:rPr>
          <w:i/>
        </w:rPr>
        <w:fldChar w:fldCharType="begin"/>
      </w:r>
      <w:r w:rsidRPr="000421B7">
        <w:rPr>
          <w:i/>
        </w:rPr>
        <w:instrText xml:space="preserve"> TC"(</w:instrText>
      </w:r>
      <w:bookmarkStart w:id="2" w:name="DocNumber"/>
      <w:r w:rsidRPr="000421B7">
        <w:rPr>
          <w:i/>
        </w:rPr>
        <w:instrText>A10-0186/2026</w:instrText>
      </w:r>
      <w:bookmarkEnd w:id="2"/>
      <w:r w:rsidRPr="000421B7">
        <w:rPr>
          <w:i/>
        </w:rPr>
        <w:instrText xml:space="preserve"> - Relatore: Johan Van </w:instrText>
      </w:r>
      <w:proofErr w:type="spellStart"/>
      <w:r w:rsidRPr="000421B7">
        <w:rPr>
          <w:i/>
        </w:rPr>
        <w:instrText>Overtveldt</w:instrText>
      </w:r>
      <w:proofErr w:type="spellEnd"/>
      <w:r w:rsidRPr="000421B7">
        <w:rPr>
          <w:i/>
        </w:rPr>
        <w:instrText xml:space="preserve">)"\l3 \n&gt; \* MERGEFORMAT </w:instrText>
      </w:r>
      <w:r w:rsidRPr="000421B7">
        <w:rPr>
          <w:i/>
        </w:rPr>
        <w:fldChar w:fldCharType="end"/>
      </w:r>
    </w:p>
    <w:p w14:paraId="658CBDA7" w14:textId="77777777" w:rsidR="00D61634" w:rsidRPr="000421B7" w:rsidRDefault="00D61634" w:rsidP="00D61634">
      <w:pPr>
        <w:rPr>
          <w:vanish/>
        </w:rPr>
      </w:pPr>
      <w:bookmarkStart w:id="3" w:name="Commission"/>
      <w:r w:rsidRPr="000421B7">
        <w:rPr>
          <w:vanish/>
        </w:rPr>
        <w:t>Commissione per i problemi economici e monetari</w:t>
      </w:r>
      <w:bookmarkEnd w:id="3"/>
    </w:p>
    <w:p w14:paraId="63549F89" w14:textId="77777777" w:rsidR="00D61634" w:rsidRPr="000421B7" w:rsidRDefault="00D61634" w:rsidP="00D61634">
      <w:pPr>
        <w:rPr>
          <w:vanish/>
        </w:rPr>
      </w:pPr>
      <w:bookmarkStart w:id="4" w:name="PE"/>
      <w:r w:rsidRPr="000421B7">
        <w:rPr>
          <w:vanish/>
        </w:rPr>
        <w:t>PE784.381</w:t>
      </w:r>
      <w:bookmarkEnd w:id="4"/>
    </w:p>
    <w:p w14:paraId="40792BE0" w14:textId="77777777" w:rsidR="00D61634" w:rsidRPr="000421B7" w:rsidRDefault="00D61634" w:rsidP="00D61634">
      <w:pPr>
        <w:pStyle w:val="ATHeading3"/>
      </w:pPr>
      <w:bookmarkStart w:id="5" w:name="Sujet"/>
      <w:r w:rsidRPr="000421B7">
        <w:t>Risoluzione del Parlamento europeo del 7 luglio 2026 sulle attività digitali – sfide per la competitività e l'integrità del sistema finanziario dell'Unione europea</w:t>
      </w:r>
      <w:bookmarkEnd w:id="5"/>
      <w:r w:rsidRPr="000421B7">
        <w:t xml:space="preserve"> </w:t>
      </w:r>
      <w:bookmarkStart w:id="6" w:name="References"/>
      <w:r w:rsidRPr="000421B7">
        <w:t>(2025/2208(INI))</w:t>
      </w:r>
      <w:bookmarkEnd w:id="6"/>
    </w:p>
    <w:p w14:paraId="033C227D" w14:textId="77777777" w:rsidR="004B4BC7" w:rsidRPr="000421B7" w:rsidRDefault="004B4BC7" w:rsidP="00F44F75">
      <w:pPr>
        <w:pStyle w:val="Normal12"/>
        <w:spacing w:before="480"/>
      </w:pPr>
      <w:r w:rsidRPr="000421B7">
        <w:rPr>
          <w:i/>
        </w:rPr>
        <w:t>Il Parlamento europeo</w:t>
      </w:r>
      <w:r w:rsidRPr="000421B7">
        <w:t>,</w:t>
      </w:r>
    </w:p>
    <w:p w14:paraId="3503CB36" w14:textId="77777777" w:rsidR="004B4BC7" w:rsidRPr="000421B7" w:rsidRDefault="004B4BC7" w:rsidP="004B4BC7">
      <w:pPr>
        <w:pStyle w:val="NormalHanging"/>
      </w:pPr>
      <w:r w:rsidRPr="000421B7">
        <w:t>–</w:t>
      </w:r>
      <w:r w:rsidRPr="000421B7">
        <w:tab/>
        <w:t>visto il rapporto sulla stabilità finanziaria della Banca centrale europea (BCE) del novembre 2025,</w:t>
      </w:r>
    </w:p>
    <w:p w14:paraId="6D979A21" w14:textId="77777777" w:rsidR="004B4BC7" w:rsidRPr="000421B7" w:rsidRDefault="004B4BC7" w:rsidP="004B4BC7">
      <w:pPr>
        <w:pStyle w:val="NormalHanging"/>
      </w:pPr>
      <w:r w:rsidRPr="000421B7">
        <w:t>–</w:t>
      </w:r>
      <w:r w:rsidRPr="000421B7">
        <w:tab/>
        <w:t>visto il documento di lavoro della BCE n. 3199, del 3 marzo 2026, dal titolo "</w:t>
      </w:r>
      <w:proofErr w:type="spellStart"/>
      <w:r w:rsidRPr="000421B7">
        <w:t>Stablecoins</w:t>
      </w:r>
      <w:proofErr w:type="spellEnd"/>
      <w:r w:rsidRPr="000421B7">
        <w:t xml:space="preserve"> and </w:t>
      </w:r>
      <w:proofErr w:type="spellStart"/>
      <w:r w:rsidRPr="000421B7">
        <w:t>monetary</w:t>
      </w:r>
      <w:proofErr w:type="spellEnd"/>
      <w:r w:rsidRPr="000421B7">
        <w:t xml:space="preserve"> policy transmission" (Gli </w:t>
      </w:r>
      <w:proofErr w:type="spellStart"/>
      <w:r w:rsidRPr="000421B7">
        <w:t>stablecoin</w:t>
      </w:r>
      <w:proofErr w:type="spellEnd"/>
      <w:r w:rsidRPr="000421B7">
        <w:t xml:space="preserve"> e la trasmissione della politica monetaria),</w:t>
      </w:r>
    </w:p>
    <w:p w14:paraId="6C00C7B7" w14:textId="77777777" w:rsidR="004B4BC7" w:rsidRPr="000421B7" w:rsidRDefault="004B4BC7" w:rsidP="004B4BC7">
      <w:pPr>
        <w:pStyle w:val="NormalHanging"/>
      </w:pPr>
      <w:r w:rsidRPr="000421B7">
        <w:t>–</w:t>
      </w:r>
      <w:r w:rsidRPr="000421B7">
        <w:tab/>
        <w:t xml:space="preserve">vista la raccomandazione del Comitato europeo per il rischio sistemico (CERS), del 25 settembre 2025, sui sistemi di </w:t>
      </w:r>
      <w:proofErr w:type="spellStart"/>
      <w:r w:rsidRPr="000421B7">
        <w:t>stablecoin</w:t>
      </w:r>
      <w:proofErr w:type="spellEnd"/>
      <w:r w:rsidRPr="000421B7">
        <w:t xml:space="preserve"> con più emittenti di paesi terzi,</w:t>
      </w:r>
    </w:p>
    <w:p w14:paraId="74FAAEB0" w14:textId="77777777" w:rsidR="004B4BC7" w:rsidRPr="000421B7" w:rsidRDefault="004B4BC7" w:rsidP="004B4BC7">
      <w:pPr>
        <w:pStyle w:val="NormalHanging"/>
      </w:pPr>
      <w:r w:rsidRPr="000421B7">
        <w:t>–</w:t>
      </w:r>
      <w:r w:rsidRPr="000421B7">
        <w:tab/>
        <w:t>vista la relazione del CERS, dell'ottobre 2025, dal titolo "</w:t>
      </w:r>
      <w:proofErr w:type="spellStart"/>
      <w:r w:rsidRPr="000421B7">
        <w:t>Crypto</w:t>
      </w:r>
      <w:proofErr w:type="spellEnd"/>
      <w:r w:rsidRPr="000421B7">
        <w:t xml:space="preserve">-assets and </w:t>
      </w:r>
      <w:proofErr w:type="spellStart"/>
      <w:r w:rsidRPr="000421B7">
        <w:t>decentralised</w:t>
      </w:r>
      <w:proofErr w:type="spellEnd"/>
      <w:r w:rsidRPr="000421B7">
        <w:t xml:space="preserve"> </w:t>
      </w:r>
      <w:proofErr w:type="spellStart"/>
      <w:r w:rsidRPr="000421B7">
        <w:t>finance</w:t>
      </w:r>
      <w:proofErr w:type="spellEnd"/>
      <w:r w:rsidRPr="000421B7">
        <w:t xml:space="preserve"> – Report on </w:t>
      </w:r>
      <w:proofErr w:type="spellStart"/>
      <w:r w:rsidRPr="000421B7">
        <w:t>stablecoins</w:t>
      </w:r>
      <w:proofErr w:type="spellEnd"/>
      <w:r w:rsidRPr="000421B7">
        <w:t xml:space="preserve">, </w:t>
      </w:r>
      <w:proofErr w:type="spellStart"/>
      <w:r w:rsidRPr="000421B7">
        <w:t>crypto</w:t>
      </w:r>
      <w:proofErr w:type="spellEnd"/>
      <w:r w:rsidRPr="000421B7">
        <w:t>-investment products and multi-</w:t>
      </w:r>
      <w:proofErr w:type="spellStart"/>
      <w:r w:rsidRPr="000421B7">
        <w:t>function</w:t>
      </w:r>
      <w:proofErr w:type="spellEnd"/>
      <w:r w:rsidRPr="000421B7">
        <w:t xml:space="preserve"> groups" (Cripto-attività e finanza decentralizzata – Relazione sugli </w:t>
      </w:r>
      <w:proofErr w:type="spellStart"/>
      <w:r w:rsidRPr="000421B7">
        <w:t>stablecoin</w:t>
      </w:r>
      <w:proofErr w:type="spellEnd"/>
      <w:r w:rsidRPr="000421B7">
        <w:t>, i prodotti di investimento legati alle criptovalute e i gruppi multifunzionali),</w:t>
      </w:r>
    </w:p>
    <w:p w14:paraId="500C95D7" w14:textId="77777777" w:rsidR="004B4BC7" w:rsidRPr="000421B7" w:rsidRDefault="004B4BC7" w:rsidP="004B4BC7">
      <w:pPr>
        <w:pStyle w:val="NormalHanging"/>
      </w:pPr>
      <w:r w:rsidRPr="000421B7">
        <w:t>–</w:t>
      </w:r>
      <w:r w:rsidRPr="000421B7">
        <w:tab/>
        <w:t>visti gli orientamenti dell'Autorità europea degli strumenti finanziari e dei mercati (ESMA), del 19 marzo 2025, sulle condizioni e sui criteri per la qualificazione delle cripto-attività come strumenti finanziari,</w:t>
      </w:r>
    </w:p>
    <w:p w14:paraId="0DDD3558" w14:textId="77777777" w:rsidR="004B4BC7" w:rsidRPr="000421B7" w:rsidRDefault="004B4BC7" w:rsidP="004B4BC7">
      <w:pPr>
        <w:pStyle w:val="NormalHanging"/>
      </w:pPr>
      <w:r w:rsidRPr="000421B7">
        <w:t>–</w:t>
      </w:r>
      <w:r w:rsidRPr="000421B7">
        <w:tab/>
        <w:t xml:space="preserve">vista la relazione dell'Autorità bancaria europea (ABE), del dicembre 2024, dal titolo "Report on </w:t>
      </w:r>
      <w:proofErr w:type="spellStart"/>
      <w:r w:rsidRPr="000421B7">
        <w:t>tokenised</w:t>
      </w:r>
      <w:proofErr w:type="spellEnd"/>
      <w:r w:rsidRPr="000421B7">
        <w:t xml:space="preserve"> </w:t>
      </w:r>
      <w:proofErr w:type="spellStart"/>
      <w:r w:rsidRPr="000421B7">
        <w:t>deposits</w:t>
      </w:r>
      <w:proofErr w:type="spellEnd"/>
      <w:r w:rsidRPr="000421B7">
        <w:t>" (Relazione sui depositi tokenizzati),</w:t>
      </w:r>
    </w:p>
    <w:p w14:paraId="7A543B72" w14:textId="77777777" w:rsidR="004B4BC7" w:rsidRPr="000421B7" w:rsidRDefault="004B4BC7" w:rsidP="004B4BC7">
      <w:pPr>
        <w:pStyle w:val="NormalHanging"/>
      </w:pPr>
      <w:r w:rsidRPr="000421B7">
        <w:t>–</w:t>
      </w:r>
      <w:r w:rsidRPr="000421B7">
        <w:tab/>
        <w:t xml:space="preserve">vista la relazione dell'ABE, dell'ottobre 2025, dal titolo "Report on </w:t>
      </w:r>
      <w:proofErr w:type="spellStart"/>
      <w:r w:rsidRPr="000421B7">
        <w:t>tackling</w:t>
      </w:r>
      <w:proofErr w:type="spellEnd"/>
      <w:r w:rsidRPr="000421B7">
        <w:t xml:space="preserve"> ML/TF risks in </w:t>
      </w:r>
      <w:proofErr w:type="spellStart"/>
      <w:r w:rsidRPr="000421B7">
        <w:t>crypto</w:t>
      </w:r>
      <w:proofErr w:type="spellEnd"/>
      <w:r w:rsidRPr="000421B7">
        <w:t xml:space="preserve">-asset services </w:t>
      </w:r>
      <w:proofErr w:type="spellStart"/>
      <w:r w:rsidRPr="000421B7">
        <w:t>through</w:t>
      </w:r>
      <w:proofErr w:type="spellEnd"/>
      <w:r w:rsidRPr="000421B7">
        <w:t xml:space="preserve"> </w:t>
      </w:r>
      <w:proofErr w:type="spellStart"/>
      <w:r w:rsidRPr="000421B7">
        <w:t>supervision</w:t>
      </w:r>
      <w:proofErr w:type="spellEnd"/>
      <w:r w:rsidRPr="000421B7">
        <w:t xml:space="preserve"> – </w:t>
      </w:r>
      <w:proofErr w:type="spellStart"/>
      <w:r w:rsidRPr="000421B7">
        <w:t>Lessons</w:t>
      </w:r>
      <w:proofErr w:type="spellEnd"/>
      <w:r w:rsidRPr="000421B7">
        <w:t xml:space="preserve"> </w:t>
      </w:r>
      <w:proofErr w:type="spellStart"/>
      <w:r w:rsidRPr="000421B7">
        <w:t>learned</w:t>
      </w:r>
      <w:proofErr w:type="spellEnd"/>
      <w:r w:rsidRPr="000421B7">
        <w:t xml:space="preserve"> from </w:t>
      </w:r>
      <w:proofErr w:type="spellStart"/>
      <w:r w:rsidRPr="000421B7">
        <w:t>recent</w:t>
      </w:r>
      <w:proofErr w:type="spellEnd"/>
      <w:r w:rsidRPr="000421B7">
        <w:t xml:space="preserve"> </w:t>
      </w:r>
      <w:proofErr w:type="spellStart"/>
      <w:r w:rsidRPr="000421B7">
        <w:t>cases</w:t>
      </w:r>
      <w:proofErr w:type="spellEnd"/>
      <w:r w:rsidRPr="000421B7">
        <w:t>" (Relazione sulla lotta al rischio di riciclaggio di denaro e finanziamento del terrorismo nei servizi per le cripto-attività attraverso la vigilanza – Insegnamenti tratti da casi recenti),</w:t>
      </w:r>
    </w:p>
    <w:p w14:paraId="0C797363" w14:textId="1637371E" w:rsidR="004B4BC7" w:rsidRPr="000421B7" w:rsidRDefault="004B4BC7" w:rsidP="004B4BC7">
      <w:pPr>
        <w:pStyle w:val="NormalHanging"/>
      </w:pPr>
      <w:r w:rsidRPr="000421B7">
        <w:t>–</w:t>
      </w:r>
      <w:r w:rsidRPr="000421B7">
        <w:tab/>
        <w:t xml:space="preserve">visto il numero di settembre 2025 della rivista "Finance &amp; Development" del Fondo </w:t>
      </w:r>
      <w:r w:rsidRPr="000421B7">
        <w:lastRenderedPageBreak/>
        <w:t>monetario internazionale, dal titolo "</w:t>
      </w:r>
      <w:proofErr w:type="spellStart"/>
      <w:r w:rsidRPr="000421B7">
        <w:t>Stablecoins</w:t>
      </w:r>
      <w:proofErr w:type="spellEnd"/>
      <w:r w:rsidRPr="000421B7">
        <w:t xml:space="preserve"> and the future of </w:t>
      </w:r>
      <w:proofErr w:type="spellStart"/>
      <w:r w:rsidRPr="000421B7">
        <w:t>finance</w:t>
      </w:r>
      <w:proofErr w:type="spellEnd"/>
      <w:r w:rsidRPr="000421B7">
        <w:t xml:space="preserve">" (Gli </w:t>
      </w:r>
      <w:proofErr w:type="spellStart"/>
      <w:r w:rsidRPr="000421B7">
        <w:t>stablecoin</w:t>
      </w:r>
      <w:proofErr w:type="spellEnd"/>
      <w:r w:rsidRPr="000421B7">
        <w:t xml:space="preserve"> e il futuro della finanza)</w:t>
      </w:r>
      <w:r w:rsidR="00F44F75" w:rsidRPr="000421B7">
        <w:rPr>
          <w:rStyle w:val="FootnoteReference"/>
        </w:rPr>
        <w:footnoteReference w:id="1"/>
      </w:r>
      <w:r w:rsidRPr="000421B7">
        <w:t>,</w:t>
      </w:r>
    </w:p>
    <w:p w14:paraId="2A4C50E4" w14:textId="77777777" w:rsidR="004B4BC7" w:rsidRPr="000421B7" w:rsidRDefault="004B4BC7" w:rsidP="004B4BC7">
      <w:pPr>
        <w:pStyle w:val="NormalHanging"/>
      </w:pPr>
      <w:r w:rsidRPr="000421B7">
        <w:t>–</w:t>
      </w:r>
      <w:r w:rsidRPr="000421B7">
        <w:tab/>
        <w:t>vista la relazione dell'Organizzazione internazionale delle commissioni sui valori mobiliari, del novembre 2025, dal titolo "</w:t>
      </w:r>
      <w:proofErr w:type="spellStart"/>
      <w:r w:rsidRPr="000421B7">
        <w:t>Tokenization</w:t>
      </w:r>
      <w:proofErr w:type="spellEnd"/>
      <w:r w:rsidRPr="000421B7">
        <w:t xml:space="preserve"> of </w:t>
      </w:r>
      <w:proofErr w:type="spellStart"/>
      <w:r w:rsidRPr="000421B7">
        <w:t>financial</w:t>
      </w:r>
      <w:proofErr w:type="spellEnd"/>
      <w:r w:rsidRPr="000421B7">
        <w:t xml:space="preserve"> assets" (Tokenizzazione delle attività finanziarie),</w:t>
      </w:r>
    </w:p>
    <w:p w14:paraId="4CC80FF2" w14:textId="77777777" w:rsidR="004B4BC7" w:rsidRPr="000421B7" w:rsidRDefault="004B4BC7" w:rsidP="004B4BC7">
      <w:pPr>
        <w:pStyle w:val="NormalHanging"/>
      </w:pPr>
      <w:r w:rsidRPr="000421B7">
        <w:t>–</w:t>
      </w:r>
      <w:r w:rsidRPr="000421B7">
        <w:tab/>
        <w:t>vista la relazione economica annuale della Banca dei regolamenti internazionali (BRI) del giugno 2025,</w:t>
      </w:r>
    </w:p>
    <w:p w14:paraId="32189DF1" w14:textId="77777777" w:rsidR="004B4BC7" w:rsidRPr="000421B7" w:rsidRDefault="004B4BC7" w:rsidP="004B4BC7">
      <w:pPr>
        <w:pStyle w:val="NormalHanging"/>
      </w:pPr>
      <w:r w:rsidRPr="000421B7">
        <w:t>–</w:t>
      </w:r>
      <w:r w:rsidRPr="000421B7">
        <w:tab/>
        <w:t>vista la relazione del Consiglio per la stabilità finanziaria (FSB), del 16 ottobre 2025, dal titolo "</w:t>
      </w:r>
      <w:proofErr w:type="spellStart"/>
      <w:r w:rsidRPr="000421B7">
        <w:t>Thematic</w:t>
      </w:r>
      <w:proofErr w:type="spellEnd"/>
      <w:r w:rsidRPr="000421B7">
        <w:t xml:space="preserve"> Review on FSB Global </w:t>
      </w:r>
      <w:proofErr w:type="spellStart"/>
      <w:r w:rsidRPr="000421B7">
        <w:t>Regulatory</w:t>
      </w:r>
      <w:proofErr w:type="spellEnd"/>
      <w:r w:rsidRPr="000421B7">
        <w:t xml:space="preserve"> Framework for </w:t>
      </w:r>
      <w:proofErr w:type="spellStart"/>
      <w:r w:rsidRPr="000421B7">
        <w:t>Crypto</w:t>
      </w:r>
      <w:proofErr w:type="spellEnd"/>
      <w:r w:rsidRPr="000421B7">
        <w:t>-asset Activities" (Analisi tematica del quadro normativo globale dell'FSB relativo all'operatività in cripto-attività),</w:t>
      </w:r>
    </w:p>
    <w:p w14:paraId="756FF705" w14:textId="77777777" w:rsidR="004B4BC7" w:rsidRPr="000421B7" w:rsidRDefault="004B4BC7" w:rsidP="004B4BC7">
      <w:pPr>
        <w:pStyle w:val="NormalHanging"/>
      </w:pPr>
      <w:r w:rsidRPr="000421B7">
        <w:t>–</w:t>
      </w:r>
      <w:r w:rsidRPr="000421B7">
        <w:tab/>
        <w:t xml:space="preserve">vista la relazione dell'FSB, del 22 ottobre 2024, dal titolo "G20 </w:t>
      </w:r>
      <w:proofErr w:type="spellStart"/>
      <w:r w:rsidRPr="000421B7">
        <w:t>Crypto</w:t>
      </w:r>
      <w:proofErr w:type="spellEnd"/>
      <w:r w:rsidRPr="000421B7">
        <w:t xml:space="preserve">-asset Policy </w:t>
      </w:r>
      <w:proofErr w:type="spellStart"/>
      <w:r w:rsidRPr="000421B7">
        <w:t>Implementation</w:t>
      </w:r>
      <w:proofErr w:type="spellEnd"/>
      <w:r w:rsidRPr="000421B7">
        <w:t xml:space="preserve"> Roadmap" (Tabella di marcia per l'attuazione della politica in materia di cripto-attività del G20),</w:t>
      </w:r>
    </w:p>
    <w:p w14:paraId="63647E2A" w14:textId="77777777" w:rsidR="004B4BC7" w:rsidRPr="000421B7" w:rsidRDefault="004B4BC7" w:rsidP="004B4BC7">
      <w:pPr>
        <w:pStyle w:val="NormalHanging"/>
      </w:pPr>
      <w:r w:rsidRPr="000421B7">
        <w:t>–</w:t>
      </w:r>
      <w:r w:rsidRPr="000421B7">
        <w:tab/>
        <w:t xml:space="preserve">vista la relazione sullo stato di avanzamento dell'FSB, del 22 ottobre 2024, dal titolo "The </w:t>
      </w:r>
      <w:proofErr w:type="spellStart"/>
      <w:r w:rsidRPr="000421B7">
        <w:t>financial</w:t>
      </w:r>
      <w:proofErr w:type="spellEnd"/>
      <w:r w:rsidRPr="000421B7">
        <w:t xml:space="preserve"> </w:t>
      </w:r>
      <w:proofErr w:type="spellStart"/>
      <w:r w:rsidRPr="000421B7">
        <w:t>stability</w:t>
      </w:r>
      <w:proofErr w:type="spellEnd"/>
      <w:r w:rsidRPr="000421B7">
        <w:t xml:space="preserve"> </w:t>
      </w:r>
      <w:proofErr w:type="spellStart"/>
      <w:r w:rsidRPr="000421B7">
        <w:t>implications</w:t>
      </w:r>
      <w:proofErr w:type="spellEnd"/>
      <w:r w:rsidRPr="000421B7">
        <w:t xml:space="preserve"> of </w:t>
      </w:r>
      <w:proofErr w:type="spellStart"/>
      <w:r w:rsidRPr="000421B7">
        <w:t>tokenisation</w:t>
      </w:r>
      <w:proofErr w:type="spellEnd"/>
      <w:r w:rsidRPr="000421B7">
        <w:t>" (Le implicazioni della tokenizzazione per la stabilità finanziaria),</w:t>
      </w:r>
    </w:p>
    <w:p w14:paraId="2148FB22" w14:textId="77777777" w:rsidR="004B4BC7" w:rsidRPr="000421B7" w:rsidRDefault="004B4BC7" w:rsidP="004B4BC7">
      <w:pPr>
        <w:pStyle w:val="NormalHanging"/>
      </w:pPr>
      <w:r w:rsidRPr="000421B7">
        <w:t>–</w:t>
      </w:r>
      <w:r w:rsidRPr="000421B7">
        <w:tab/>
        <w:t>visto il documento di consultazione della Banca d'Inghilterra, del 10 novembre 2025, dal titolo "</w:t>
      </w:r>
      <w:proofErr w:type="spellStart"/>
      <w:r w:rsidRPr="000421B7">
        <w:t>Proposed</w:t>
      </w:r>
      <w:proofErr w:type="spellEnd"/>
      <w:r w:rsidRPr="000421B7">
        <w:t xml:space="preserve"> </w:t>
      </w:r>
      <w:proofErr w:type="spellStart"/>
      <w:r w:rsidRPr="000421B7">
        <w:t>regulatory</w:t>
      </w:r>
      <w:proofErr w:type="spellEnd"/>
      <w:r w:rsidRPr="000421B7">
        <w:t xml:space="preserve"> regime for sterling-</w:t>
      </w:r>
      <w:proofErr w:type="spellStart"/>
      <w:r w:rsidRPr="000421B7">
        <w:t>denominated</w:t>
      </w:r>
      <w:proofErr w:type="spellEnd"/>
      <w:r w:rsidRPr="000421B7">
        <w:t xml:space="preserve"> </w:t>
      </w:r>
      <w:proofErr w:type="spellStart"/>
      <w:r w:rsidRPr="000421B7">
        <w:t>systemic</w:t>
      </w:r>
      <w:proofErr w:type="spellEnd"/>
      <w:r w:rsidRPr="000421B7">
        <w:t xml:space="preserve"> </w:t>
      </w:r>
      <w:proofErr w:type="spellStart"/>
      <w:r w:rsidRPr="000421B7">
        <w:t>stablecoins</w:t>
      </w:r>
      <w:proofErr w:type="spellEnd"/>
      <w:r w:rsidRPr="000421B7">
        <w:t xml:space="preserve">" (Proposta di regime normativo per gli </w:t>
      </w:r>
      <w:proofErr w:type="spellStart"/>
      <w:r w:rsidRPr="000421B7">
        <w:t>stablecoin</w:t>
      </w:r>
      <w:proofErr w:type="spellEnd"/>
      <w:r w:rsidRPr="000421B7">
        <w:t xml:space="preserve"> sistemici denominati in sterline),</w:t>
      </w:r>
    </w:p>
    <w:p w14:paraId="07D71415" w14:textId="77777777" w:rsidR="004B4BC7" w:rsidRPr="000421B7" w:rsidRDefault="004B4BC7" w:rsidP="004B4BC7">
      <w:pPr>
        <w:pStyle w:val="NormalHanging"/>
      </w:pPr>
      <w:r w:rsidRPr="000421B7">
        <w:t>–</w:t>
      </w:r>
      <w:r w:rsidRPr="000421B7">
        <w:tab/>
        <w:t xml:space="preserve">vista la nota informativa dell'unità Controllo della governance economica e dell'UEM, del novembre 2025, dal titolo "Digital assets: EU </w:t>
      </w:r>
      <w:proofErr w:type="spellStart"/>
      <w:r w:rsidRPr="000421B7">
        <w:t>regulatory</w:t>
      </w:r>
      <w:proofErr w:type="spellEnd"/>
      <w:r w:rsidRPr="000421B7">
        <w:t xml:space="preserve"> framework, market </w:t>
      </w:r>
      <w:proofErr w:type="spellStart"/>
      <w:r w:rsidRPr="000421B7">
        <w:t>uptake</w:t>
      </w:r>
      <w:proofErr w:type="spellEnd"/>
      <w:r w:rsidRPr="000421B7">
        <w:t>, risks and challenges" (Quadro normativo dell'UE, diffusione sul mercato, rischi e sfide),</w:t>
      </w:r>
    </w:p>
    <w:p w14:paraId="612A1D1A" w14:textId="6BCD6A0D" w:rsidR="004B4BC7" w:rsidRPr="000421B7" w:rsidRDefault="004B4BC7" w:rsidP="004B4BC7">
      <w:pPr>
        <w:pStyle w:val="NormalHanging"/>
      </w:pPr>
      <w:r w:rsidRPr="000421B7">
        <w:t>–</w:t>
      </w:r>
      <w:r w:rsidRPr="000421B7">
        <w:tab/>
        <w:t>visto il documento programmatico dell'Organizzazione per la cooperazione e lo sviluppo economici (OCSE), del 9 gennaio 2025, dal titolo "</w:t>
      </w:r>
      <w:proofErr w:type="spellStart"/>
      <w:r w:rsidRPr="000421B7">
        <w:t>Tokenisation</w:t>
      </w:r>
      <w:proofErr w:type="spellEnd"/>
      <w:r w:rsidRPr="000421B7">
        <w:t xml:space="preserve"> of assets and </w:t>
      </w:r>
      <w:proofErr w:type="spellStart"/>
      <w:r w:rsidRPr="000421B7">
        <w:t>distributed</w:t>
      </w:r>
      <w:proofErr w:type="spellEnd"/>
      <w:r w:rsidRPr="000421B7">
        <w:t xml:space="preserve"> </w:t>
      </w:r>
      <w:proofErr w:type="spellStart"/>
      <w:r w:rsidRPr="000421B7">
        <w:t>ledger</w:t>
      </w:r>
      <w:proofErr w:type="spellEnd"/>
      <w:r w:rsidRPr="000421B7">
        <w:t xml:space="preserve"> </w:t>
      </w:r>
      <w:proofErr w:type="spellStart"/>
      <w:r w:rsidRPr="000421B7">
        <w:t>technologies</w:t>
      </w:r>
      <w:proofErr w:type="spellEnd"/>
      <w:r w:rsidRPr="000421B7">
        <w:t xml:space="preserve"> in </w:t>
      </w:r>
      <w:proofErr w:type="spellStart"/>
      <w:r w:rsidRPr="000421B7">
        <w:t>financial</w:t>
      </w:r>
      <w:proofErr w:type="spellEnd"/>
      <w:r w:rsidRPr="000421B7">
        <w:t xml:space="preserve"> markets – </w:t>
      </w:r>
      <w:proofErr w:type="spellStart"/>
      <w:r w:rsidRPr="000421B7">
        <w:t>Potential</w:t>
      </w:r>
      <w:proofErr w:type="spellEnd"/>
      <w:r w:rsidRPr="000421B7">
        <w:t xml:space="preserve"> </w:t>
      </w:r>
      <w:proofErr w:type="spellStart"/>
      <w:r w:rsidRPr="000421B7">
        <w:t>impediments</w:t>
      </w:r>
      <w:proofErr w:type="spellEnd"/>
      <w:r w:rsidRPr="000421B7">
        <w:t xml:space="preserve"> to market </w:t>
      </w:r>
      <w:proofErr w:type="spellStart"/>
      <w:r w:rsidRPr="000421B7">
        <w:t>development</w:t>
      </w:r>
      <w:proofErr w:type="spellEnd"/>
      <w:r w:rsidRPr="000421B7">
        <w:t xml:space="preserve"> and policy </w:t>
      </w:r>
      <w:proofErr w:type="spellStart"/>
      <w:r w:rsidRPr="000421B7">
        <w:t>implications</w:t>
      </w:r>
      <w:proofErr w:type="spellEnd"/>
      <w:r w:rsidRPr="000421B7">
        <w:t>" (Tokenizzazione di attività e tecnologie di registro distribuito nei mercati finanziari – Potenziali ostacoli allo sviluppo del mercato e implicazioni politiche)</w:t>
      </w:r>
      <w:r w:rsidR="00F44F75" w:rsidRPr="000421B7">
        <w:rPr>
          <w:rStyle w:val="FootnoteReference"/>
        </w:rPr>
        <w:footnoteReference w:id="2"/>
      </w:r>
      <w:r w:rsidRPr="000421B7">
        <w:t>,</w:t>
      </w:r>
    </w:p>
    <w:p w14:paraId="27AB667B" w14:textId="77777777" w:rsidR="004B4BC7" w:rsidRPr="000421B7" w:rsidRDefault="004B4BC7" w:rsidP="004B4BC7">
      <w:pPr>
        <w:pStyle w:val="NormalHanging"/>
      </w:pPr>
      <w:r w:rsidRPr="000421B7">
        <w:t>–</w:t>
      </w:r>
      <w:r w:rsidRPr="000421B7">
        <w:tab/>
        <w:t>visto l'articolo 55 del suo regolamento,</w:t>
      </w:r>
    </w:p>
    <w:p w14:paraId="75875612" w14:textId="77777777" w:rsidR="004B4BC7" w:rsidRPr="000421B7" w:rsidRDefault="004B4BC7" w:rsidP="004B4BC7">
      <w:pPr>
        <w:pStyle w:val="NormalHanging"/>
      </w:pPr>
      <w:r w:rsidRPr="000421B7">
        <w:t>–</w:t>
      </w:r>
      <w:r w:rsidRPr="000421B7">
        <w:tab/>
        <w:t>vista la relazione della commissione per i problemi economici e monetari (A10-0186/2026),</w:t>
      </w:r>
    </w:p>
    <w:p w14:paraId="63FDE520" w14:textId="77777777" w:rsidR="004B4BC7" w:rsidRPr="000421B7" w:rsidRDefault="004B4BC7" w:rsidP="004B4BC7">
      <w:pPr>
        <w:pStyle w:val="NormalHanging"/>
      </w:pPr>
      <w:r w:rsidRPr="000421B7">
        <w:t>A.</w:t>
      </w:r>
      <w:r w:rsidRPr="000421B7">
        <w:tab/>
        <w:t xml:space="preserve">considerando che, secondo l'indagine sulle aspettative dei consumatori condotta dalla BCE nel novembre 2024, in media il 9,7 % degli intervistati possedeva cripto-attività o aveva familiari che ne possedevano, di cui il 54 % per un valore inferiore a 1 000 EUR </w:t>
      </w:r>
      <w:r w:rsidRPr="000421B7">
        <w:lastRenderedPageBreak/>
        <w:t>e il 91 % per un valore inferiore a 20 000 EUR;</w:t>
      </w:r>
    </w:p>
    <w:p w14:paraId="1E4BEEBE" w14:textId="77777777" w:rsidR="004B4BC7" w:rsidRPr="000421B7" w:rsidRDefault="004B4BC7" w:rsidP="004B4BC7">
      <w:pPr>
        <w:pStyle w:val="NormalHanging"/>
      </w:pPr>
      <w:r w:rsidRPr="000421B7">
        <w:t>B.</w:t>
      </w:r>
      <w:r w:rsidRPr="000421B7">
        <w:tab/>
        <w:t xml:space="preserve">considerando che, stando a fonti di dati private, al 10 febbraio 2026 la capitalizzazione di mercato totale a livello mondiale delle cripto-attività ammontava a 2,03 miliardi di EUR, con una quota di mercato del 12,9 %, equivalente a 261 miliardi di EUR, per gli </w:t>
      </w:r>
      <w:proofErr w:type="spellStart"/>
      <w:r w:rsidRPr="000421B7">
        <w:t>stablecoin</w:t>
      </w:r>
      <w:proofErr w:type="spellEnd"/>
      <w:r w:rsidRPr="000421B7">
        <w:t xml:space="preserve">; che, secondo il documento di lavoro n. 3199 della BCE, le aspettative del mercato indicano una forte crescita dell'emissione di </w:t>
      </w:r>
      <w:proofErr w:type="spellStart"/>
      <w:r w:rsidRPr="000421B7">
        <w:t>stablecoin</w:t>
      </w:r>
      <w:proofErr w:type="spellEnd"/>
      <w:r w:rsidRPr="000421B7">
        <w:t>;</w:t>
      </w:r>
    </w:p>
    <w:p w14:paraId="6212BB00" w14:textId="77777777" w:rsidR="004B4BC7" w:rsidRPr="000421B7" w:rsidRDefault="004B4BC7" w:rsidP="004B4BC7">
      <w:pPr>
        <w:pStyle w:val="NormalHanging"/>
      </w:pPr>
      <w:r w:rsidRPr="000421B7">
        <w:t>C.</w:t>
      </w:r>
      <w:r w:rsidRPr="000421B7">
        <w:tab/>
        <w:t>considerando che nel febbraio 2026 le attività tokenizzate rappresentavano circa l'1 % delle attività digitali mondiali, una percentuale in rapida crescita, stando a fonti di dati privati non armonizzate;</w:t>
      </w:r>
    </w:p>
    <w:p w14:paraId="039CCFE3" w14:textId="77777777" w:rsidR="004B4BC7" w:rsidRPr="000421B7" w:rsidRDefault="004B4BC7" w:rsidP="004B4BC7">
      <w:pPr>
        <w:pStyle w:val="NormalHanging"/>
      </w:pPr>
      <w:r w:rsidRPr="000421B7">
        <w:t>D.</w:t>
      </w:r>
      <w:r w:rsidRPr="000421B7">
        <w:tab/>
        <w:t>considerando che, secondo fonti di dati private, nel 2025 la forza lavoro mondiale nel settore delle cripto-attività contava oltre 1,6 milioni di professionisti, di cui l'UE ospita una parte consistente, benché in calo;</w:t>
      </w:r>
    </w:p>
    <w:p w14:paraId="31DFE59F" w14:textId="4FB94826" w:rsidR="004B4BC7" w:rsidRPr="000421B7" w:rsidRDefault="004B4BC7" w:rsidP="004B4BC7">
      <w:pPr>
        <w:pStyle w:val="NormalHanging"/>
      </w:pPr>
      <w:r w:rsidRPr="000421B7">
        <w:t>E.</w:t>
      </w:r>
      <w:r w:rsidRPr="000421B7">
        <w:tab/>
        <w:t>considerando che l'articolo 2, paragrafo 1, del regolamento (UE) 2022/858</w:t>
      </w:r>
      <w:r w:rsidR="00F44F75" w:rsidRPr="000421B7">
        <w:rPr>
          <w:rStyle w:val="FootnoteReference"/>
        </w:rPr>
        <w:footnoteReference w:id="3"/>
      </w:r>
      <w:r w:rsidRPr="000421B7">
        <w:t xml:space="preserve"> relativo a un regime pilota per le infrastrutture di mercato basate sulla tecnologia a registro distribuito definisce la "tecnologia a registro distribuito (DLT)" come "una tecnologia che consente il funzionamento e l'uso dei registri distribuiti"; che l'articolo 2, paragrafo 2, definisce un "registro distribuito" come "un archivio di informazioni in cui sono registrate le operazioni e che è condiviso da una serie di nodi di rete DLT ed è sincronizzato tra di essi, mediante l'utilizzo di un meccanismo di consenso";</w:t>
      </w:r>
    </w:p>
    <w:p w14:paraId="7578DA67" w14:textId="2CF2230D" w:rsidR="004B4BC7" w:rsidRPr="000421B7" w:rsidRDefault="004B4BC7" w:rsidP="004B4BC7">
      <w:pPr>
        <w:pStyle w:val="NormalHanging"/>
      </w:pPr>
      <w:r w:rsidRPr="000421B7">
        <w:t>F.</w:t>
      </w:r>
      <w:r w:rsidRPr="000421B7">
        <w:tab/>
        <w:t>considerando che il regolamento (UE) 2023/1114 relativo ai mercati delle cripto-attività</w:t>
      </w:r>
      <w:r w:rsidR="00F44F75" w:rsidRPr="000421B7">
        <w:rPr>
          <w:rStyle w:val="FootnoteReference"/>
        </w:rPr>
        <w:footnoteReference w:id="4"/>
      </w:r>
      <w:r w:rsidRPr="000421B7">
        <w:t xml:space="preserve"> (regolamento </w:t>
      </w:r>
      <w:proofErr w:type="spellStart"/>
      <w:r w:rsidRPr="000421B7">
        <w:t>MiCA</w:t>
      </w:r>
      <w:proofErr w:type="spellEnd"/>
      <w:r w:rsidRPr="000421B7">
        <w:t>) istituisce un quadro armonizzato a livello dell'UE per le cripto-attività distinguendo tre categorie principali, vale a dire i token di moneta elettronica, che mirano a mantenere un valore stabile facendo riferimento a un'unica valuta ufficiale, i token collegati ad attività, che mirano a mantenere un valore stabile facendo riferimento a un altro valore o diritto o a una combinazione dei due, comprese una o più valute ufficiali, e le altre cripto-attività, che sono una rappresentazione digitale di un valore o di un diritto che può essere trasferito e memorizzato elettronicamente utilizzando la tecnologia a registro distribuito o una tecnologia analoga e che non rientrano nelle altre categorie;</w:t>
      </w:r>
    </w:p>
    <w:p w14:paraId="385F92DC" w14:textId="77777777" w:rsidR="004B4BC7" w:rsidRPr="000421B7" w:rsidRDefault="004B4BC7" w:rsidP="004B4BC7">
      <w:pPr>
        <w:pStyle w:val="NormalHanging"/>
      </w:pPr>
      <w:r w:rsidRPr="000421B7">
        <w:t>G.</w:t>
      </w:r>
      <w:r w:rsidRPr="000421B7">
        <w:tab/>
        <w:t xml:space="preserve">considerando che il regolamento </w:t>
      </w:r>
      <w:proofErr w:type="spellStart"/>
      <w:r w:rsidRPr="000421B7">
        <w:t>MiCA</w:t>
      </w:r>
      <w:proofErr w:type="spellEnd"/>
      <w:r w:rsidRPr="000421B7">
        <w:t xml:space="preserve"> esclude dal proprio ambito di applicazione, a norma dell'articolo 2, paragrafo 4, le cripto-attività che rientrano nella definizione di strumenti finanziari, depositi, fondi, cartolarizzazioni o prodotti assicurativi o pensionistici ai sensi dell'attuale diritto dell'UE, così garantendo che tali cripto-attività rimangano soggette ai pertinenti quadri legislativi settoriali e riflettendo il modello di vigilanza per prodotto previsto dalla legislazione dell'UE in materia di servizi finanziari;</w:t>
      </w:r>
    </w:p>
    <w:p w14:paraId="4591DC10" w14:textId="77777777" w:rsidR="004B4BC7" w:rsidRPr="000421B7" w:rsidRDefault="004B4BC7" w:rsidP="004B4BC7">
      <w:pPr>
        <w:pStyle w:val="NormalHanging"/>
      </w:pPr>
      <w:r w:rsidRPr="000421B7">
        <w:t>H.</w:t>
      </w:r>
      <w:r w:rsidRPr="000421B7">
        <w:tab/>
        <w:t xml:space="preserve">considerando che la nuova amministrazione statunitense è significativamente più aperta </w:t>
      </w:r>
      <w:r w:rsidRPr="000421B7">
        <w:lastRenderedPageBreak/>
        <w:t xml:space="preserve">nei confronti delle cripto-attività, il che ha portato all'adozione di atti legislativi fondamentali e di un approccio più indulgente da parte delle autorità di vigilanza nell'applicazione delle norme; che negli Stati Uniti l'approccio normativo è ancora in fase di elaborazione e che i responsabili politici e le autorità di regolamentazione statunitensi utilizzano in generale l'espressione "attività digitali", comunemente intesa come comprendente le rappresentazioni crittografiche digitali di valore o diritti garantiti in un registro distribuito, tra cui le criptovalute, gli </w:t>
      </w:r>
      <w:proofErr w:type="spellStart"/>
      <w:r w:rsidRPr="000421B7">
        <w:t>stablecoin</w:t>
      </w:r>
      <w:proofErr w:type="spellEnd"/>
      <w:r w:rsidRPr="000421B7">
        <w:t xml:space="preserve"> e alcuni strumenti tokenizzati;</w:t>
      </w:r>
    </w:p>
    <w:p w14:paraId="07B41900" w14:textId="77777777" w:rsidR="004B4BC7" w:rsidRPr="000421B7" w:rsidRDefault="004B4BC7" w:rsidP="004B4BC7">
      <w:pPr>
        <w:pStyle w:val="Normal12a"/>
      </w:pPr>
      <w:r w:rsidRPr="000421B7">
        <w:rPr>
          <w:b/>
          <w:i/>
        </w:rPr>
        <w:t>Panoramica</w:t>
      </w:r>
    </w:p>
    <w:p w14:paraId="232FB78B" w14:textId="77777777" w:rsidR="004B4BC7" w:rsidRPr="000421B7" w:rsidRDefault="004B4BC7" w:rsidP="004B4BC7">
      <w:pPr>
        <w:pStyle w:val="NormalHanging12a"/>
      </w:pPr>
      <w:r w:rsidRPr="000421B7">
        <w:t>1.</w:t>
      </w:r>
      <w:r w:rsidRPr="000421B7">
        <w:tab/>
        <w:t>sostiene l'obiettivo a lungo termine di istituire un quadro normativo dell'UE per i servizi finanziari sulla base di un approccio sistemico fondato sulle attività e tecnologicamente neutro;</w:t>
      </w:r>
    </w:p>
    <w:p w14:paraId="78A11F37" w14:textId="77777777" w:rsidR="004B4BC7" w:rsidRPr="000421B7" w:rsidRDefault="004B4BC7" w:rsidP="004B4BC7">
      <w:pPr>
        <w:pStyle w:val="NormalHanging12a"/>
      </w:pPr>
      <w:r w:rsidRPr="000421B7">
        <w:t>2.</w:t>
      </w:r>
      <w:r w:rsidRPr="000421B7">
        <w:tab/>
        <w:t>sottolinea che le DLT e la tokenizzazione delle attività possono contribuire a promuovere gli obiettivi dell'Unione del risparmio e degli investimenti agevolando gli investimenti transfrontalieri, riducendo la frammentazione del mercato e rendendo possibile la creazione di infrastrutture del mercato dei capitali più efficienti e inclusive in tutta l'UE; evidenzia il ruolo cruciale dell'interoperabilità;</w:t>
      </w:r>
    </w:p>
    <w:p w14:paraId="58378B5F" w14:textId="77777777" w:rsidR="004B4BC7" w:rsidRPr="000421B7" w:rsidRDefault="004B4BC7" w:rsidP="004B4BC7">
      <w:pPr>
        <w:pStyle w:val="NormalHanging12a"/>
      </w:pPr>
      <w:r w:rsidRPr="000421B7">
        <w:t>3.</w:t>
      </w:r>
      <w:r w:rsidRPr="000421B7">
        <w:tab/>
        <w:t xml:space="preserve">sottolinea che la comparsa di nuove tecnologie nel settore finanziario comporta nuove sfide per il quadro normativo e di vigilanza; constata la diversità delle attività digitali e riconosce che i rischi e il potenziale commerciale a esse associati variano da una categoria all'altra; afferma il suo impegno a favore di una revisione mirata dei quadri normativi dell'UE al fine di sviluppare mercati dei capitali e infrastrutture di pagamento dell'UE solidi e compatibili con le attività digitali; esorta la Commissione a valutare la necessità e la fattibilità di una regolamentazione dell'erogazione e dell'assunzione di prestiti di cripto-attività nell'ambito del regolamento </w:t>
      </w:r>
      <w:proofErr w:type="spellStart"/>
      <w:r w:rsidRPr="000421B7">
        <w:t>MiCA</w:t>
      </w:r>
      <w:proofErr w:type="spellEnd"/>
      <w:r w:rsidRPr="000421B7">
        <w:t xml:space="preserve">, anche per quanto riguarda lo </w:t>
      </w:r>
      <w:proofErr w:type="spellStart"/>
      <w:r w:rsidRPr="000421B7">
        <w:t>staking</w:t>
      </w:r>
      <w:proofErr w:type="spellEnd"/>
      <w:r w:rsidRPr="000421B7">
        <w:t>, i token non fungibili e la finanza decentrata;</w:t>
      </w:r>
    </w:p>
    <w:p w14:paraId="65EAA83B" w14:textId="77777777" w:rsidR="004B4BC7" w:rsidRPr="000421B7" w:rsidRDefault="004B4BC7" w:rsidP="004B4BC7">
      <w:pPr>
        <w:pStyle w:val="NormalHanging12a"/>
      </w:pPr>
      <w:r w:rsidRPr="000421B7">
        <w:t>4.</w:t>
      </w:r>
      <w:r w:rsidRPr="000421B7">
        <w:tab/>
        <w:t>evidenzia le potenziali capacità di innovazione e connettività dei registri distribuiti crittograficamente protetti e di tecnologie analoghe per l'infrastruttura dei servizi finanziari, sia all'interno dell'UE che per il suo ruolo a livello mondiale; sottolinea che un contesto normativo prevedibile e favorevole all'innovazione sarà essenziale per garantire che gli investimenti e lo sviluppo tecnologico rimangano all'interno dell'UE e per promuovere la competitività e la fiducia nelle infrastrutture finanziarie denominate in euro;</w:t>
      </w:r>
    </w:p>
    <w:p w14:paraId="7644CEC6" w14:textId="77777777" w:rsidR="004B4BC7" w:rsidRPr="000421B7" w:rsidRDefault="004B4BC7" w:rsidP="004B4BC7">
      <w:pPr>
        <w:pStyle w:val="Normal12a"/>
      </w:pPr>
      <w:r w:rsidRPr="000421B7">
        <w:rPr>
          <w:b/>
          <w:i/>
        </w:rPr>
        <w:t>Cripto-attività</w:t>
      </w:r>
    </w:p>
    <w:p w14:paraId="48BD7EFC" w14:textId="1CE1A24B" w:rsidR="004B4BC7" w:rsidRPr="000421B7" w:rsidRDefault="004B4BC7" w:rsidP="004B4BC7">
      <w:pPr>
        <w:pStyle w:val="NormalHanging12a"/>
      </w:pPr>
      <w:r w:rsidRPr="000421B7">
        <w:t>5.</w:t>
      </w:r>
      <w:r w:rsidRPr="000421B7">
        <w:tab/>
        <w:t xml:space="preserve">riconosce che l'UE è stata, con il regolamento </w:t>
      </w:r>
      <w:proofErr w:type="spellStart"/>
      <w:r w:rsidRPr="000421B7">
        <w:t>MiCA</w:t>
      </w:r>
      <w:proofErr w:type="spellEnd"/>
      <w:r w:rsidRPr="000421B7">
        <w:t xml:space="preserve">, una delle prime giurisdizioni ad adottare e attuare un regime specifico per le cripto-attività e ad applicare la tecnologia DLT nel settore finanziario; invita la Commissione, in stretta collaborazione con l'ABE, l'ESMA, l'Autorità per la lotta al riciclaggio e al finanziamento del terrorismo (AMLA) e le autorità nazionali competenti, a garantire l'efficace applicazione del regolamento </w:t>
      </w:r>
      <w:proofErr w:type="spellStart"/>
      <w:r w:rsidRPr="000421B7">
        <w:t>MiCA</w:t>
      </w:r>
      <w:proofErr w:type="spellEnd"/>
      <w:r w:rsidRPr="000421B7">
        <w:t xml:space="preserve">; invita gli Stati membri ad astenersi dall'introdurre requisiti e responsabilità </w:t>
      </w:r>
      <w:r w:rsidRPr="000421B7">
        <w:lastRenderedPageBreak/>
        <w:t xml:space="preserve">supplementari che vadano oltre al quadro previsto dal regolamento </w:t>
      </w:r>
      <w:proofErr w:type="spellStart"/>
      <w:r w:rsidRPr="000421B7">
        <w:t>MiCA</w:t>
      </w:r>
      <w:proofErr w:type="spellEnd"/>
      <w:r w:rsidRPr="000421B7">
        <w:t xml:space="preserve"> o dal regolamento sui trasferimenti di fondi</w:t>
      </w:r>
      <w:r w:rsidR="00F44F75" w:rsidRPr="000421B7">
        <w:rPr>
          <w:rStyle w:val="FootnoteReference"/>
        </w:rPr>
        <w:footnoteReference w:id="5"/>
      </w:r>
      <w:r w:rsidRPr="000421B7">
        <w:t>;</w:t>
      </w:r>
    </w:p>
    <w:p w14:paraId="28BD6988" w14:textId="77777777" w:rsidR="004B4BC7" w:rsidRPr="000421B7" w:rsidRDefault="004B4BC7" w:rsidP="004B4BC7">
      <w:pPr>
        <w:pStyle w:val="NormalHanging12a"/>
      </w:pPr>
      <w:r w:rsidRPr="000421B7">
        <w:t>6.</w:t>
      </w:r>
      <w:r w:rsidRPr="000421B7">
        <w:tab/>
        <w:t>sottolinea l'importanza di rafforzare le capacità in materia di dati, in particolare per quanto riguarda la leva finanziaria nel settore delle cripto-attività e le interconnessioni con il settore degli istituti finanziari non bancari; esorta la Commissione a continuare a monitorare l'interconnessione tra le cripto-attività e il sistema finanziario; osserva che le cripto-attività non garantite possono essere soggette a maggiori rischi e volatilità;</w:t>
      </w:r>
    </w:p>
    <w:p w14:paraId="05865409" w14:textId="77777777" w:rsidR="004B4BC7" w:rsidRPr="000421B7" w:rsidRDefault="004B4BC7" w:rsidP="004B4BC7">
      <w:pPr>
        <w:pStyle w:val="NormalHanging12a"/>
      </w:pPr>
      <w:r w:rsidRPr="000421B7">
        <w:t>7.</w:t>
      </w:r>
      <w:r w:rsidRPr="000421B7">
        <w:tab/>
        <w:t xml:space="preserve">invita l'ABE, l'ESMA, l'AMLA, l'Autorità europea delle assicurazioni e delle pensioni aziendali e professionali, le autorità nazionali competenti, la BCE e il CERS a rafforzare il dialogo in materia di vigilanza sui grandi gruppi multifunzionali; evidenzia la necessità di armonizzare il quadro strategico del regolamento </w:t>
      </w:r>
      <w:proofErr w:type="spellStart"/>
      <w:r w:rsidRPr="000421B7">
        <w:t>MiCA</w:t>
      </w:r>
      <w:proofErr w:type="spellEnd"/>
      <w:r w:rsidRPr="000421B7">
        <w:t xml:space="preserve"> per i grandi gruppi multifunzionali non bancari;</w:t>
      </w:r>
    </w:p>
    <w:p w14:paraId="0D5297A4" w14:textId="77777777" w:rsidR="004B4BC7" w:rsidRPr="000421B7" w:rsidRDefault="004B4BC7" w:rsidP="004B4BC7">
      <w:pPr>
        <w:pStyle w:val="NormalHanging12a"/>
      </w:pPr>
      <w:r w:rsidRPr="000421B7">
        <w:t>8.</w:t>
      </w:r>
      <w:r w:rsidRPr="000421B7">
        <w:tab/>
        <w:t xml:space="preserve">riconosce che le DLT sollevano nuove questioni di natura tecnologica e operativa per le autorità di vigilanza finanziaria, in particolare per quanto riguarda la sicurezza dei contratti intelligenti, la governance delle reti decentrate, la </w:t>
      </w:r>
      <w:proofErr w:type="spellStart"/>
      <w:r w:rsidRPr="000421B7">
        <w:t>ciberresilienza</w:t>
      </w:r>
      <w:proofErr w:type="spellEnd"/>
      <w:r w:rsidRPr="000421B7">
        <w:t xml:space="preserve"> e la gestione del rischio operativo; invita le autorità di vigilanza a sviluppare competenze tecniche sufficienti per comprendere e monitorare efficacemente queste infrastrutture di mercato emergenti;</w:t>
      </w:r>
    </w:p>
    <w:p w14:paraId="34903529" w14:textId="77777777" w:rsidR="004B4BC7" w:rsidRPr="000421B7" w:rsidRDefault="004B4BC7" w:rsidP="004B4BC7">
      <w:pPr>
        <w:pStyle w:val="NormalHanging12a"/>
      </w:pPr>
      <w:r w:rsidRPr="000421B7">
        <w:t>9.</w:t>
      </w:r>
      <w:r w:rsidRPr="000421B7">
        <w:tab/>
        <w:t>esprime preoccupazione rispetto al ruolo svolto dalle cripto-attività nell'elusione delle normative e delle sanzioni in materia di lotta al riciclaggio e al finanziamento del terrorismo; sottolinea l'importanza di rafforzare gli strumenti di vigilanza, l'applicazione e le norme di conformità per far fronte ai rischi legati alla lotta al riciclaggio di denaro e al finanziamento del terrorismo, comprese norme efficaci sulla conoscenza del proprio cliente e il monitoraggio dei pagamenti; evidenzia che è importante che le autorità investigative utilizzino la tecnologia alla base delle cripto-attività per scoraggiare i reati legati alle cripto-attività e collaborino tra loro per bloccare le transazioni illegali individuate o segnalate;</w:t>
      </w:r>
    </w:p>
    <w:p w14:paraId="1B5443C8" w14:textId="77777777" w:rsidR="004B4BC7" w:rsidRPr="000421B7" w:rsidRDefault="004B4BC7" w:rsidP="004B4BC7">
      <w:pPr>
        <w:pStyle w:val="NormalHanging12a"/>
      </w:pPr>
      <w:r w:rsidRPr="000421B7">
        <w:t>10.</w:t>
      </w:r>
      <w:r w:rsidRPr="000421B7">
        <w:tab/>
        <w:t>rileva la comparsa di prodotti ibridi che combinano caratteristiche delle cripto-attività e degli strumenti finanziari tradizionali e che potrebbero generare incertezza giuridica;</w:t>
      </w:r>
    </w:p>
    <w:p w14:paraId="0AB919FD" w14:textId="77777777" w:rsidR="004B4BC7" w:rsidRPr="000421B7" w:rsidRDefault="004B4BC7" w:rsidP="004B4BC7">
      <w:pPr>
        <w:pStyle w:val="Normal12a"/>
      </w:pPr>
      <w:r w:rsidRPr="000421B7">
        <w:rPr>
          <w:b/>
          <w:i/>
        </w:rPr>
        <w:t>Tokenizzazione degli strumenti finanziari</w:t>
      </w:r>
    </w:p>
    <w:p w14:paraId="7A26B993" w14:textId="77777777" w:rsidR="004B4BC7" w:rsidRPr="000421B7" w:rsidRDefault="004B4BC7" w:rsidP="004B4BC7">
      <w:pPr>
        <w:pStyle w:val="NormalHanging12a"/>
      </w:pPr>
      <w:r w:rsidRPr="000421B7">
        <w:t>11.</w:t>
      </w:r>
      <w:r w:rsidRPr="000421B7">
        <w:tab/>
        <w:t>osserva che il considerando 3 del regolamento (UE) 2022/858 definisce la "tokenizzazione" degli strumenti finanziari come la rappresentazione digitale di strumenti finanziari nei registri distribuiti o l'emissione di categorie di attività tradizionali in formato tokenizzato per consentirne l'emissione, la custodia e il trasferimento in un registro distribuito;</w:t>
      </w:r>
    </w:p>
    <w:p w14:paraId="3AAA4539" w14:textId="77777777" w:rsidR="004B4BC7" w:rsidRPr="000421B7" w:rsidRDefault="004B4BC7" w:rsidP="004B4BC7">
      <w:pPr>
        <w:pStyle w:val="NormalHanging12a"/>
      </w:pPr>
      <w:r w:rsidRPr="000421B7">
        <w:t>12.</w:t>
      </w:r>
      <w:r w:rsidRPr="000421B7">
        <w:tab/>
        <w:t xml:space="preserve">evidenzia che la tokenizzazione delle attività finanziarie non altera di per sé la natura giuridica o le caratteristiche economiche fondamentali di tali attività; sottolinea che gli strumenti finanziari tokenizzati devono garantire diritti equivalenti a quelli connessi ai </w:t>
      </w:r>
      <w:r w:rsidRPr="000421B7">
        <w:lastRenderedPageBreak/>
        <w:t>titoli tradizionali, al fine di prevenire l'arbitraggio normativo e assicurare la tutela degli investitori;</w:t>
      </w:r>
    </w:p>
    <w:p w14:paraId="312E6942" w14:textId="77777777" w:rsidR="004B4BC7" w:rsidRPr="000421B7" w:rsidRDefault="004B4BC7" w:rsidP="004B4BC7">
      <w:pPr>
        <w:pStyle w:val="NormalHanging12a"/>
      </w:pPr>
      <w:r w:rsidRPr="000421B7">
        <w:t>13.</w:t>
      </w:r>
      <w:r w:rsidRPr="000421B7">
        <w:tab/>
        <w:t>accoglie con favore i potenziali vantaggi offerti della tokenizzazione per la negoziazione di attività finanziarie, tra cui una maggiore efficienza e trasparenza, la riduzione del rischio di controparte e dei costi operativi, l'uso di contratti intelligenti e una maggiore liquidità grazie alla proprietà frazionata, rilevando allo stesso tempo la necessità di monitorarne le vulnerabilità;</w:t>
      </w:r>
    </w:p>
    <w:p w14:paraId="5C88E2BD" w14:textId="77777777" w:rsidR="004B4BC7" w:rsidRPr="000421B7" w:rsidRDefault="004B4BC7" w:rsidP="004B4BC7">
      <w:pPr>
        <w:pStyle w:val="NormalHanging12a"/>
      </w:pPr>
      <w:r w:rsidRPr="000421B7">
        <w:t>14.</w:t>
      </w:r>
      <w:r w:rsidRPr="000421B7">
        <w:tab/>
        <w:t>esorta la Commissione ad agevolare e incoraggiare la tokenizzazione in tutti i servizi finanziari, ponendo l'accento sull'interoperabilità e prevenendo la frammentazione attraverso il rispetto delle norme all'interno del mercato unico e la messa a disposizione di infrastrutture;</w:t>
      </w:r>
    </w:p>
    <w:p w14:paraId="0A6F5DBB" w14:textId="77777777" w:rsidR="004B4BC7" w:rsidRPr="000421B7" w:rsidRDefault="004B4BC7" w:rsidP="004B4BC7">
      <w:pPr>
        <w:pStyle w:val="NormalHanging12a"/>
      </w:pPr>
      <w:r w:rsidRPr="000421B7">
        <w:t>15.</w:t>
      </w:r>
      <w:r w:rsidRPr="000421B7">
        <w:tab/>
        <w:t xml:space="preserve">riconosce gli sforzi profusi dalla BCE per fornire soluzioni, tra cui un'infrastruttura che offra un'opzione per la valuta digitale della banca centrale per l'uso all'ingrosso grazie a cui sia possibile regolare la parte "contante" e "attività" all'interno di un registro condiviso, a integrazione dei depositi tokenizzati delle banche commerciali e degli </w:t>
      </w:r>
      <w:proofErr w:type="spellStart"/>
      <w:r w:rsidRPr="000421B7">
        <w:t>stablecoin</w:t>
      </w:r>
      <w:proofErr w:type="spellEnd"/>
      <w:r w:rsidRPr="000421B7">
        <w:t>;</w:t>
      </w:r>
    </w:p>
    <w:p w14:paraId="6D6B8614" w14:textId="77777777" w:rsidR="004B4BC7" w:rsidRPr="000421B7" w:rsidRDefault="004B4BC7" w:rsidP="004B4BC7">
      <w:pPr>
        <w:pStyle w:val="NormalHanging12a"/>
      </w:pPr>
      <w:r w:rsidRPr="000421B7">
        <w:t>16.</w:t>
      </w:r>
      <w:r w:rsidRPr="000421B7">
        <w:tab/>
        <w:t>mette in evidenza le potenzialità del mercato europeo tokenizzato in termini di connettività globale; sottolinea l'importanza della cooperazione internazionale al fine di armonizzare i criteri, i principi e le norme di categorizzazione; sostiene il lavoro svolto dalla BRI nelle iniziative di collaborazione transfrontaliera in materia di pagamenti;</w:t>
      </w:r>
    </w:p>
    <w:p w14:paraId="5103A17B" w14:textId="77777777" w:rsidR="004B4BC7" w:rsidRPr="000421B7" w:rsidRDefault="004B4BC7" w:rsidP="004B4BC7">
      <w:pPr>
        <w:pStyle w:val="NormalHanging12a"/>
      </w:pPr>
      <w:r w:rsidRPr="000421B7">
        <w:t>17.</w:t>
      </w:r>
      <w:r w:rsidRPr="000421B7">
        <w:tab/>
        <w:t>accoglie con favore le discussioni in corso sul regime pilota DLT nell'ambito del pacchetto sull'integrazione dei mercati e la vigilanza;</w:t>
      </w:r>
    </w:p>
    <w:p w14:paraId="1356BB09" w14:textId="77777777" w:rsidR="004B4BC7" w:rsidRPr="000421B7" w:rsidRDefault="004B4BC7" w:rsidP="004B4BC7">
      <w:pPr>
        <w:pStyle w:val="Normal12a"/>
      </w:pPr>
      <w:proofErr w:type="spellStart"/>
      <w:r w:rsidRPr="000421B7">
        <w:rPr>
          <w:b/>
          <w:i/>
        </w:rPr>
        <w:t>Stablecoin</w:t>
      </w:r>
      <w:proofErr w:type="spellEnd"/>
    </w:p>
    <w:p w14:paraId="01520976" w14:textId="77777777" w:rsidR="004B4BC7" w:rsidRPr="000421B7" w:rsidRDefault="004B4BC7" w:rsidP="004B4BC7">
      <w:pPr>
        <w:pStyle w:val="NormalHanging12a"/>
      </w:pPr>
      <w:r w:rsidRPr="000421B7">
        <w:t>18.</w:t>
      </w:r>
      <w:r w:rsidRPr="000421B7">
        <w:tab/>
        <w:t xml:space="preserve">osserva che, conformemente al quadro giuridico del regolamento </w:t>
      </w:r>
      <w:proofErr w:type="spellStart"/>
      <w:r w:rsidRPr="000421B7">
        <w:t>MiCA</w:t>
      </w:r>
      <w:proofErr w:type="spellEnd"/>
      <w:r w:rsidRPr="000421B7">
        <w:t xml:space="preserve">, gli </w:t>
      </w:r>
      <w:proofErr w:type="spellStart"/>
      <w:r w:rsidRPr="000421B7">
        <w:t>stablecoin</w:t>
      </w:r>
      <w:proofErr w:type="spellEnd"/>
      <w:r w:rsidRPr="000421B7">
        <w:t xml:space="preserve"> possono rientrare in due categorie, vale a dire i token collegati ad attività e i token di moneta elettronica;</w:t>
      </w:r>
    </w:p>
    <w:p w14:paraId="4341A864" w14:textId="77777777" w:rsidR="004B4BC7" w:rsidRPr="000421B7" w:rsidRDefault="004B4BC7" w:rsidP="004B4BC7">
      <w:pPr>
        <w:pStyle w:val="NormalHanging12a"/>
      </w:pPr>
      <w:r w:rsidRPr="000421B7">
        <w:t>19.</w:t>
      </w:r>
      <w:r w:rsidRPr="000421B7">
        <w:tab/>
        <w:t xml:space="preserve">osserva che gli </w:t>
      </w:r>
      <w:proofErr w:type="spellStart"/>
      <w:r w:rsidRPr="000421B7">
        <w:t>stablecoin</w:t>
      </w:r>
      <w:proofErr w:type="spellEnd"/>
      <w:r w:rsidRPr="000421B7">
        <w:t xml:space="preserve"> sono una forma di creazione di moneta privata e che la loro funzione economica presenta analogie con l'ancoraggio del tasso di cambio, i fondi comuni monetari e le "</w:t>
      </w:r>
      <w:proofErr w:type="spellStart"/>
      <w:r w:rsidRPr="000421B7">
        <w:t>narrow</w:t>
      </w:r>
      <w:proofErr w:type="spellEnd"/>
      <w:r w:rsidRPr="000421B7">
        <w:t xml:space="preserve"> bank"; sottolinea, tuttavia, che il regolamento </w:t>
      </w:r>
      <w:proofErr w:type="spellStart"/>
      <w:r w:rsidRPr="000421B7">
        <w:t>MiCA</w:t>
      </w:r>
      <w:proofErr w:type="spellEnd"/>
      <w:r w:rsidRPr="000421B7">
        <w:t xml:space="preserve"> vieta agli emittenti di token di moneta elettronica e ai prestatori di servizi per le cripto-attività di concedere, direttamente o indirettamente, interessi in relazione ai token di moneta elettronica e che gli </w:t>
      </w:r>
      <w:proofErr w:type="spellStart"/>
      <w:r w:rsidRPr="000421B7">
        <w:t>stablecoin</w:t>
      </w:r>
      <w:proofErr w:type="spellEnd"/>
      <w:r w:rsidRPr="000421B7">
        <w:t xml:space="preserve"> non hanno accesso diretto alle banche centrali e i loro possessori non sono coperti da sistemi di garanzia dei depositi; rileva i rischi di svalutazione o di disancoraggio e di disintermediazione associati agli </w:t>
      </w:r>
      <w:proofErr w:type="spellStart"/>
      <w:r w:rsidRPr="000421B7">
        <w:t>stablecoin</w:t>
      </w:r>
      <w:proofErr w:type="spellEnd"/>
      <w:r w:rsidRPr="000421B7">
        <w:t>;</w:t>
      </w:r>
    </w:p>
    <w:p w14:paraId="42881EE7" w14:textId="28D4BEC3" w:rsidR="009B02FB" w:rsidRPr="000421B7" w:rsidRDefault="00F0264D" w:rsidP="004B4BC7">
      <w:pPr>
        <w:pStyle w:val="NormalHanging12a"/>
      </w:pPr>
      <w:r w:rsidRPr="000421B7">
        <w:t>20</w:t>
      </w:r>
      <w:r w:rsidR="009B02FB" w:rsidRPr="000421B7">
        <w:t>.</w:t>
      </w:r>
      <w:r w:rsidR="009B02FB" w:rsidRPr="000421B7">
        <w:tab/>
        <w:t xml:space="preserve">prende atto con preoccupazione della continua e rapida espansione e del predominio degli </w:t>
      </w:r>
      <w:proofErr w:type="spellStart"/>
      <w:r w:rsidR="009B02FB" w:rsidRPr="000421B7">
        <w:t>stablecoin</w:t>
      </w:r>
      <w:proofErr w:type="spellEnd"/>
      <w:r w:rsidR="009B02FB" w:rsidRPr="000421B7">
        <w:t xml:space="preserve"> denominati in dollari statunitensi, il che potrebbe indebolire la sovranità monetaria dell'UE, aumentare i rischi per la stabilità finanziaria, compromettere la trasmissione della politica monetaria e aggravare le dipendenze esterne nei pagamenti;</w:t>
      </w:r>
    </w:p>
    <w:p w14:paraId="48E5EAD5" w14:textId="0034E8A9" w:rsidR="004B4BC7" w:rsidRPr="000421B7" w:rsidRDefault="00F0264D" w:rsidP="004B4BC7">
      <w:pPr>
        <w:pStyle w:val="NormalHanging12a"/>
      </w:pPr>
      <w:r w:rsidRPr="000421B7">
        <w:t>21</w:t>
      </w:r>
      <w:r w:rsidR="004B4BC7" w:rsidRPr="000421B7">
        <w:t>.</w:t>
      </w:r>
      <w:r w:rsidR="004B4BC7" w:rsidRPr="000421B7">
        <w:tab/>
        <w:t xml:space="preserve">accoglie con favore la comparsa di token di moneta elettronica denominati in euro nell'ambito del regolamento </w:t>
      </w:r>
      <w:proofErr w:type="spellStart"/>
      <w:r w:rsidR="004B4BC7" w:rsidRPr="000421B7">
        <w:t>MiCA</w:t>
      </w:r>
      <w:proofErr w:type="spellEnd"/>
      <w:r w:rsidR="004B4BC7" w:rsidRPr="000421B7">
        <w:t xml:space="preserve"> e ne incoraggia lo sviluppo al fine di promuovere l'innovazione dei pagamenti nell'UE, la competitività dei mercati finanziari dell'Unione e il ruolo internazionale dell'euro, anche attraverso pagamenti transfrontalieri più rapidi e a costi inferiori, a integrazione dei depositi tokenizzati e alla valuta digitale della </w:t>
      </w:r>
      <w:r w:rsidR="004B4BC7" w:rsidRPr="000421B7">
        <w:lastRenderedPageBreak/>
        <w:t xml:space="preserve">banca centrale per l'uso all'ingrosso; sottolinea l'importanza di quadri armonizzati per la gestione del rischio di liquidità e delle crisi, compresi meccanismi di rimborso "a cascata" e obblighi di separazione delle riserve; osserva che la BCE sostiene che gli </w:t>
      </w:r>
      <w:proofErr w:type="spellStart"/>
      <w:r w:rsidR="004B4BC7" w:rsidRPr="000421B7">
        <w:t>stablecoin</w:t>
      </w:r>
      <w:proofErr w:type="spellEnd"/>
      <w:r w:rsidR="004B4BC7" w:rsidRPr="000421B7">
        <w:t xml:space="preserve"> non denominati in euro possono comportare rischi per la politica monetaria qualora il loro utilizzo diventi diffuso; esprime cautela rispetto l'uso improprio della clausola di "iniziativa esclusiva dei clienti";</w:t>
      </w:r>
    </w:p>
    <w:p w14:paraId="376EBEE7" w14:textId="08CE498E" w:rsidR="004B4BC7" w:rsidRPr="000421B7" w:rsidRDefault="00F0264D" w:rsidP="004B4BC7">
      <w:pPr>
        <w:pStyle w:val="NormalHanging12a"/>
      </w:pPr>
      <w:r w:rsidRPr="000421B7">
        <w:t>22</w:t>
      </w:r>
      <w:r w:rsidR="004B4BC7" w:rsidRPr="000421B7">
        <w:t>.</w:t>
      </w:r>
      <w:r w:rsidR="004B4BC7" w:rsidRPr="000421B7">
        <w:tab/>
        <w:t xml:space="preserve">riconosce la necessità di certezza giuridica nel diritto dell'UE per quanto riguarda la possibilità di emissione multipla di </w:t>
      </w:r>
      <w:proofErr w:type="spellStart"/>
      <w:r w:rsidR="004B4BC7" w:rsidRPr="000421B7">
        <w:t>stablecoin</w:t>
      </w:r>
      <w:proofErr w:type="spellEnd"/>
      <w:r w:rsidR="004B4BC7" w:rsidRPr="000421B7">
        <w:t xml:space="preserve"> da parte di un'entità dell'UE e di un'entità di un paese terzo, laddove gli </w:t>
      </w:r>
      <w:proofErr w:type="spellStart"/>
      <w:r w:rsidR="004B4BC7" w:rsidRPr="000421B7">
        <w:t>stablecoin</w:t>
      </w:r>
      <w:proofErr w:type="spellEnd"/>
      <w:r w:rsidR="004B4BC7" w:rsidRPr="000421B7">
        <w:t xml:space="preserve"> digitali emessi dalle entità siano pienamente fungibili e indistinguibili; ricorda che il CERS ha segnalato che le emissioni multiple potrebbero costituire un potenziale canale di contagio; sottolinea la necessità di garantire che il funzionamento di tali sistemi nell'UE si basi sulla certezza del diritto e su un solido quadro normativo che preveda rigorose tutele prudenziali, efficaci accordi di cooperazione e protocolli rafforzati di gestione delle crisi; sottolinea l'importanza di promuovere il coordinamento internazionale in materia di regolamentazione e vigilanza degli </w:t>
      </w:r>
      <w:proofErr w:type="spellStart"/>
      <w:r w:rsidR="004B4BC7" w:rsidRPr="000421B7">
        <w:t>stablecoin</w:t>
      </w:r>
      <w:proofErr w:type="spellEnd"/>
      <w:r w:rsidR="004B4BC7" w:rsidRPr="000421B7">
        <w:t xml:space="preserve"> globali ai fini dell'elaborazione di norme internazionali;</w:t>
      </w:r>
    </w:p>
    <w:p w14:paraId="2E9E6F5F" w14:textId="6CE87BDD" w:rsidR="004B4BC7" w:rsidRPr="000421B7" w:rsidRDefault="00F0264D" w:rsidP="004B4BC7">
      <w:pPr>
        <w:pStyle w:val="NormalHanging12a"/>
      </w:pPr>
      <w:r w:rsidRPr="000421B7">
        <w:t>23</w:t>
      </w:r>
      <w:r w:rsidR="004B4BC7" w:rsidRPr="000421B7">
        <w:t>.</w:t>
      </w:r>
      <w:r w:rsidR="004B4BC7" w:rsidRPr="000421B7">
        <w:tab/>
        <w:t>accoglie con favore l'accordo provvisorio sulle proposte di direttiva</w:t>
      </w:r>
      <w:r w:rsidR="00F44F75" w:rsidRPr="000421B7">
        <w:rPr>
          <w:rStyle w:val="FootnoteReference"/>
        </w:rPr>
        <w:footnoteReference w:id="6"/>
      </w:r>
      <w:r w:rsidR="004B4BC7" w:rsidRPr="000421B7">
        <w:t xml:space="preserve"> e regolamento</w:t>
      </w:r>
      <w:r w:rsidR="00F44F75" w:rsidRPr="000421B7">
        <w:rPr>
          <w:rStyle w:val="FootnoteReference"/>
        </w:rPr>
        <w:footnoteReference w:id="7"/>
      </w:r>
      <w:r w:rsidR="004B4BC7" w:rsidRPr="000421B7">
        <w:t xml:space="preserve"> relativi ai servizi di pagamenti e la soluzione di autorizzazione semplificata per i prestatori di servizi per le cripto-attività già autorizzati a norma del regolamento </w:t>
      </w:r>
      <w:proofErr w:type="spellStart"/>
      <w:r w:rsidR="004B4BC7" w:rsidRPr="000421B7">
        <w:t>MiCA</w:t>
      </w:r>
      <w:proofErr w:type="spellEnd"/>
      <w:r w:rsidR="004B4BC7" w:rsidRPr="000421B7">
        <w:t xml:space="preserve"> volta a evitare inutili sovrapposizioni normative; osserva che tale soluzione prevede una procedura semplificata pur mantenendo adeguati controlli dei rischi e fornendo solo i servizi specificati nella domanda;</w:t>
      </w:r>
    </w:p>
    <w:p w14:paraId="0F2365FB" w14:textId="77777777" w:rsidR="004B4BC7" w:rsidRPr="000421B7" w:rsidRDefault="004B4BC7" w:rsidP="004B4BC7">
      <w:pPr>
        <w:pStyle w:val="Normal12a"/>
      </w:pPr>
      <w:r w:rsidRPr="000421B7">
        <w:rPr>
          <w:b/>
          <w:i/>
        </w:rPr>
        <w:t>Considerazioni trasversali</w:t>
      </w:r>
    </w:p>
    <w:p w14:paraId="5C0C192F" w14:textId="2DE4CD1B" w:rsidR="004B4BC7" w:rsidRPr="000421B7" w:rsidRDefault="00F0264D" w:rsidP="004B4BC7">
      <w:pPr>
        <w:pStyle w:val="NormalHanging12a"/>
      </w:pPr>
      <w:r w:rsidRPr="000421B7">
        <w:t>24</w:t>
      </w:r>
      <w:r w:rsidR="004B4BC7" w:rsidRPr="000421B7">
        <w:t>.</w:t>
      </w:r>
      <w:r w:rsidR="004B4BC7" w:rsidRPr="000421B7">
        <w:tab/>
        <w:t>sottolinea che nel settore della finanza digitale l'interoperabilità è fondamentale e chiede, ad esempio, un'identità portatile e credenziali verificabili quali componenti essenziali di un'infrastruttura di mercato inter-reti; sottolinea che gli approcci di tipo identificativo della persona giuridica/identificativo della persona giuridica verificabile dovrebbero essere valutati come strumenti infrastrutturali; invita la Commissione a collaborare con le organizzazioni di normazione europee e internazionali al fine di elaborare norme tecniche e protocolli comuni per le attività digitali, i contratti intelligenti e le identità digitali;</w:t>
      </w:r>
    </w:p>
    <w:p w14:paraId="572F1975" w14:textId="3D9D4ADE" w:rsidR="004B4BC7" w:rsidRPr="000421B7" w:rsidRDefault="00F0264D" w:rsidP="004B4BC7">
      <w:pPr>
        <w:pStyle w:val="NormalHanging12a"/>
      </w:pPr>
      <w:r w:rsidRPr="000421B7">
        <w:t>25</w:t>
      </w:r>
      <w:r w:rsidR="004B4BC7" w:rsidRPr="000421B7">
        <w:t>.</w:t>
      </w:r>
      <w:r w:rsidR="004B4BC7" w:rsidRPr="000421B7">
        <w:tab/>
        <w:t>accoglie con favore le discussioni in atto sull'euro digitale, comprese le misure preparative sia per l'uso al dettaglio che per quello all'ingrosso, e sostiene i progetti DLT in corso sia a breve termine (Pontes) che a lungo termine (Appia) per il regolamento in moneta di banca centrale all'ingrosso; invita la Commissione e la BCE a garantire che le future soluzioni di euro digitale siano concepite in modo da favorire l'interoperabilità con le infrastrutture DLT e assicurare la complementarità con il contante;</w:t>
      </w:r>
    </w:p>
    <w:p w14:paraId="44F0813C" w14:textId="564DFA1E" w:rsidR="004B4BC7" w:rsidRPr="000421B7" w:rsidRDefault="00F0264D" w:rsidP="004B4BC7">
      <w:pPr>
        <w:pStyle w:val="NormalHanging12a"/>
      </w:pPr>
      <w:r w:rsidRPr="000421B7">
        <w:lastRenderedPageBreak/>
        <w:t>26</w:t>
      </w:r>
      <w:r w:rsidR="004B4BC7" w:rsidRPr="000421B7">
        <w:t>.</w:t>
      </w:r>
      <w:r w:rsidR="004B4BC7" w:rsidRPr="000421B7">
        <w:tab/>
        <w:t>deplora la dipendenza dell'UE da fornitori di servizi di paesi terzi per le infrastrutture DLT; sottolinea che il trattamento delle attività digitali da parte dell'amministrazione statunitense dovrebbe essere monitorato con attenzione;</w:t>
      </w:r>
    </w:p>
    <w:p w14:paraId="599AAB91" w14:textId="08813814" w:rsidR="004B4BC7" w:rsidRPr="000421B7" w:rsidRDefault="00F0264D" w:rsidP="004B4BC7">
      <w:pPr>
        <w:pStyle w:val="NormalHanging12a"/>
      </w:pPr>
      <w:r w:rsidRPr="000421B7">
        <w:t>27</w:t>
      </w:r>
      <w:r w:rsidR="004B4BC7" w:rsidRPr="000421B7">
        <w:t>.</w:t>
      </w:r>
      <w:r w:rsidR="004B4BC7" w:rsidRPr="000421B7">
        <w:tab/>
        <w:t>prende atto delle discussioni in corso sulla vigilanza dei prestatori di servizi per le cripto-attività, con particolare riferimento al ruolo dell'ESMA nell'ambito del pacchetto sull'integrazione dei mercati e la vigilanza;</w:t>
      </w:r>
    </w:p>
    <w:p w14:paraId="1DB4D28A" w14:textId="77777777" w:rsidR="004B4BC7" w:rsidRPr="000421B7" w:rsidRDefault="004B4BC7" w:rsidP="004B4BC7">
      <w:pPr>
        <w:pStyle w:val="NormalCenter12a"/>
      </w:pPr>
      <w:r w:rsidRPr="000421B7">
        <w:t>°</w:t>
      </w:r>
    </w:p>
    <w:p w14:paraId="3CFDAB16" w14:textId="77777777" w:rsidR="004B4BC7" w:rsidRPr="000421B7" w:rsidRDefault="004B4BC7" w:rsidP="004B4BC7">
      <w:pPr>
        <w:pStyle w:val="NormalCenter12a"/>
      </w:pPr>
      <w:r w:rsidRPr="000421B7">
        <w:t>°</w:t>
      </w:r>
      <w:r w:rsidRPr="000421B7">
        <w:tab/>
        <w:t>°</w:t>
      </w:r>
    </w:p>
    <w:p w14:paraId="79A33650" w14:textId="20C544CF" w:rsidR="00E365E1" w:rsidRPr="000421B7" w:rsidRDefault="00F0264D" w:rsidP="000421B7">
      <w:pPr>
        <w:pStyle w:val="NormalHanging12a"/>
      </w:pPr>
      <w:r w:rsidRPr="000421B7">
        <w:t>28</w:t>
      </w:r>
      <w:r w:rsidR="004B4BC7" w:rsidRPr="000421B7">
        <w:t>.</w:t>
      </w:r>
      <w:r w:rsidR="004B4BC7" w:rsidRPr="000421B7">
        <w:tab/>
        <w:t>incarica la sua Presidente di trasmettere la presente risoluzione al Consiglio e alla Commissione.</w:t>
      </w:r>
    </w:p>
    <w:sectPr w:rsidR="00E365E1" w:rsidRPr="000421B7" w:rsidSect="00170664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A1218" w14:textId="77777777" w:rsidR="00D61634" w:rsidRPr="00170664" w:rsidRDefault="00D61634">
      <w:r w:rsidRPr="00170664">
        <w:separator/>
      </w:r>
    </w:p>
  </w:endnote>
  <w:endnote w:type="continuationSeparator" w:id="0">
    <w:p w14:paraId="154281F1" w14:textId="77777777" w:rsidR="00D61634" w:rsidRPr="00170664" w:rsidRDefault="00D61634">
      <w:r w:rsidRPr="001706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1C81B" w14:textId="77777777" w:rsidR="00D61634" w:rsidRPr="00170664" w:rsidRDefault="00D61634">
      <w:r w:rsidRPr="00170664">
        <w:separator/>
      </w:r>
    </w:p>
  </w:footnote>
  <w:footnote w:type="continuationSeparator" w:id="0">
    <w:p w14:paraId="627E2813" w14:textId="77777777" w:rsidR="00D61634" w:rsidRPr="00170664" w:rsidRDefault="00D61634">
      <w:r w:rsidRPr="00170664">
        <w:continuationSeparator/>
      </w:r>
    </w:p>
  </w:footnote>
  <w:footnote w:id="1">
    <w:p w14:paraId="2798CFF7" w14:textId="3F78C27B" w:rsidR="00F44F75" w:rsidRPr="00170664" w:rsidRDefault="00F44F75" w:rsidP="00170664">
      <w:pPr>
        <w:pStyle w:val="FootnoteText"/>
        <w:ind w:left="567" w:hanging="567"/>
        <w:rPr>
          <w:sz w:val="24"/>
          <w:lang w:val="it-IT"/>
        </w:rPr>
      </w:pPr>
      <w:r>
        <w:rPr>
          <w:rStyle w:val="FootnoteReference"/>
        </w:rPr>
        <w:footnoteRef/>
      </w:r>
      <w:r w:rsidRPr="00170664">
        <w:rPr>
          <w:sz w:val="24"/>
          <w:lang w:val="it-IT"/>
        </w:rPr>
        <w:t xml:space="preserve"> </w:t>
      </w:r>
      <w:r w:rsidRPr="00170664">
        <w:rPr>
          <w:sz w:val="24"/>
          <w:lang w:val="it-IT"/>
        </w:rPr>
        <w:tab/>
        <w:t>Fondo monetario internazionale, "</w:t>
      </w:r>
      <w:proofErr w:type="spellStart"/>
      <w:r w:rsidRPr="00170664">
        <w:rPr>
          <w:sz w:val="24"/>
          <w:lang w:val="it-IT"/>
        </w:rPr>
        <w:t>Stablecoins</w:t>
      </w:r>
      <w:proofErr w:type="spellEnd"/>
      <w:r w:rsidRPr="00170664">
        <w:rPr>
          <w:sz w:val="24"/>
          <w:lang w:val="it-IT"/>
        </w:rPr>
        <w:t xml:space="preserve"> and the future of </w:t>
      </w:r>
      <w:proofErr w:type="spellStart"/>
      <w:r w:rsidRPr="00170664">
        <w:rPr>
          <w:sz w:val="24"/>
          <w:lang w:val="it-IT"/>
        </w:rPr>
        <w:t>finance</w:t>
      </w:r>
      <w:proofErr w:type="spellEnd"/>
      <w:r w:rsidRPr="00170664">
        <w:rPr>
          <w:sz w:val="24"/>
          <w:lang w:val="it-IT"/>
        </w:rPr>
        <w:t xml:space="preserve">", Finance &amp; Development, volume 62, numero 3, 3 settembre 2025, Fondo monetario internazionale, Washington, </w:t>
      </w:r>
      <w:hyperlink r:id="rId1" w:tgtFrame="https://doi.org/10.5089/9798400297649.022" w:history="1">
        <w:r w:rsidRPr="00170664">
          <w:rPr>
            <w:rStyle w:val="Hyperlink"/>
            <w:sz w:val="24"/>
            <w:lang w:val="it-IT"/>
          </w:rPr>
          <w:t>https://doi.org/10.5089/9798400297649.022</w:t>
        </w:r>
      </w:hyperlink>
      <w:r w:rsidRPr="00170664">
        <w:rPr>
          <w:sz w:val="24"/>
          <w:lang w:val="it-IT"/>
        </w:rPr>
        <w:t>.</w:t>
      </w:r>
    </w:p>
  </w:footnote>
  <w:footnote w:id="2">
    <w:p w14:paraId="729F7EB9" w14:textId="0936F84C" w:rsidR="00F44F75" w:rsidRPr="00170664" w:rsidRDefault="00F44F75" w:rsidP="00170664">
      <w:pPr>
        <w:pStyle w:val="FootnoteText"/>
        <w:ind w:left="567" w:hanging="567"/>
        <w:rPr>
          <w:sz w:val="24"/>
          <w:lang w:val="it-IT"/>
        </w:rPr>
      </w:pPr>
      <w:r>
        <w:rPr>
          <w:rStyle w:val="FootnoteReference"/>
        </w:rPr>
        <w:footnoteRef/>
      </w:r>
      <w:r w:rsidRPr="00170664">
        <w:rPr>
          <w:sz w:val="24"/>
          <w:lang w:val="it-IT"/>
        </w:rPr>
        <w:t xml:space="preserve"> </w:t>
      </w:r>
      <w:r w:rsidRPr="00170664">
        <w:rPr>
          <w:sz w:val="24"/>
          <w:lang w:val="it-IT"/>
        </w:rPr>
        <w:tab/>
        <w:t>"OECD Business and Finance Policy Papers" (Documenti programmatici dell'OCSE in materia di economia e finanza), n. 75.</w:t>
      </w:r>
    </w:p>
  </w:footnote>
  <w:footnote w:id="3">
    <w:p w14:paraId="194A3AAA" w14:textId="4E75B7F9" w:rsidR="00F44F75" w:rsidRPr="00170664" w:rsidRDefault="00F44F75" w:rsidP="00170664">
      <w:pPr>
        <w:pStyle w:val="FootnoteText"/>
        <w:ind w:left="567" w:hanging="567"/>
        <w:rPr>
          <w:sz w:val="24"/>
          <w:lang w:val="it-IT"/>
        </w:rPr>
      </w:pPr>
      <w:r>
        <w:rPr>
          <w:rStyle w:val="FootnoteReference"/>
        </w:rPr>
        <w:footnoteRef/>
      </w:r>
      <w:r w:rsidRPr="00170664">
        <w:rPr>
          <w:sz w:val="24"/>
          <w:lang w:val="it-IT"/>
        </w:rPr>
        <w:t xml:space="preserve"> </w:t>
      </w:r>
      <w:r w:rsidRPr="00170664">
        <w:rPr>
          <w:sz w:val="24"/>
          <w:lang w:val="it-IT"/>
        </w:rPr>
        <w:tab/>
        <w:t xml:space="preserve">Regolamento (UE) 2022/858 del Parlamento europeo e del Consiglio, del 30 maggio 2022, relativo a un regime pilota per le infrastrutture di mercato basate sulla tecnologia a registro distribuito e che modifica i regolamenti (UE) n. 600/2014 e (UE) n. 909/2014 e la direttiva 2014/65/UE (GU L 151 del 2.6.2022, pag. 1, ELI: </w:t>
      </w:r>
      <w:hyperlink r:id="rId2" w:tgtFrame="http://data.europa.eu/eli/reg/2022/858/oj" w:history="1">
        <w:r w:rsidRPr="00170664">
          <w:rPr>
            <w:rStyle w:val="Hyperlink"/>
            <w:sz w:val="24"/>
            <w:lang w:val="it-IT"/>
          </w:rPr>
          <w:t>http://data.europa.eu/eli/reg/2022/858/oj)</w:t>
        </w:r>
      </w:hyperlink>
      <w:r w:rsidRPr="00170664">
        <w:rPr>
          <w:sz w:val="24"/>
          <w:lang w:val="it-IT"/>
        </w:rPr>
        <w:t>.</w:t>
      </w:r>
    </w:p>
  </w:footnote>
  <w:footnote w:id="4">
    <w:p w14:paraId="591C478F" w14:textId="445521A8" w:rsidR="00F44F75" w:rsidRPr="00170664" w:rsidRDefault="00F44F75" w:rsidP="00170664">
      <w:pPr>
        <w:pStyle w:val="FootnoteText"/>
        <w:ind w:left="567" w:hanging="567"/>
        <w:rPr>
          <w:sz w:val="24"/>
          <w:lang w:val="it-IT"/>
        </w:rPr>
      </w:pPr>
      <w:r>
        <w:rPr>
          <w:rStyle w:val="FootnoteReference"/>
        </w:rPr>
        <w:footnoteRef/>
      </w:r>
      <w:r w:rsidRPr="00170664">
        <w:rPr>
          <w:sz w:val="24"/>
          <w:lang w:val="it-IT"/>
        </w:rPr>
        <w:t xml:space="preserve"> </w:t>
      </w:r>
      <w:r w:rsidRPr="00170664">
        <w:rPr>
          <w:sz w:val="24"/>
          <w:lang w:val="it-IT"/>
        </w:rPr>
        <w:tab/>
        <w:t xml:space="preserve">Regolamento (UE) 2023/1114 del Parlamento europeo e del Consiglio, del 31 maggio 2023, relativo ai mercati delle cripto-attività e che modifica i regolamenti (UE) n. 1093/2010 e (UE) n. 1095/2010 e le direttive 2013/36/UE e (UE) 2019/1937 (GU L 150 del 9.6.2023, pag. 40, ELI: </w:t>
      </w:r>
      <w:hyperlink r:id="rId3" w:tgtFrame="http://data.europa.eu/eli/reg/2023/1114/oj" w:history="1">
        <w:r w:rsidRPr="00170664">
          <w:rPr>
            <w:rStyle w:val="Hyperlink"/>
            <w:sz w:val="24"/>
            <w:lang w:val="it-IT"/>
          </w:rPr>
          <w:t>http://data.europa.eu/eli/reg/2023/1114/oj</w:t>
        </w:r>
      </w:hyperlink>
      <w:r w:rsidRPr="00170664">
        <w:rPr>
          <w:sz w:val="24"/>
          <w:lang w:val="it-IT"/>
        </w:rPr>
        <w:t>).</w:t>
      </w:r>
    </w:p>
  </w:footnote>
  <w:footnote w:id="5">
    <w:p w14:paraId="4E43DF7D" w14:textId="20F7C47A" w:rsidR="00F44F75" w:rsidRPr="00170664" w:rsidRDefault="00F44F75" w:rsidP="00170664">
      <w:pPr>
        <w:pStyle w:val="FootnoteText"/>
        <w:ind w:left="567" w:hanging="567"/>
        <w:rPr>
          <w:sz w:val="24"/>
          <w:lang w:val="it-IT"/>
        </w:rPr>
      </w:pPr>
      <w:r>
        <w:rPr>
          <w:rStyle w:val="FootnoteReference"/>
        </w:rPr>
        <w:footnoteRef/>
      </w:r>
      <w:r w:rsidRPr="00170664">
        <w:rPr>
          <w:sz w:val="24"/>
          <w:lang w:val="it-IT"/>
        </w:rPr>
        <w:t xml:space="preserve"> </w:t>
      </w:r>
      <w:r w:rsidRPr="00170664">
        <w:rPr>
          <w:sz w:val="24"/>
          <w:lang w:val="it-IT"/>
        </w:rPr>
        <w:tab/>
        <w:t xml:space="preserve">Regolamento (UE) 2023/1113 del Parlamento europeo e del Consiglio, del 31 maggio 2023, riguardante i dati informativi che accompagnano i trasferimenti di fondi e determinate cripto-attività e che modifica la direttiva (UE) 2015/849 (GU L 150 del 9.6.2023, pag. 1, ELI: </w:t>
      </w:r>
      <w:hyperlink r:id="rId4" w:tgtFrame="http://data.europa.eu/eli/reg/2023/1113/oj" w:history="1">
        <w:r w:rsidRPr="00170664">
          <w:rPr>
            <w:rStyle w:val="Hyperlink"/>
            <w:sz w:val="24"/>
            <w:lang w:val="it-IT"/>
          </w:rPr>
          <w:t>http://data.europa.eu/eli/reg/2023/1113/oj</w:t>
        </w:r>
      </w:hyperlink>
      <w:r w:rsidRPr="00170664">
        <w:rPr>
          <w:sz w:val="24"/>
          <w:lang w:val="it-IT"/>
        </w:rPr>
        <w:t>).</w:t>
      </w:r>
    </w:p>
  </w:footnote>
  <w:footnote w:id="6">
    <w:p w14:paraId="4FAB7B31" w14:textId="10F8FB68" w:rsidR="00F44F75" w:rsidRPr="00170664" w:rsidRDefault="00F44F75" w:rsidP="00170664">
      <w:pPr>
        <w:pStyle w:val="FootnoteText"/>
        <w:ind w:left="567" w:hanging="567"/>
        <w:rPr>
          <w:sz w:val="24"/>
          <w:lang w:val="it-IT"/>
        </w:rPr>
      </w:pPr>
      <w:r>
        <w:rPr>
          <w:rStyle w:val="FootnoteReference"/>
        </w:rPr>
        <w:footnoteRef/>
      </w:r>
      <w:r w:rsidRPr="00170664">
        <w:rPr>
          <w:sz w:val="24"/>
          <w:lang w:val="it-IT"/>
        </w:rPr>
        <w:t xml:space="preserve"> </w:t>
      </w:r>
      <w:r w:rsidRPr="00170664">
        <w:rPr>
          <w:sz w:val="24"/>
          <w:lang w:val="it-IT"/>
        </w:rPr>
        <w:tab/>
        <w:t>Proposta di direttiva del Parlamento europeo e del Consiglio relativa ai servizi di pagamento e ai servizi di moneta elettronica nel mercato interno, che modifica la direttiva 98/26/CE e abroga le direttive (UE) 2015/2366 e 2009/110/CE (COM(2023)0366), presentata dalla Commissione il 28 giugno 2023.</w:t>
      </w:r>
    </w:p>
  </w:footnote>
  <w:footnote w:id="7">
    <w:p w14:paraId="1BCC838D" w14:textId="721C6762" w:rsidR="00F44F75" w:rsidRPr="00170664" w:rsidRDefault="00F44F75" w:rsidP="00170664">
      <w:pPr>
        <w:pStyle w:val="FootnoteText"/>
        <w:ind w:left="567" w:hanging="567"/>
        <w:rPr>
          <w:sz w:val="24"/>
          <w:lang w:val="it-IT"/>
        </w:rPr>
      </w:pPr>
      <w:r>
        <w:rPr>
          <w:rStyle w:val="FootnoteReference"/>
        </w:rPr>
        <w:footnoteRef/>
      </w:r>
      <w:r w:rsidRPr="00170664">
        <w:rPr>
          <w:sz w:val="24"/>
          <w:lang w:val="it-IT"/>
        </w:rPr>
        <w:t xml:space="preserve"> </w:t>
      </w:r>
      <w:r w:rsidRPr="00170664">
        <w:rPr>
          <w:sz w:val="24"/>
          <w:lang w:val="it-IT"/>
        </w:rPr>
        <w:tab/>
        <w:t>Proposta di regolamento del Parlamento europeo e del Consiglio relativo ai servizi di pagamento nel mercato interno e che modifica il regolamento (UE) n. 1093/2010 (COM(2023)0367), presentata dalla Commissione il 28 giugno 2023.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6531905">
    <w:abstractNumId w:val="9"/>
  </w:num>
  <w:num w:numId="2" w16cid:durableId="708602571">
    <w:abstractNumId w:val="9"/>
  </w:num>
  <w:num w:numId="3" w16cid:durableId="1692494482">
    <w:abstractNumId w:val="7"/>
  </w:num>
  <w:num w:numId="4" w16cid:durableId="1072897219">
    <w:abstractNumId w:val="7"/>
  </w:num>
  <w:num w:numId="5" w16cid:durableId="889658678">
    <w:abstractNumId w:val="6"/>
  </w:num>
  <w:num w:numId="6" w16cid:durableId="708993477">
    <w:abstractNumId w:val="6"/>
  </w:num>
  <w:num w:numId="7" w16cid:durableId="1123812462">
    <w:abstractNumId w:val="5"/>
  </w:num>
  <w:num w:numId="8" w16cid:durableId="355426485">
    <w:abstractNumId w:val="5"/>
  </w:num>
  <w:num w:numId="9" w16cid:durableId="1141800740">
    <w:abstractNumId w:val="4"/>
  </w:num>
  <w:num w:numId="10" w16cid:durableId="1850480095">
    <w:abstractNumId w:val="4"/>
  </w:num>
  <w:num w:numId="11" w16cid:durableId="312679043">
    <w:abstractNumId w:val="8"/>
  </w:num>
  <w:num w:numId="12" w16cid:durableId="1358506386">
    <w:abstractNumId w:val="8"/>
  </w:num>
  <w:num w:numId="13" w16cid:durableId="627777954">
    <w:abstractNumId w:val="3"/>
  </w:num>
  <w:num w:numId="14" w16cid:durableId="824515632">
    <w:abstractNumId w:val="3"/>
  </w:num>
  <w:num w:numId="15" w16cid:durableId="304091582">
    <w:abstractNumId w:val="2"/>
  </w:num>
  <w:num w:numId="16" w16cid:durableId="1379940585">
    <w:abstractNumId w:val="2"/>
  </w:num>
  <w:num w:numId="17" w16cid:durableId="1798258074">
    <w:abstractNumId w:val="1"/>
  </w:num>
  <w:num w:numId="18" w16cid:durableId="1462453191">
    <w:abstractNumId w:val="1"/>
  </w:num>
  <w:num w:numId="19" w16cid:durableId="1056197997">
    <w:abstractNumId w:val="0"/>
  </w:num>
  <w:num w:numId="20" w16cid:durableId="466971352">
    <w:abstractNumId w:val="0"/>
  </w:num>
  <w:num w:numId="21" w16cid:durableId="1354921139">
    <w:abstractNumId w:val="9"/>
  </w:num>
  <w:num w:numId="22" w16cid:durableId="2079546544">
    <w:abstractNumId w:val="7"/>
  </w:num>
  <w:num w:numId="23" w16cid:durableId="1757559176">
    <w:abstractNumId w:val="6"/>
  </w:num>
  <w:num w:numId="24" w16cid:durableId="51082769">
    <w:abstractNumId w:val="5"/>
  </w:num>
  <w:num w:numId="25" w16cid:durableId="1841115034">
    <w:abstractNumId w:val="4"/>
  </w:num>
  <w:num w:numId="26" w16cid:durableId="1829323970">
    <w:abstractNumId w:val="8"/>
  </w:num>
  <w:num w:numId="27" w16cid:durableId="1333145075">
    <w:abstractNumId w:val="3"/>
  </w:num>
  <w:num w:numId="28" w16cid:durableId="1628857452">
    <w:abstractNumId w:val="2"/>
  </w:num>
  <w:num w:numId="29" w16cid:durableId="645088863">
    <w:abstractNumId w:val="1"/>
  </w:num>
  <w:num w:numId="30" w16cid:durableId="1733770971">
    <w:abstractNumId w:val="0"/>
  </w:num>
  <w:num w:numId="31" w16cid:durableId="290136368">
    <w:abstractNumId w:val="9"/>
  </w:num>
  <w:num w:numId="32" w16cid:durableId="1221481555">
    <w:abstractNumId w:val="7"/>
  </w:num>
  <w:num w:numId="33" w16cid:durableId="994802845">
    <w:abstractNumId w:val="6"/>
  </w:num>
  <w:num w:numId="34" w16cid:durableId="903762285">
    <w:abstractNumId w:val="5"/>
  </w:num>
  <w:num w:numId="35" w16cid:durableId="362367167">
    <w:abstractNumId w:val="4"/>
  </w:num>
  <w:num w:numId="36" w16cid:durableId="1223911072">
    <w:abstractNumId w:val="8"/>
  </w:num>
  <w:num w:numId="37" w16cid:durableId="1105689596">
    <w:abstractNumId w:val="3"/>
  </w:num>
  <w:num w:numId="38" w16cid:durableId="2098362590">
    <w:abstractNumId w:val="2"/>
  </w:num>
  <w:num w:numId="39" w16cid:durableId="1321689887">
    <w:abstractNumId w:val="1"/>
  </w:num>
  <w:num w:numId="40" w16cid:durableId="968509787">
    <w:abstractNumId w:val="0"/>
  </w:num>
  <w:num w:numId="41" w16cid:durableId="1643150332">
    <w:abstractNumId w:val="10"/>
  </w:num>
  <w:num w:numId="42" w16cid:durableId="382142307">
    <w:abstractNumId w:val="10"/>
  </w:num>
  <w:num w:numId="43" w16cid:durableId="726877891">
    <w:abstractNumId w:val="10"/>
  </w:num>
  <w:num w:numId="44" w16cid:durableId="5356297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6/2026"/>
    <w:docVar w:name="dvlangue" w:val="IT"/>
    <w:docVar w:name="dvnumam" w:val="0"/>
    <w:docVar w:name="dvpe" w:val="784.381"/>
    <w:docVar w:name="dvrapporteur" w:val="Relatore: "/>
    <w:docVar w:name="dvtitre" w:val="Risoluzione del Parlamento europeo del 7 luglio 2026 sulle attività digitali – sfide per la competitività e l'integrità del sistema finanziario dell'Unione europea(2025/2208(INI))"/>
  </w:docVars>
  <w:rsids>
    <w:rsidRoot w:val="00D61634"/>
    <w:rsid w:val="00002272"/>
    <w:rsid w:val="000421B7"/>
    <w:rsid w:val="00064002"/>
    <w:rsid w:val="000677B9"/>
    <w:rsid w:val="000831BA"/>
    <w:rsid w:val="000A42CC"/>
    <w:rsid w:val="000E7DD9"/>
    <w:rsid w:val="0010095E"/>
    <w:rsid w:val="00125B37"/>
    <w:rsid w:val="00170664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4BC7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02FB"/>
    <w:rsid w:val="00A1687D"/>
    <w:rsid w:val="00A43E52"/>
    <w:rsid w:val="00A4678D"/>
    <w:rsid w:val="00A55733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2EDA"/>
    <w:rsid w:val="00C61C0C"/>
    <w:rsid w:val="00C941CB"/>
    <w:rsid w:val="00CC2357"/>
    <w:rsid w:val="00CF071A"/>
    <w:rsid w:val="00D058B8"/>
    <w:rsid w:val="00D56C11"/>
    <w:rsid w:val="00D61634"/>
    <w:rsid w:val="00D834A0"/>
    <w:rsid w:val="00D872DF"/>
    <w:rsid w:val="00D91E21"/>
    <w:rsid w:val="00DA7FCD"/>
    <w:rsid w:val="00E15B64"/>
    <w:rsid w:val="00E365E1"/>
    <w:rsid w:val="00E43E3B"/>
    <w:rsid w:val="00E820A4"/>
    <w:rsid w:val="00EB006A"/>
    <w:rsid w:val="00EB4772"/>
    <w:rsid w:val="00ED169E"/>
    <w:rsid w:val="00ED4235"/>
    <w:rsid w:val="00F0264D"/>
    <w:rsid w:val="00F04346"/>
    <w:rsid w:val="00F075DC"/>
    <w:rsid w:val="00F149E9"/>
    <w:rsid w:val="00F44F75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B9A06C"/>
  <w15:chartTrackingRefBased/>
  <w15:docId w15:val="{E6955CBF-8139-4F48-852B-B9BE2AD4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4B4BC7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4B4BC7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4B4BC7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4B4BC7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4B4BC7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4B4BC7"/>
    <w:rPr>
      <w:color w:val="0000FF"/>
      <w:u w:val="single"/>
    </w:rPr>
  </w:style>
  <w:style w:type="paragraph" w:styleId="Revision">
    <w:name w:val="Revision"/>
    <w:hidden/>
    <w:uiPriority w:val="99"/>
    <w:semiHidden/>
    <w:rsid w:val="00F44F75"/>
    <w:rPr>
      <w:sz w:val="24"/>
      <w:lang w:val="it-IT"/>
    </w:rPr>
  </w:style>
  <w:style w:type="character" w:styleId="FollowedHyperlink">
    <w:name w:val="FollowedHyperlink"/>
    <w:basedOn w:val="DefaultParagraphFont"/>
    <w:rsid w:val="00F44F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3/1114/oj" TargetMode="External"/><Relationship Id="rId2" Type="http://schemas.openxmlformats.org/officeDocument/2006/relationships/hyperlink" Target="http://data.europa.eu/eli/reg/2022/858/oj" TargetMode="External"/><Relationship Id="rId1" Type="http://schemas.openxmlformats.org/officeDocument/2006/relationships/hyperlink" Target="https://doi.org/10.5089/9798400297649.022" TargetMode="External"/><Relationship Id="rId4" Type="http://schemas.openxmlformats.org/officeDocument/2006/relationships/hyperlink" Target="http://data.europa.eu/eli/reg/2023/111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2857</Words>
  <Characters>17805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AR_rev</cp:lastModifiedBy>
  <cp:revision>2</cp:revision>
  <cp:lastPrinted>2004-11-19T15:42:00Z</cp:lastPrinted>
  <dcterms:created xsi:type="dcterms:W3CDTF">2026-07-07T13:42:00Z</dcterms:created>
  <dcterms:modified xsi:type="dcterms:W3CDTF">2026-07-07T13:42:00Z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A10-0186/2026</vt:lpwstr>
  </property>
  <property fmtid="{D5CDD505-2E9C-101B-9397-08002B2CF9AE}" pid="4" name="&lt;Type&gt;">
    <vt:lpwstr>RR</vt:lpwstr>
  </property>
</Properties>
</file>