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62A6" w14:paraId="4CC2CD36" w14:textId="77777777" w:rsidTr="0010095E">
        <w:trPr>
          <w:trHeight w:hRule="exact" w:val="1418"/>
        </w:trPr>
        <w:tc>
          <w:tcPr>
            <w:tcW w:w="6804" w:type="dxa"/>
            <w:shd w:val="clear" w:color="auto" w:fill="auto"/>
            <w:vAlign w:val="center"/>
          </w:tcPr>
          <w:p w14:paraId="0215FF7C" w14:textId="1DC90234" w:rsidR="00751A4A" w:rsidRPr="006062A6" w:rsidRDefault="003B61CE" w:rsidP="0010095E">
            <w:pPr>
              <w:pStyle w:val="EPName"/>
            </w:pPr>
            <w:r w:rsidRPr="006062A6">
              <w:t>Europos Parlamentas</w:t>
            </w:r>
          </w:p>
          <w:p w14:paraId="20F6EC20" w14:textId="77777777" w:rsidR="00751A4A" w:rsidRPr="006062A6" w:rsidRDefault="005F1B17" w:rsidP="005F1B17">
            <w:pPr>
              <w:pStyle w:val="EPTerm"/>
              <w:rPr>
                <w:rStyle w:val="HideTWBExt"/>
                <w:noProof w:val="0"/>
                <w:vanish w:val="0"/>
                <w:color w:val="auto"/>
              </w:rPr>
            </w:pPr>
            <w:r w:rsidRPr="006062A6">
              <w:t>2024</w:t>
            </w:r>
            <w:r w:rsidR="00817416" w:rsidRPr="006062A6">
              <w:t>-202</w:t>
            </w:r>
            <w:r w:rsidRPr="006062A6">
              <w:t>9</w:t>
            </w:r>
          </w:p>
        </w:tc>
        <w:tc>
          <w:tcPr>
            <w:tcW w:w="2268" w:type="dxa"/>
            <w:shd w:val="clear" w:color="auto" w:fill="auto"/>
          </w:tcPr>
          <w:p w14:paraId="3BCD4452" w14:textId="77777777" w:rsidR="00751A4A" w:rsidRPr="006062A6" w:rsidRDefault="00187494" w:rsidP="0010095E">
            <w:pPr>
              <w:pStyle w:val="EPLogo"/>
            </w:pPr>
            <w:r w:rsidRPr="006062A6">
              <w:rPr>
                <w:noProof/>
                <w:lang w:eastAsia="ja-JP"/>
              </w:rPr>
              <w:drawing>
                <wp:inline distT="0" distB="0" distL="0" distR="0" wp14:anchorId="5C9F7887" wp14:editId="6CDFCB8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477F22" w14:textId="77777777" w:rsidR="00D058B8" w:rsidRPr="006062A6" w:rsidRDefault="00D058B8" w:rsidP="004C5D52">
      <w:pPr>
        <w:pStyle w:val="LineTop"/>
      </w:pPr>
    </w:p>
    <w:p w14:paraId="19E5387C" w14:textId="462821D1" w:rsidR="00680577" w:rsidRPr="006062A6" w:rsidRDefault="003B61CE" w:rsidP="00680577">
      <w:pPr>
        <w:pStyle w:val="EPBodyTA1"/>
      </w:pPr>
      <w:r w:rsidRPr="006062A6">
        <w:t>PRIIMTI TEKSTAI</w:t>
      </w:r>
    </w:p>
    <w:p w14:paraId="09B4AD90" w14:textId="77777777" w:rsidR="00D058B8" w:rsidRPr="006062A6" w:rsidRDefault="00D058B8" w:rsidP="00D058B8">
      <w:pPr>
        <w:pStyle w:val="LineBottom"/>
      </w:pPr>
    </w:p>
    <w:p w14:paraId="53F9530C" w14:textId="638D8C80" w:rsidR="003B61CE" w:rsidRPr="006062A6" w:rsidRDefault="003B61CE" w:rsidP="003B61CE">
      <w:pPr>
        <w:pStyle w:val="ATHeading1"/>
      </w:pPr>
      <w:bookmarkStart w:id="0" w:name="TANumber"/>
      <w:r w:rsidRPr="006062A6">
        <w:t>P10_TA(2026)0</w:t>
      </w:r>
      <w:r w:rsidR="00AF5544">
        <w:t>251</w:t>
      </w:r>
      <w:bookmarkEnd w:id="0"/>
    </w:p>
    <w:p w14:paraId="2FEC8547" w14:textId="77777777" w:rsidR="003B61CE" w:rsidRPr="006062A6" w:rsidRDefault="003B61CE" w:rsidP="003B61CE">
      <w:pPr>
        <w:pStyle w:val="ATHeading2"/>
      </w:pPr>
      <w:bookmarkStart w:id="1" w:name="title"/>
      <w:r w:rsidRPr="006062A6">
        <w:t>Skaitmeninis turtas: iššūkiai Europos Sąjungos finansų sistemos konkurencingumui ir vientisumui</w:t>
      </w:r>
      <w:bookmarkEnd w:id="1"/>
    </w:p>
    <w:p w14:paraId="0BAE5078" w14:textId="77777777" w:rsidR="003B61CE" w:rsidRPr="006062A6" w:rsidRDefault="003B61CE" w:rsidP="003B61CE">
      <w:pPr>
        <w:rPr>
          <w:i/>
          <w:vanish/>
        </w:rPr>
      </w:pPr>
      <w:r w:rsidRPr="006062A6">
        <w:rPr>
          <w:i/>
        </w:rPr>
        <w:fldChar w:fldCharType="begin"/>
      </w:r>
      <w:r w:rsidRPr="006062A6">
        <w:rPr>
          <w:i/>
        </w:rPr>
        <w:instrText xml:space="preserve"> TC"(</w:instrText>
      </w:r>
      <w:bookmarkStart w:id="2" w:name="DocNumber"/>
      <w:r w:rsidRPr="006062A6">
        <w:rPr>
          <w:i/>
        </w:rPr>
        <w:instrText>A10-0186/2026</w:instrText>
      </w:r>
      <w:bookmarkEnd w:id="2"/>
      <w:r w:rsidRPr="006062A6">
        <w:rPr>
          <w:i/>
        </w:rPr>
        <w:instrText xml:space="preserve"> - Pranešėjas: </w:instrText>
      </w:r>
      <w:proofErr w:type="spellStart"/>
      <w:r w:rsidRPr="006062A6">
        <w:rPr>
          <w:i/>
        </w:rPr>
        <w:instrText>Johan</w:instrText>
      </w:r>
      <w:proofErr w:type="spellEnd"/>
      <w:r w:rsidRPr="006062A6">
        <w:rPr>
          <w:i/>
        </w:rPr>
        <w:instrText xml:space="preserve"> Van </w:instrText>
      </w:r>
      <w:proofErr w:type="spellStart"/>
      <w:r w:rsidRPr="006062A6">
        <w:rPr>
          <w:i/>
        </w:rPr>
        <w:instrText>Overtveldt</w:instrText>
      </w:r>
      <w:proofErr w:type="spellEnd"/>
      <w:r w:rsidRPr="006062A6">
        <w:rPr>
          <w:i/>
        </w:rPr>
        <w:instrText xml:space="preserve">)"\l3 \n&gt; \* MERGEFORMAT </w:instrText>
      </w:r>
      <w:r w:rsidRPr="006062A6">
        <w:rPr>
          <w:i/>
        </w:rPr>
        <w:fldChar w:fldCharType="end"/>
      </w:r>
    </w:p>
    <w:p w14:paraId="4490987B" w14:textId="77777777" w:rsidR="003B61CE" w:rsidRPr="006062A6" w:rsidRDefault="003B61CE" w:rsidP="003B61CE">
      <w:pPr>
        <w:rPr>
          <w:vanish/>
        </w:rPr>
      </w:pPr>
      <w:bookmarkStart w:id="3" w:name="Commission"/>
      <w:r w:rsidRPr="006062A6">
        <w:rPr>
          <w:vanish/>
        </w:rPr>
        <w:t>Ekonomikos ir pinigų politikos komitetas</w:t>
      </w:r>
      <w:bookmarkEnd w:id="3"/>
    </w:p>
    <w:p w14:paraId="0F502D76" w14:textId="77777777" w:rsidR="003B61CE" w:rsidRPr="006062A6" w:rsidRDefault="003B61CE" w:rsidP="003B61CE">
      <w:pPr>
        <w:rPr>
          <w:vanish/>
        </w:rPr>
      </w:pPr>
      <w:bookmarkStart w:id="4" w:name="PE"/>
      <w:r w:rsidRPr="006062A6">
        <w:rPr>
          <w:vanish/>
        </w:rPr>
        <w:t>PE784.381</w:t>
      </w:r>
      <w:bookmarkEnd w:id="4"/>
    </w:p>
    <w:p w14:paraId="4F1A60FF" w14:textId="5F9AC85E" w:rsidR="003B61CE" w:rsidRPr="006062A6" w:rsidRDefault="003B61CE" w:rsidP="003B61CE">
      <w:pPr>
        <w:pStyle w:val="ATHeading3"/>
      </w:pPr>
      <w:bookmarkStart w:id="5" w:name="Sujet"/>
      <w:r w:rsidRPr="006062A6">
        <w:t xml:space="preserve">2026 m. </w:t>
      </w:r>
      <w:r w:rsidR="00DD2536">
        <w:t>liepos</w:t>
      </w:r>
      <w:r w:rsidR="00DD2536" w:rsidRPr="006062A6">
        <w:t xml:space="preserve"> </w:t>
      </w:r>
      <w:r w:rsidR="00DD2536">
        <w:t>7</w:t>
      </w:r>
      <w:r w:rsidR="00DD2536" w:rsidRPr="006062A6">
        <w:t xml:space="preserve"> </w:t>
      </w:r>
      <w:r w:rsidRPr="006062A6">
        <w:t>d. Europos Parlamento rezoliucija „Skaitmeninis turtas: iššūkiai Europos Sąjungos finansų sistemos konkurencingumui ir vientisumui“</w:t>
      </w:r>
      <w:bookmarkEnd w:id="5"/>
      <w:r w:rsidRPr="006062A6">
        <w:t xml:space="preserve"> </w:t>
      </w:r>
      <w:bookmarkStart w:id="6" w:name="References"/>
      <w:r w:rsidRPr="006062A6">
        <w:t>(2025/2208(INI))</w:t>
      </w:r>
      <w:bookmarkEnd w:id="6"/>
    </w:p>
    <w:p w14:paraId="3377E525" w14:textId="77777777" w:rsidR="00D268A4" w:rsidRPr="006062A6" w:rsidRDefault="00D268A4" w:rsidP="00367A2F">
      <w:pPr>
        <w:pStyle w:val="Normal12"/>
        <w:spacing w:before="480"/>
      </w:pPr>
      <w:r w:rsidRPr="006062A6">
        <w:rPr>
          <w:i/>
        </w:rPr>
        <w:t>Europos Parlamentas</w:t>
      </w:r>
      <w:r w:rsidRPr="006062A6">
        <w:t>,</w:t>
      </w:r>
    </w:p>
    <w:p w14:paraId="199E7B75" w14:textId="77777777" w:rsidR="00D268A4" w:rsidRPr="006062A6" w:rsidRDefault="00D268A4" w:rsidP="00D268A4">
      <w:pPr>
        <w:pStyle w:val="NormalHanging"/>
      </w:pPr>
      <w:r w:rsidRPr="006062A6">
        <w:t>–</w:t>
      </w:r>
      <w:r w:rsidRPr="006062A6">
        <w:tab/>
        <w:t>atsižvelgdamas į 2025 m. lapkričio mėn. Europos Centrinio Banko (ECB) finansinio stabilumo apžvalgą,</w:t>
      </w:r>
    </w:p>
    <w:p w14:paraId="6FF30820" w14:textId="77777777" w:rsidR="00D268A4" w:rsidRPr="006062A6" w:rsidRDefault="00D268A4" w:rsidP="00D268A4">
      <w:pPr>
        <w:pStyle w:val="NormalHanging"/>
      </w:pPr>
      <w:r w:rsidRPr="006062A6">
        <w:t>–</w:t>
      </w:r>
      <w:r w:rsidRPr="006062A6">
        <w:tab/>
        <w:t>atsižvelgdamas į 2026 m. kovo 3 d. ECB darbo dokumentą Nr. 3199 „Stabilizuotųjų virtualiųjų valiutų ir pinigų politikos poveikis“,</w:t>
      </w:r>
    </w:p>
    <w:p w14:paraId="598B9E8C" w14:textId="77777777" w:rsidR="00D268A4" w:rsidRPr="006062A6" w:rsidRDefault="00D268A4" w:rsidP="00D268A4">
      <w:pPr>
        <w:pStyle w:val="NormalHanging"/>
      </w:pPr>
      <w:r w:rsidRPr="006062A6">
        <w:t>–</w:t>
      </w:r>
      <w:r w:rsidRPr="006062A6">
        <w:tab/>
        <w:t>atsižvelgdamas į 2025 m. rugsėjo 25 d. Europos sisteminės rizikos valdybos (ESRV) rekomendaciją dėl stabilizuotųjų virtualiųjų valiutų sistemų, kuriose dalyvauja keli emitentai, įskaitant trečiųjų valstybių emitentus,</w:t>
      </w:r>
    </w:p>
    <w:p w14:paraId="5C4E427D" w14:textId="77777777" w:rsidR="00D268A4" w:rsidRPr="006062A6" w:rsidRDefault="00D268A4" w:rsidP="00D268A4">
      <w:pPr>
        <w:pStyle w:val="NormalHanging"/>
      </w:pPr>
      <w:r w:rsidRPr="006062A6">
        <w:t>–</w:t>
      </w:r>
      <w:r w:rsidRPr="006062A6">
        <w:tab/>
        <w:t>atsižvelgdamas į 2025 m. spalio mėn. ESRV ataskaitą „</w:t>
      </w:r>
      <w:proofErr w:type="spellStart"/>
      <w:r w:rsidRPr="006062A6">
        <w:t>Kriptoturtas</w:t>
      </w:r>
      <w:proofErr w:type="spellEnd"/>
      <w:r w:rsidRPr="006062A6">
        <w:t xml:space="preserve"> ir decentralizuoti finansai. Ataskaita dėl stabilizuotųjų virtualiųjų valiutų, </w:t>
      </w:r>
      <w:proofErr w:type="spellStart"/>
      <w:r w:rsidRPr="006062A6">
        <w:t>kriptoturto</w:t>
      </w:r>
      <w:proofErr w:type="spellEnd"/>
      <w:r w:rsidRPr="006062A6">
        <w:t xml:space="preserve"> investicinių produktų ir daugiafunkcių grupių“ (</w:t>
      </w:r>
      <w:proofErr w:type="spellStart"/>
      <w:r w:rsidRPr="006062A6">
        <w:rPr>
          <w:i/>
        </w:rPr>
        <w:t>Crypto-assets</w:t>
      </w:r>
      <w:proofErr w:type="spellEnd"/>
      <w:r w:rsidRPr="006062A6">
        <w:rPr>
          <w:i/>
        </w:rPr>
        <w:t xml:space="preserve"> </w:t>
      </w:r>
      <w:proofErr w:type="spellStart"/>
      <w:r w:rsidRPr="006062A6">
        <w:rPr>
          <w:i/>
        </w:rPr>
        <w:t>and</w:t>
      </w:r>
      <w:proofErr w:type="spellEnd"/>
      <w:r w:rsidRPr="006062A6">
        <w:rPr>
          <w:i/>
        </w:rPr>
        <w:t xml:space="preserve"> </w:t>
      </w:r>
      <w:proofErr w:type="spellStart"/>
      <w:r w:rsidRPr="006062A6">
        <w:rPr>
          <w:i/>
        </w:rPr>
        <w:t>decentralised</w:t>
      </w:r>
      <w:proofErr w:type="spellEnd"/>
      <w:r w:rsidRPr="006062A6">
        <w:rPr>
          <w:i/>
        </w:rPr>
        <w:t xml:space="preserve"> </w:t>
      </w:r>
      <w:proofErr w:type="spellStart"/>
      <w:r w:rsidRPr="006062A6">
        <w:rPr>
          <w:i/>
        </w:rPr>
        <w:t>finance</w:t>
      </w:r>
      <w:proofErr w:type="spellEnd"/>
      <w:r w:rsidRPr="006062A6">
        <w:rPr>
          <w:i/>
        </w:rPr>
        <w:t xml:space="preserve"> – </w:t>
      </w:r>
      <w:proofErr w:type="spellStart"/>
      <w:r w:rsidRPr="006062A6">
        <w:rPr>
          <w:i/>
        </w:rPr>
        <w:t>Report</w:t>
      </w:r>
      <w:proofErr w:type="spellEnd"/>
      <w:r w:rsidRPr="006062A6">
        <w:rPr>
          <w:i/>
        </w:rPr>
        <w:t xml:space="preserve"> </w:t>
      </w:r>
      <w:proofErr w:type="spellStart"/>
      <w:r w:rsidRPr="006062A6">
        <w:rPr>
          <w:i/>
        </w:rPr>
        <w:t>on</w:t>
      </w:r>
      <w:proofErr w:type="spellEnd"/>
      <w:r w:rsidRPr="006062A6">
        <w:rPr>
          <w:i/>
        </w:rPr>
        <w:t xml:space="preserve"> </w:t>
      </w:r>
      <w:proofErr w:type="spellStart"/>
      <w:r w:rsidRPr="006062A6">
        <w:rPr>
          <w:i/>
        </w:rPr>
        <w:t>stablecoins</w:t>
      </w:r>
      <w:proofErr w:type="spellEnd"/>
      <w:r w:rsidRPr="006062A6">
        <w:rPr>
          <w:i/>
        </w:rPr>
        <w:t xml:space="preserve">, </w:t>
      </w:r>
      <w:proofErr w:type="spellStart"/>
      <w:r w:rsidRPr="006062A6">
        <w:rPr>
          <w:i/>
        </w:rPr>
        <w:t>crypto-investment</w:t>
      </w:r>
      <w:proofErr w:type="spellEnd"/>
      <w:r w:rsidRPr="006062A6">
        <w:rPr>
          <w:i/>
        </w:rPr>
        <w:t xml:space="preserve"> </w:t>
      </w:r>
      <w:proofErr w:type="spellStart"/>
      <w:r w:rsidRPr="006062A6">
        <w:rPr>
          <w:i/>
        </w:rPr>
        <w:t>products</w:t>
      </w:r>
      <w:proofErr w:type="spellEnd"/>
      <w:r w:rsidRPr="006062A6">
        <w:rPr>
          <w:i/>
        </w:rPr>
        <w:t xml:space="preserve"> </w:t>
      </w:r>
      <w:proofErr w:type="spellStart"/>
      <w:r w:rsidRPr="006062A6">
        <w:rPr>
          <w:i/>
        </w:rPr>
        <w:t>and</w:t>
      </w:r>
      <w:proofErr w:type="spellEnd"/>
      <w:r w:rsidRPr="006062A6">
        <w:rPr>
          <w:i/>
        </w:rPr>
        <w:t xml:space="preserve"> </w:t>
      </w:r>
      <w:proofErr w:type="spellStart"/>
      <w:r w:rsidRPr="006062A6">
        <w:rPr>
          <w:i/>
        </w:rPr>
        <w:t>multi-function</w:t>
      </w:r>
      <w:proofErr w:type="spellEnd"/>
      <w:r w:rsidRPr="006062A6">
        <w:rPr>
          <w:i/>
        </w:rPr>
        <w:t xml:space="preserve"> </w:t>
      </w:r>
      <w:proofErr w:type="spellStart"/>
      <w:r w:rsidRPr="006062A6">
        <w:rPr>
          <w:i/>
        </w:rPr>
        <w:t>groups</w:t>
      </w:r>
      <w:proofErr w:type="spellEnd"/>
      <w:r w:rsidRPr="006062A6">
        <w:t>),</w:t>
      </w:r>
    </w:p>
    <w:p w14:paraId="4159A940" w14:textId="77777777" w:rsidR="00D268A4" w:rsidRPr="006062A6" w:rsidRDefault="00D268A4" w:rsidP="00D268A4">
      <w:pPr>
        <w:pStyle w:val="NormalHanging"/>
      </w:pPr>
      <w:r w:rsidRPr="006062A6">
        <w:t>–</w:t>
      </w:r>
      <w:r w:rsidRPr="006062A6">
        <w:tab/>
        <w:t xml:space="preserve">atsižvelgdamas į 2025 m. kovo 19 d. Europos vertybinių popierių ir rinkų institucijos (ESMA) gaires dėl </w:t>
      </w:r>
      <w:proofErr w:type="spellStart"/>
      <w:r w:rsidRPr="006062A6">
        <w:t>kriptoturto</w:t>
      </w:r>
      <w:proofErr w:type="spellEnd"/>
      <w:r w:rsidRPr="006062A6">
        <w:t xml:space="preserve"> priskyrimo prie finansinių priemonių sąlygų ir kriterijų,</w:t>
      </w:r>
    </w:p>
    <w:p w14:paraId="27BECF0C" w14:textId="77777777" w:rsidR="00D268A4" w:rsidRPr="006062A6" w:rsidRDefault="00D268A4" w:rsidP="00D268A4">
      <w:pPr>
        <w:pStyle w:val="NormalHanging"/>
      </w:pPr>
      <w:r w:rsidRPr="006062A6">
        <w:t>–</w:t>
      </w:r>
      <w:r w:rsidRPr="006062A6">
        <w:tab/>
        <w:t>atsižvelgdamas į 2024 m. gruodžio mėn. Europos bankininkystės institucijos (EBI) ataskaitą dėl į žetonus konvertuotų indėlių (</w:t>
      </w:r>
      <w:proofErr w:type="spellStart"/>
      <w:r w:rsidRPr="006062A6">
        <w:rPr>
          <w:i/>
        </w:rPr>
        <w:t>Report</w:t>
      </w:r>
      <w:proofErr w:type="spellEnd"/>
      <w:r w:rsidRPr="006062A6">
        <w:rPr>
          <w:i/>
        </w:rPr>
        <w:t xml:space="preserve"> </w:t>
      </w:r>
      <w:proofErr w:type="spellStart"/>
      <w:r w:rsidRPr="006062A6">
        <w:rPr>
          <w:i/>
        </w:rPr>
        <w:t>on</w:t>
      </w:r>
      <w:proofErr w:type="spellEnd"/>
      <w:r w:rsidRPr="006062A6">
        <w:rPr>
          <w:i/>
        </w:rPr>
        <w:t xml:space="preserve"> </w:t>
      </w:r>
      <w:proofErr w:type="spellStart"/>
      <w:r w:rsidRPr="006062A6">
        <w:rPr>
          <w:i/>
        </w:rPr>
        <w:t>tokenised</w:t>
      </w:r>
      <w:proofErr w:type="spellEnd"/>
      <w:r w:rsidRPr="006062A6">
        <w:rPr>
          <w:i/>
        </w:rPr>
        <w:t xml:space="preserve"> </w:t>
      </w:r>
      <w:proofErr w:type="spellStart"/>
      <w:r w:rsidRPr="006062A6">
        <w:rPr>
          <w:i/>
        </w:rPr>
        <w:t>deposits</w:t>
      </w:r>
      <w:proofErr w:type="spellEnd"/>
      <w:r w:rsidRPr="006062A6">
        <w:t>),</w:t>
      </w:r>
    </w:p>
    <w:p w14:paraId="5E19CE2F" w14:textId="77777777" w:rsidR="00D268A4" w:rsidRPr="006062A6" w:rsidRDefault="00D268A4" w:rsidP="00D268A4">
      <w:pPr>
        <w:pStyle w:val="NormalHanging"/>
      </w:pPr>
      <w:r w:rsidRPr="006062A6">
        <w:t>–</w:t>
      </w:r>
      <w:r w:rsidRPr="006062A6">
        <w:tab/>
        <w:t xml:space="preserve">atsižvelgdamas į 2025 m. spalio mėn. EBI ataskaitą „Kova su pinigų plovimo ir teroristų finansavimo rizika </w:t>
      </w:r>
      <w:proofErr w:type="spellStart"/>
      <w:r w:rsidRPr="006062A6">
        <w:t>kriptoturto</w:t>
      </w:r>
      <w:proofErr w:type="spellEnd"/>
      <w:r w:rsidRPr="006062A6">
        <w:t xml:space="preserve"> paslaugų srityje vykdant priežiūrą. Sprendžiant naujausius atvejus įgyta patirtis“ (</w:t>
      </w:r>
      <w:proofErr w:type="spellStart"/>
      <w:r w:rsidRPr="006062A6">
        <w:rPr>
          <w:i/>
        </w:rPr>
        <w:t>Report</w:t>
      </w:r>
      <w:proofErr w:type="spellEnd"/>
      <w:r w:rsidRPr="006062A6">
        <w:rPr>
          <w:i/>
        </w:rPr>
        <w:t xml:space="preserve"> </w:t>
      </w:r>
      <w:proofErr w:type="spellStart"/>
      <w:r w:rsidRPr="006062A6">
        <w:rPr>
          <w:i/>
        </w:rPr>
        <w:t>on</w:t>
      </w:r>
      <w:proofErr w:type="spellEnd"/>
      <w:r w:rsidRPr="006062A6">
        <w:rPr>
          <w:i/>
        </w:rPr>
        <w:t xml:space="preserve"> </w:t>
      </w:r>
      <w:proofErr w:type="spellStart"/>
      <w:r w:rsidRPr="006062A6">
        <w:rPr>
          <w:i/>
        </w:rPr>
        <w:t>tackling</w:t>
      </w:r>
      <w:proofErr w:type="spellEnd"/>
      <w:r w:rsidRPr="006062A6">
        <w:rPr>
          <w:i/>
        </w:rPr>
        <w:t xml:space="preserve"> ML/TF </w:t>
      </w:r>
      <w:proofErr w:type="spellStart"/>
      <w:r w:rsidRPr="006062A6">
        <w:rPr>
          <w:i/>
        </w:rPr>
        <w:t>risks</w:t>
      </w:r>
      <w:proofErr w:type="spellEnd"/>
      <w:r w:rsidRPr="006062A6">
        <w:rPr>
          <w:i/>
        </w:rPr>
        <w:t xml:space="preserve"> </w:t>
      </w:r>
      <w:proofErr w:type="spellStart"/>
      <w:r w:rsidRPr="006062A6">
        <w:rPr>
          <w:i/>
        </w:rPr>
        <w:t>in</w:t>
      </w:r>
      <w:proofErr w:type="spellEnd"/>
      <w:r w:rsidRPr="006062A6">
        <w:rPr>
          <w:i/>
        </w:rPr>
        <w:t xml:space="preserve"> </w:t>
      </w:r>
      <w:proofErr w:type="spellStart"/>
      <w:r w:rsidRPr="006062A6">
        <w:rPr>
          <w:i/>
        </w:rPr>
        <w:t>crypto-asset</w:t>
      </w:r>
      <w:proofErr w:type="spellEnd"/>
      <w:r w:rsidRPr="006062A6">
        <w:rPr>
          <w:i/>
        </w:rPr>
        <w:t xml:space="preserve"> </w:t>
      </w:r>
      <w:proofErr w:type="spellStart"/>
      <w:r w:rsidRPr="006062A6">
        <w:rPr>
          <w:i/>
        </w:rPr>
        <w:t>services</w:t>
      </w:r>
      <w:proofErr w:type="spellEnd"/>
      <w:r w:rsidRPr="006062A6">
        <w:rPr>
          <w:i/>
        </w:rPr>
        <w:t xml:space="preserve"> </w:t>
      </w:r>
      <w:proofErr w:type="spellStart"/>
      <w:r w:rsidRPr="006062A6">
        <w:rPr>
          <w:i/>
        </w:rPr>
        <w:t>through</w:t>
      </w:r>
      <w:proofErr w:type="spellEnd"/>
      <w:r w:rsidRPr="006062A6">
        <w:rPr>
          <w:i/>
        </w:rPr>
        <w:t xml:space="preserve"> </w:t>
      </w:r>
      <w:proofErr w:type="spellStart"/>
      <w:r w:rsidRPr="006062A6">
        <w:rPr>
          <w:i/>
        </w:rPr>
        <w:t>supervision</w:t>
      </w:r>
      <w:proofErr w:type="spellEnd"/>
      <w:r w:rsidRPr="006062A6">
        <w:rPr>
          <w:i/>
        </w:rPr>
        <w:t xml:space="preserve"> – </w:t>
      </w:r>
      <w:proofErr w:type="spellStart"/>
      <w:r w:rsidRPr="006062A6">
        <w:rPr>
          <w:i/>
        </w:rPr>
        <w:t>Lessons</w:t>
      </w:r>
      <w:proofErr w:type="spellEnd"/>
      <w:r w:rsidRPr="006062A6">
        <w:rPr>
          <w:i/>
        </w:rPr>
        <w:t xml:space="preserve"> </w:t>
      </w:r>
      <w:proofErr w:type="spellStart"/>
      <w:r w:rsidRPr="006062A6">
        <w:rPr>
          <w:i/>
        </w:rPr>
        <w:t>learned</w:t>
      </w:r>
      <w:proofErr w:type="spellEnd"/>
      <w:r w:rsidRPr="006062A6">
        <w:rPr>
          <w:i/>
        </w:rPr>
        <w:t xml:space="preserve"> </w:t>
      </w:r>
      <w:proofErr w:type="spellStart"/>
      <w:r w:rsidRPr="006062A6">
        <w:rPr>
          <w:i/>
        </w:rPr>
        <w:t>from</w:t>
      </w:r>
      <w:proofErr w:type="spellEnd"/>
      <w:r w:rsidRPr="006062A6">
        <w:rPr>
          <w:i/>
        </w:rPr>
        <w:t xml:space="preserve"> </w:t>
      </w:r>
      <w:proofErr w:type="spellStart"/>
      <w:r w:rsidRPr="006062A6">
        <w:rPr>
          <w:i/>
        </w:rPr>
        <w:t>recent</w:t>
      </w:r>
      <w:proofErr w:type="spellEnd"/>
      <w:r w:rsidRPr="006062A6">
        <w:rPr>
          <w:i/>
        </w:rPr>
        <w:t xml:space="preserve"> </w:t>
      </w:r>
      <w:proofErr w:type="spellStart"/>
      <w:r w:rsidRPr="006062A6">
        <w:rPr>
          <w:i/>
        </w:rPr>
        <w:t>cases</w:t>
      </w:r>
      <w:proofErr w:type="spellEnd"/>
      <w:r w:rsidRPr="006062A6">
        <w:t>),</w:t>
      </w:r>
    </w:p>
    <w:p w14:paraId="1F07BE36" w14:textId="31170D7A" w:rsidR="00D268A4" w:rsidRPr="006062A6" w:rsidRDefault="00D268A4" w:rsidP="00D268A4">
      <w:pPr>
        <w:pStyle w:val="NormalHanging"/>
      </w:pPr>
      <w:r w:rsidRPr="006062A6">
        <w:t>–</w:t>
      </w:r>
      <w:r w:rsidRPr="006062A6">
        <w:tab/>
        <w:t>atsižvelgdamas į Tarptautinio valiutos fondo leidinio „Finansai ir plėtra“ (</w:t>
      </w:r>
      <w:proofErr w:type="spellStart"/>
      <w:r w:rsidRPr="006062A6">
        <w:rPr>
          <w:i/>
        </w:rPr>
        <w:t>Finance</w:t>
      </w:r>
      <w:proofErr w:type="spellEnd"/>
      <w:r w:rsidRPr="006062A6">
        <w:rPr>
          <w:i/>
        </w:rPr>
        <w:t xml:space="preserve"> &amp; </w:t>
      </w:r>
      <w:proofErr w:type="spellStart"/>
      <w:r w:rsidRPr="006062A6">
        <w:rPr>
          <w:i/>
        </w:rPr>
        <w:t>Development</w:t>
      </w:r>
      <w:proofErr w:type="spellEnd"/>
      <w:r w:rsidRPr="006062A6">
        <w:t xml:space="preserve">) 2025 m. rugsėjo mėn. leidimą „Stabilizuotosios virtualiosios valiutos ir </w:t>
      </w:r>
      <w:r w:rsidRPr="006062A6">
        <w:lastRenderedPageBreak/>
        <w:t>finansų ateitis“ (</w:t>
      </w:r>
      <w:proofErr w:type="spellStart"/>
      <w:r w:rsidRPr="006062A6">
        <w:rPr>
          <w:i/>
        </w:rPr>
        <w:t>Stablecoins</w:t>
      </w:r>
      <w:proofErr w:type="spellEnd"/>
      <w:r w:rsidRPr="006062A6">
        <w:rPr>
          <w:i/>
        </w:rPr>
        <w:t xml:space="preserve"> </w:t>
      </w:r>
      <w:proofErr w:type="spellStart"/>
      <w:r w:rsidRPr="006062A6">
        <w:rPr>
          <w:i/>
        </w:rPr>
        <w:t>and</w:t>
      </w:r>
      <w:proofErr w:type="spellEnd"/>
      <w:r w:rsidRPr="006062A6">
        <w:rPr>
          <w:i/>
        </w:rPr>
        <w:t xml:space="preserve"> </w:t>
      </w:r>
      <w:proofErr w:type="spellStart"/>
      <w:r w:rsidRPr="006062A6">
        <w:rPr>
          <w:i/>
        </w:rPr>
        <w:t>the</w:t>
      </w:r>
      <w:proofErr w:type="spellEnd"/>
      <w:r w:rsidRPr="006062A6">
        <w:rPr>
          <w:i/>
        </w:rPr>
        <w:t xml:space="preserve"> </w:t>
      </w:r>
      <w:proofErr w:type="spellStart"/>
      <w:r w:rsidRPr="006062A6">
        <w:rPr>
          <w:i/>
        </w:rPr>
        <w:t>future</w:t>
      </w:r>
      <w:proofErr w:type="spellEnd"/>
      <w:r w:rsidRPr="006062A6">
        <w:rPr>
          <w:i/>
        </w:rPr>
        <w:t xml:space="preserve"> </w:t>
      </w:r>
      <w:proofErr w:type="spellStart"/>
      <w:r w:rsidRPr="006062A6">
        <w:rPr>
          <w:i/>
        </w:rPr>
        <w:t>of</w:t>
      </w:r>
      <w:proofErr w:type="spellEnd"/>
      <w:r w:rsidRPr="006062A6">
        <w:rPr>
          <w:i/>
        </w:rPr>
        <w:t xml:space="preserve"> </w:t>
      </w:r>
      <w:proofErr w:type="spellStart"/>
      <w:r w:rsidRPr="006062A6">
        <w:rPr>
          <w:i/>
        </w:rPr>
        <w:t>finance</w:t>
      </w:r>
      <w:proofErr w:type="spellEnd"/>
      <w:r w:rsidRPr="006062A6">
        <w:t>)</w:t>
      </w:r>
      <w:r w:rsidR="00DD2536">
        <w:rPr>
          <w:rStyle w:val="FootnoteReference"/>
        </w:rPr>
        <w:footnoteReference w:id="1"/>
      </w:r>
      <w:r w:rsidRPr="006062A6">
        <w:t>,</w:t>
      </w:r>
    </w:p>
    <w:p w14:paraId="0718EEFE" w14:textId="77777777" w:rsidR="00D268A4" w:rsidRPr="006062A6" w:rsidRDefault="00D268A4" w:rsidP="00D268A4">
      <w:pPr>
        <w:pStyle w:val="NormalHanging"/>
      </w:pPr>
      <w:r w:rsidRPr="006062A6">
        <w:t>–</w:t>
      </w:r>
      <w:r w:rsidRPr="006062A6">
        <w:tab/>
        <w:t>atsižvelgdamas į 2025 m. lapkričio mėn. Tarptautinės vertybinių popierių komisijų organizacijos ataskaitą „Finansinio turto konvertavimas į žetonus“ (</w:t>
      </w:r>
      <w:proofErr w:type="spellStart"/>
      <w:r w:rsidRPr="006062A6">
        <w:rPr>
          <w:i/>
        </w:rPr>
        <w:t>Tokenization</w:t>
      </w:r>
      <w:proofErr w:type="spellEnd"/>
      <w:r w:rsidRPr="006062A6">
        <w:rPr>
          <w:i/>
        </w:rPr>
        <w:t xml:space="preserve"> </w:t>
      </w:r>
      <w:proofErr w:type="spellStart"/>
      <w:r w:rsidRPr="006062A6">
        <w:rPr>
          <w:i/>
        </w:rPr>
        <w:t>of</w:t>
      </w:r>
      <w:proofErr w:type="spellEnd"/>
      <w:r w:rsidRPr="006062A6">
        <w:rPr>
          <w:i/>
        </w:rPr>
        <w:t xml:space="preserve"> </w:t>
      </w:r>
      <w:proofErr w:type="spellStart"/>
      <w:r w:rsidRPr="006062A6">
        <w:rPr>
          <w:i/>
        </w:rPr>
        <w:t>financial</w:t>
      </w:r>
      <w:proofErr w:type="spellEnd"/>
      <w:r w:rsidRPr="006062A6">
        <w:rPr>
          <w:i/>
        </w:rPr>
        <w:t xml:space="preserve"> </w:t>
      </w:r>
      <w:proofErr w:type="spellStart"/>
      <w:r w:rsidRPr="006062A6">
        <w:rPr>
          <w:i/>
        </w:rPr>
        <w:t>assets</w:t>
      </w:r>
      <w:proofErr w:type="spellEnd"/>
      <w:r w:rsidRPr="006062A6">
        <w:t xml:space="preserve">), </w:t>
      </w:r>
    </w:p>
    <w:p w14:paraId="629543CA" w14:textId="77777777" w:rsidR="00D268A4" w:rsidRPr="006062A6" w:rsidRDefault="00D268A4" w:rsidP="00D268A4">
      <w:pPr>
        <w:pStyle w:val="NormalHanging"/>
      </w:pPr>
      <w:r w:rsidRPr="006062A6">
        <w:t>–</w:t>
      </w:r>
      <w:r w:rsidRPr="006062A6">
        <w:tab/>
        <w:t>atsižvelgdamas į 2025 m. birželio mėn. paskelbtą Tarptautinių atsiskaitymų banko (TAB) metinę ekonominę ataskaitą,</w:t>
      </w:r>
    </w:p>
    <w:p w14:paraId="13567B18" w14:textId="77777777" w:rsidR="00D268A4" w:rsidRPr="006062A6" w:rsidRDefault="00D268A4" w:rsidP="00D268A4">
      <w:pPr>
        <w:pStyle w:val="NormalHanging"/>
      </w:pPr>
      <w:r w:rsidRPr="006062A6">
        <w:t>–</w:t>
      </w:r>
      <w:r w:rsidRPr="006062A6">
        <w:tab/>
        <w:t xml:space="preserve">atsižvelgdamas į 2025 m. spalio 16 d. Finansinio stabilumo tarybos (FST) ataskaitą „Teminė FST pasaulinės </w:t>
      </w:r>
      <w:proofErr w:type="spellStart"/>
      <w:r w:rsidRPr="006062A6">
        <w:t>kriptoturto</w:t>
      </w:r>
      <w:proofErr w:type="spellEnd"/>
      <w:r w:rsidRPr="006062A6">
        <w:t xml:space="preserve"> veiklos reglamentavimo sistemos apžvalga“ (</w:t>
      </w:r>
      <w:proofErr w:type="spellStart"/>
      <w:r w:rsidRPr="006062A6">
        <w:rPr>
          <w:i/>
        </w:rPr>
        <w:t>Thematic</w:t>
      </w:r>
      <w:proofErr w:type="spellEnd"/>
      <w:r w:rsidRPr="006062A6">
        <w:rPr>
          <w:i/>
        </w:rPr>
        <w:t xml:space="preserve"> </w:t>
      </w:r>
      <w:proofErr w:type="spellStart"/>
      <w:r w:rsidRPr="006062A6">
        <w:rPr>
          <w:i/>
        </w:rPr>
        <w:t>Review</w:t>
      </w:r>
      <w:proofErr w:type="spellEnd"/>
      <w:r w:rsidRPr="006062A6">
        <w:rPr>
          <w:i/>
        </w:rPr>
        <w:t xml:space="preserve"> </w:t>
      </w:r>
      <w:proofErr w:type="spellStart"/>
      <w:r w:rsidRPr="006062A6">
        <w:rPr>
          <w:i/>
        </w:rPr>
        <w:t>on</w:t>
      </w:r>
      <w:proofErr w:type="spellEnd"/>
      <w:r w:rsidRPr="006062A6">
        <w:rPr>
          <w:i/>
        </w:rPr>
        <w:t xml:space="preserve"> FSB Global </w:t>
      </w:r>
      <w:proofErr w:type="spellStart"/>
      <w:r w:rsidRPr="006062A6">
        <w:rPr>
          <w:i/>
        </w:rPr>
        <w:t>Regulatory</w:t>
      </w:r>
      <w:proofErr w:type="spellEnd"/>
      <w:r w:rsidRPr="006062A6">
        <w:rPr>
          <w:i/>
        </w:rPr>
        <w:t xml:space="preserve"> </w:t>
      </w:r>
      <w:proofErr w:type="spellStart"/>
      <w:r w:rsidRPr="006062A6">
        <w:rPr>
          <w:i/>
        </w:rPr>
        <w:t>Framework</w:t>
      </w:r>
      <w:proofErr w:type="spellEnd"/>
      <w:r w:rsidRPr="006062A6">
        <w:rPr>
          <w:i/>
        </w:rPr>
        <w:t xml:space="preserve"> </w:t>
      </w:r>
      <w:proofErr w:type="spellStart"/>
      <w:r w:rsidRPr="006062A6">
        <w:rPr>
          <w:i/>
        </w:rPr>
        <w:t>for</w:t>
      </w:r>
      <w:proofErr w:type="spellEnd"/>
      <w:r w:rsidRPr="006062A6">
        <w:rPr>
          <w:i/>
        </w:rPr>
        <w:t xml:space="preserve"> </w:t>
      </w:r>
      <w:proofErr w:type="spellStart"/>
      <w:r w:rsidRPr="006062A6">
        <w:rPr>
          <w:i/>
        </w:rPr>
        <w:t>Crypto-asset</w:t>
      </w:r>
      <w:proofErr w:type="spellEnd"/>
      <w:r w:rsidRPr="006062A6">
        <w:rPr>
          <w:i/>
        </w:rPr>
        <w:t xml:space="preserve"> </w:t>
      </w:r>
      <w:proofErr w:type="spellStart"/>
      <w:r w:rsidRPr="006062A6">
        <w:rPr>
          <w:i/>
        </w:rPr>
        <w:t>Activities</w:t>
      </w:r>
      <w:proofErr w:type="spellEnd"/>
      <w:r w:rsidRPr="006062A6">
        <w:t>),</w:t>
      </w:r>
    </w:p>
    <w:p w14:paraId="77BD11F8" w14:textId="77777777" w:rsidR="00D268A4" w:rsidRPr="006062A6" w:rsidRDefault="00D268A4" w:rsidP="00D268A4">
      <w:pPr>
        <w:pStyle w:val="NormalHanging"/>
      </w:pPr>
      <w:r w:rsidRPr="006062A6">
        <w:t>–</w:t>
      </w:r>
      <w:r w:rsidRPr="006062A6">
        <w:tab/>
        <w:t xml:space="preserve">atsižvelgdamas į 2024 m. spalio 22 d. FST padėties ataskaitą „G20 </w:t>
      </w:r>
      <w:proofErr w:type="spellStart"/>
      <w:r w:rsidRPr="006062A6">
        <w:t>kriptoturto</w:t>
      </w:r>
      <w:proofErr w:type="spellEnd"/>
      <w:r w:rsidRPr="006062A6">
        <w:t xml:space="preserve"> politikos įgyvendinimo gairės“ (</w:t>
      </w:r>
      <w:r w:rsidRPr="006062A6">
        <w:rPr>
          <w:i/>
        </w:rPr>
        <w:t xml:space="preserve">G20 </w:t>
      </w:r>
      <w:proofErr w:type="spellStart"/>
      <w:r w:rsidRPr="006062A6">
        <w:rPr>
          <w:i/>
        </w:rPr>
        <w:t>Crypto-asset</w:t>
      </w:r>
      <w:proofErr w:type="spellEnd"/>
      <w:r w:rsidRPr="006062A6">
        <w:rPr>
          <w:i/>
        </w:rPr>
        <w:t xml:space="preserve"> </w:t>
      </w:r>
      <w:proofErr w:type="spellStart"/>
      <w:r w:rsidRPr="006062A6">
        <w:rPr>
          <w:i/>
        </w:rPr>
        <w:t>Policy</w:t>
      </w:r>
      <w:proofErr w:type="spellEnd"/>
      <w:r w:rsidRPr="006062A6">
        <w:rPr>
          <w:i/>
        </w:rPr>
        <w:t xml:space="preserve"> </w:t>
      </w:r>
      <w:proofErr w:type="spellStart"/>
      <w:r w:rsidRPr="006062A6">
        <w:rPr>
          <w:i/>
        </w:rPr>
        <w:t>Implementation</w:t>
      </w:r>
      <w:proofErr w:type="spellEnd"/>
      <w:r w:rsidRPr="006062A6">
        <w:rPr>
          <w:i/>
        </w:rPr>
        <w:t xml:space="preserve"> </w:t>
      </w:r>
      <w:proofErr w:type="spellStart"/>
      <w:r w:rsidRPr="006062A6">
        <w:rPr>
          <w:i/>
        </w:rPr>
        <w:t>Roadmap</w:t>
      </w:r>
      <w:proofErr w:type="spellEnd"/>
      <w:r w:rsidRPr="006062A6">
        <w:t xml:space="preserve">), </w:t>
      </w:r>
    </w:p>
    <w:p w14:paraId="2B675786" w14:textId="77777777" w:rsidR="00D268A4" w:rsidRPr="006062A6" w:rsidRDefault="00D268A4" w:rsidP="00D268A4">
      <w:pPr>
        <w:pStyle w:val="NormalHanging"/>
      </w:pPr>
      <w:r w:rsidRPr="006062A6">
        <w:t>–</w:t>
      </w:r>
      <w:r w:rsidRPr="006062A6">
        <w:tab/>
        <w:t>atsižvelgdamas į 2024 m. spalio 22 d. FST padėties ataskaitą „Konvertavimo į žetonus poveikis finansiniam stabilumui“ (</w:t>
      </w:r>
      <w:proofErr w:type="spellStart"/>
      <w:r w:rsidRPr="006062A6">
        <w:rPr>
          <w:i/>
        </w:rPr>
        <w:t>The</w:t>
      </w:r>
      <w:proofErr w:type="spellEnd"/>
      <w:r w:rsidRPr="006062A6">
        <w:rPr>
          <w:i/>
        </w:rPr>
        <w:t xml:space="preserve"> </w:t>
      </w:r>
      <w:proofErr w:type="spellStart"/>
      <w:r w:rsidRPr="006062A6">
        <w:rPr>
          <w:i/>
        </w:rPr>
        <w:t>financial</w:t>
      </w:r>
      <w:proofErr w:type="spellEnd"/>
      <w:r w:rsidRPr="006062A6">
        <w:rPr>
          <w:i/>
        </w:rPr>
        <w:t xml:space="preserve"> </w:t>
      </w:r>
      <w:proofErr w:type="spellStart"/>
      <w:r w:rsidRPr="006062A6">
        <w:rPr>
          <w:i/>
        </w:rPr>
        <w:t>stability</w:t>
      </w:r>
      <w:proofErr w:type="spellEnd"/>
      <w:r w:rsidRPr="006062A6">
        <w:rPr>
          <w:i/>
        </w:rPr>
        <w:t xml:space="preserve"> </w:t>
      </w:r>
      <w:proofErr w:type="spellStart"/>
      <w:r w:rsidRPr="006062A6">
        <w:rPr>
          <w:i/>
        </w:rPr>
        <w:t>implications</w:t>
      </w:r>
      <w:proofErr w:type="spellEnd"/>
      <w:r w:rsidRPr="006062A6">
        <w:rPr>
          <w:i/>
        </w:rPr>
        <w:t xml:space="preserve"> </w:t>
      </w:r>
      <w:proofErr w:type="spellStart"/>
      <w:r w:rsidRPr="006062A6">
        <w:rPr>
          <w:i/>
        </w:rPr>
        <w:t>of</w:t>
      </w:r>
      <w:proofErr w:type="spellEnd"/>
      <w:r w:rsidRPr="006062A6">
        <w:rPr>
          <w:i/>
        </w:rPr>
        <w:t xml:space="preserve"> </w:t>
      </w:r>
      <w:proofErr w:type="spellStart"/>
      <w:r w:rsidRPr="006062A6">
        <w:rPr>
          <w:i/>
        </w:rPr>
        <w:t>tokenisation</w:t>
      </w:r>
      <w:proofErr w:type="spellEnd"/>
      <w:r w:rsidRPr="006062A6">
        <w:t>),</w:t>
      </w:r>
    </w:p>
    <w:p w14:paraId="3695700B" w14:textId="77777777" w:rsidR="00D268A4" w:rsidRPr="006062A6" w:rsidRDefault="00D268A4" w:rsidP="00D268A4">
      <w:pPr>
        <w:pStyle w:val="NormalHanging"/>
      </w:pPr>
      <w:r w:rsidRPr="006062A6">
        <w:t>–</w:t>
      </w:r>
      <w:r w:rsidRPr="006062A6">
        <w:tab/>
        <w:t>atsižvelgdamas į 2025 m. lapkričio 10 d. Anglijos banko konsultacijoms skirtą dokumentą „Siūloma sterlingais išreikštų sisteminių stabilizuotųjų virtualiųjų valiutų reglamentavimo sistema“ (</w:t>
      </w:r>
      <w:proofErr w:type="spellStart"/>
      <w:r w:rsidRPr="006062A6">
        <w:rPr>
          <w:i/>
        </w:rPr>
        <w:t>Proposed</w:t>
      </w:r>
      <w:proofErr w:type="spellEnd"/>
      <w:r w:rsidRPr="006062A6">
        <w:rPr>
          <w:i/>
        </w:rPr>
        <w:t xml:space="preserve"> </w:t>
      </w:r>
      <w:proofErr w:type="spellStart"/>
      <w:r w:rsidRPr="006062A6">
        <w:rPr>
          <w:i/>
        </w:rPr>
        <w:t>regulatory</w:t>
      </w:r>
      <w:proofErr w:type="spellEnd"/>
      <w:r w:rsidRPr="006062A6">
        <w:rPr>
          <w:i/>
        </w:rPr>
        <w:t xml:space="preserve"> regime </w:t>
      </w:r>
      <w:proofErr w:type="spellStart"/>
      <w:r w:rsidRPr="006062A6">
        <w:rPr>
          <w:i/>
        </w:rPr>
        <w:t>for</w:t>
      </w:r>
      <w:proofErr w:type="spellEnd"/>
      <w:r w:rsidRPr="006062A6">
        <w:rPr>
          <w:i/>
        </w:rPr>
        <w:t xml:space="preserve"> </w:t>
      </w:r>
      <w:proofErr w:type="spellStart"/>
      <w:r w:rsidRPr="006062A6">
        <w:rPr>
          <w:i/>
        </w:rPr>
        <w:t>sterling-denominated</w:t>
      </w:r>
      <w:proofErr w:type="spellEnd"/>
      <w:r w:rsidRPr="006062A6">
        <w:rPr>
          <w:i/>
        </w:rPr>
        <w:t xml:space="preserve"> </w:t>
      </w:r>
      <w:proofErr w:type="spellStart"/>
      <w:r w:rsidRPr="006062A6">
        <w:rPr>
          <w:i/>
        </w:rPr>
        <w:t>systemic</w:t>
      </w:r>
      <w:proofErr w:type="spellEnd"/>
      <w:r w:rsidRPr="006062A6">
        <w:rPr>
          <w:i/>
        </w:rPr>
        <w:t xml:space="preserve"> </w:t>
      </w:r>
      <w:proofErr w:type="spellStart"/>
      <w:r w:rsidRPr="006062A6">
        <w:rPr>
          <w:i/>
        </w:rPr>
        <w:t>stablecoins</w:t>
      </w:r>
      <w:proofErr w:type="spellEnd"/>
      <w:r w:rsidRPr="006062A6">
        <w:t>),</w:t>
      </w:r>
    </w:p>
    <w:p w14:paraId="1DF830F6" w14:textId="77777777" w:rsidR="00D268A4" w:rsidRPr="006062A6" w:rsidRDefault="00D268A4" w:rsidP="00D268A4">
      <w:pPr>
        <w:pStyle w:val="NormalHanging"/>
      </w:pPr>
      <w:r w:rsidRPr="006062A6">
        <w:t>–</w:t>
      </w:r>
      <w:r w:rsidRPr="006062A6">
        <w:tab/>
        <w:t>atsižvelgdamas į 2025 m. lapkričio mėn. Ekonomikos valdymo ir EPS tikrinimo skyriaus informacinį pranešimą „Skaitmeninis turtas: ES reglamentavimo sistema, įsisavinimas rinkoje, rizika ir iššūkiai“ (</w:t>
      </w:r>
      <w:r w:rsidRPr="006062A6">
        <w:rPr>
          <w:i/>
        </w:rPr>
        <w:t xml:space="preserve">Digital </w:t>
      </w:r>
      <w:proofErr w:type="spellStart"/>
      <w:r w:rsidRPr="006062A6">
        <w:rPr>
          <w:i/>
        </w:rPr>
        <w:t>assets</w:t>
      </w:r>
      <w:proofErr w:type="spellEnd"/>
      <w:r w:rsidRPr="006062A6">
        <w:rPr>
          <w:i/>
        </w:rPr>
        <w:t xml:space="preserve">: EU </w:t>
      </w:r>
      <w:proofErr w:type="spellStart"/>
      <w:r w:rsidRPr="006062A6">
        <w:rPr>
          <w:i/>
        </w:rPr>
        <w:t>regulatory</w:t>
      </w:r>
      <w:proofErr w:type="spellEnd"/>
      <w:r w:rsidRPr="006062A6">
        <w:rPr>
          <w:i/>
        </w:rPr>
        <w:t xml:space="preserve"> </w:t>
      </w:r>
      <w:proofErr w:type="spellStart"/>
      <w:r w:rsidRPr="006062A6">
        <w:rPr>
          <w:i/>
        </w:rPr>
        <w:t>framework</w:t>
      </w:r>
      <w:proofErr w:type="spellEnd"/>
      <w:r w:rsidRPr="006062A6">
        <w:rPr>
          <w:i/>
        </w:rPr>
        <w:t xml:space="preserve">, </w:t>
      </w:r>
      <w:proofErr w:type="spellStart"/>
      <w:r w:rsidRPr="006062A6">
        <w:rPr>
          <w:i/>
        </w:rPr>
        <w:t>market</w:t>
      </w:r>
      <w:proofErr w:type="spellEnd"/>
      <w:r w:rsidRPr="006062A6">
        <w:rPr>
          <w:i/>
        </w:rPr>
        <w:t xml:space="preserve"> </w:t>
      </w:r>
      <w:proofErr w:type="spellStart"/>
      <w:r w:rsidRPr="006062A6">
        <w:rPr>
          <w:i/>
        </w:rPr>
        <w:t>uptake</w:t>
      </w:r>
      <w:proofErr w:type="spellEnd"/>
      <w:r w:rsidRPr="006062A6">
        <w:rPr>
          <w:i/>
        </w:rPr>
        <w:t xml:space="preserve">, </w:t>
      </w:r>
      <w:proofErr w:type="spellStart"/>
      <w:r w:rsidRPr="006062A6">
        <w:rPr>
          <w:i/>
        </w:rPr>
        <w:t>risks</w:t>
      </w:r>
      <w:proofErr w:type="spellEnd"/>
      <w:r w:rsidRPr="006062A6">
        <w:rPr>
          <w:i/>
        </w:rPr>
        <w:t xml:space="preserve"> </w:t>
      </w:r>
      <w:proofErr w:type="spellStart"/>
      <w:r w:rsidRPr="006062A6">
        <w:rPr>
          <w:i/>
        </w:rPr>
        <w:t>and</w:t>
      </w:r>
      <w:proofErr w:type="spellEnd"/>
      <w:r w:rsidRPr="006062A6">
        <w:rPr>
          <w:i/>
        </w:rPr>
        <w:t xml:space="preserve"> </w:t>
      </w:r>
      <w:proofErr w:type="spellStart"/>
      <w:r w:rsidRPr="006062A6">
        <w:rPr>
          <w:i/>
        </w:rPr>
        <w:t>challenges</w:t>
      </w:r>
      <w:proofErr w:type="spellEnd"/>
      <w:r w:rsidRPr="006062A6">
        <w:t>),</w:t>
      </w:r>
    </w:p>
    <w:p w14:paraId="557B1479" w14:textId="0AB68C62" w:rsidR="00D268A4" w:rsidRPr="006062A6" w:rsidRDefault="00D268A4" w:rsidP="00D268A4">
      <w:pPr>
        <w:pStyle w:val="NormalHanging"/>
      </w:pPr>
      <w:r w:rsidRPr="006062A6">
        <w:t>–</w:t>
      </w:r>
      <w:r w:rsidRPr="006062A6">
        <w:tab/>
        <w:t>atsižvelgdamas į 2025 m. sausio 9 d. Ekonominio bendradarbiavimo ir plėtros organizacijos (EBPO) politikos dokumentą „Turto konvertavimas į žetonus ir perskirstytojo registro technologijos finansų rinkose. Galimos rinkos plėtros kliūtys ir poveikis politikai“ (</w:t>
      </w:r>
      <w:proofErr w:type="spellStart"/>
      <w:r w:rsidRPr="006062A6">
        <w:rPr>
          <w:i/>
        </w:rPr>
        <w:t>Tokenisation</w:t>
      </w:r>
      <w:proofErr w:type="spellEnd"/>
      <w:r w:rsidRPr="006062A6">
        <w:rPr>
          <w:i/>
        </w:rPr>
        <w:t xml:space="preserve"> </w:t>
      </w:r>
      <w:proofErr w:type="spellStart"/>
      <w:r w:rsidRPr="006062A6">
        <w:rPr>
          <w:i/>
        </w:rPr>
        <w:t>of</w:t>
      </w:r>
      <w:proofErr w:type="spellEnd"/>
      <w:r w:rsidRPr="006062A6">
        <w:rPr>
          <w:i/>
        </w:rPr>
        <w:t xml:space="preserve"> </w:t>
      </w:r>
      <w:proofErr w:type="spellStart"/>
      <w:r w:rsidRPr="006062A6">
        <w:rPr>
          <w:i/>
        </w:rPr>
        <w:t>assets</w:t>
      </w:r>
      <w:proofErr w:type="spellEnd"/>
      <w:r w:rsidRPr="006062A6">
        <w:rPr>
          <w:i/>
        </w:rPr>
        <w:t xml:space="preserve"> </w:t>
      </w:r>
      <w:proofErr w:type="spellStart"/>
      <w:r w:rsidRPr="006062A6">
        <w:rPr>
          <w:i/>
        </w:rPr>
        <w:t>and</w:t>
      </w:r>
      <w:proofErr w:type="spellEnd"/>
      <w:r w:rsidRPr="006062A6">
        <w:rPr>
          <w:i/>
        </w:rPr>
        <w:t xml:space="preserve"> </w:t>
      </w:r>
      <w:proofErr w:type="spellStart"/>
      <w:r w:rsidRPr="006062A6">
        <w:rPr>
          <w:i/>
        </w:rPr>
        <w:t>distributed</w:t>
      </w:r>
      <w:proofErr w:type="spellEnd"/>
      <w:r w:rsidRPr="006062A6">
        <w:rPr>
          <w:i/>
        </w:rPr>
        <w:t xml:space="preserve"> </w:t>
      </w:r>
      <w:proofErr w:type="spellStart"/>
      <w:r w:rsidRPr="006062A6">
        <w:rPr>
          <w:i/>
        </w:rPr>
        <w:t>ledger</w:t>
      </w:r>
      <w:proofErr w:type="spellEnd"/>
      <w:r w:rsidRPr="006062A6">
        <w:rPr>
          <w:i/>
        </w:rPr>
        <w:t xml:space="preserve"> </w:t>
      </w:r>
      <w:proofErr w:type="spellStart"/>
      <w:r w:rsidRPr="006062A6">
        <w:rPr>
          <w:i/>
        </w:rPr>
        <w:t>technologies</w:t>
      </w:r>
      <w:proofErr w:type="spellEnd"/>
      <w:r w:rsidRPr="006062A6">
        <w:rPr>
          <w:i/>
        </w:rPr>
        <w:t xml:space="preserve"> </w:t>
      </w:r>
      <w:proofErr w:type="spellStart"/>
      <w:r w:rsidRPr="006062A6">
        <w:rPr>
          <w:i/>
        </w:rPr>
        <w:t>in</w:t>
      </w:r>
      <w:proofErr w:type="spellEnd"/>
      <w:r w:rsidRPr="006062A6">
        <w:rPr>
          <w:i/>
        </w:rPr>
        <w:t xml:space="preserve"> </w:t>
      </w:r>
      <w:proofErr w:type="spellStart"/>
      <w:r w:rsidRPr="006062A6">
        <w:rPr>
          <w:i/>
        </w:rPr>
        <w:t>financial</w:t>
      </w:r>
      <w:proofErr w:type="spellEnd"/>
      <w:r w:rsidRPr="006062A6">
        <w:rPr>
          <w:i/>
        </w:rPr>
        <w:t xml:space="preserve"> </w:t>
      </w:r>
      <w:proofErr w:type="spellStart"/>
      <w:r w:rsidRPr="006062A6">
        <w:rPr>
          <w:i/>
        </w:rPr>
        <w:t>markets</w:t>
      </w:r>
      <w:proofErr w:type="spellEnd"/>
      <w:r w:rsidRPr="006062A6">
        <w:rPr>
          <w:i/>
        </w:rPr>
        <w:t xml:space="preserve"> – </w:t>
      </w:r>
      <w:proofErr w:type="spellStart"/>
      <w:r w:rsidRPr="006062A6">
        <w:rPr>
          <w:i/>
        </w:rPr>
        <w:t>Potential</w:t>
      </w:r>
      <w:proofErr w:type="spellEnd"/>
      <w:r w:rsidRPr="006062A6">
        <w:rPr>
          <w:i/>
        </w:rPr>
        <w:t xml:space="preserve"> </w:t>
      </w:r>
      <w:proofErr w:type="spellStart"/>
      <w:r w:rsidRPr="006062A6">
        <w:rPr>
          <w:i/>
        </w:rPr>
        <w:t>impediments</w:t>
      </w:r>
      <w:proofErr w:type="spellEnd"/>
      <w:r w:rsidRPr="006062A6">
        <w:rPr>
          <w:i/>
        </w:rPr>
        <w:t xml:space="preserve"> to </w:t>
      </w:r>
      <w:proofErr w:type="spellStart"/>
      <w:r w:rsidRPr="006062A6">
        <w:rPr>
          <w:i/>
        </w:rPr>
        <w:t>market</w:t>
      </w:r>
      <w:proofErr w:type="spellEnd"/>
      <w:r w:rsidRPr="006062A6">
        <w:rPr>
          <w:i/>
        </w:rPr>
        <w:t xml:space="preserve"> </w:t>
      </w:r>
      <w:proofErr w:type="spellStart"/>
      <w:r w:rsidRPr="006062A6">
        <w:rPr>
          <w:i/>
        </w:rPr>
        <w:t>development</w:t>
      </w:r>
      <w:proofErr w:type="spellEnd"/>
      <w:r w:rsidRPr="006062A6">
        <w:rPr>
          <w:i/>
        </w:rPr>
        <w:t xml:space="preserve"> </w:t>
      </w:r>
      <w:proofErr w:type="spellStart"/>
      <w:r w:rsidRPr="006062A6">
        <w:rPr>
          <w:i/>
        </w:rPr>
        <w:t>and</w:t>
      </w:r>
      <w:proofErr w:type="spellEnd"/>
      <w:r w:rsidRPr="006062A6">
        <w:rPr>
          <w:i/>
        </w:rPr>
        <w:t xml:space="preserve"> </w:t>
      </w:r>
      <w:proofErr w:type="spellStart"/>
      <w:r w:rsidRPr="006062A6">
        <w:rPr>
          <w:i/>
        </w:rPr>
        <w:t>policy</w:t>
      </w:r>
      <w:proofErr w:type="spellEnd"/>
      <w:r w:rsidRPr="006062A6">
        <w:rPr>
          <w:i/>
        </w:rPr>
        <w:t xml:space="preserve"> </w:t>
      </w:r>
      <w:proofErr w:type="spellStart"/>
      <w:r w:rsidRPr="006062A6">
        <w:rPr>
          <w:i/>
        </w:rPr>
        <w:t>implications</w:t>
      </w:r>
      <w:proofErr w:type="spellEnd"/>
      <w:r w:rsidRPr="006062A6">
        <w:t>)</w:t>
      </w:r>
      <w:r w:rsidR="00DD2536">
        <w:rPr>
          <w:rStyle w:val="FootnoteReference"/>
        </w:rPr>
        <w:footnoteReference w:id="2"/>
      </w:r>
      <w:r w:rsidRPr="006062A6">
        <w:t>,</w:t>
      </w:r>
    </w:p>
    <w:p w14:paraId="6DCD4E41" w14:textId="77777777" w:rsidR="00D268A4" w:rsidRPr="006062A6" w:rsidRDefault="00D268A4" w:rsidP="00D268A4">
      <w:pPr>
        <w:pStyle w:val="NormalHanging"/>
      </w:pPr>
      <w:r w:rsidRPr="006062A6">
        <w:t>–</w:t>
      </w:r>
      <w:r w:rsidRPr="006062A6">
        <w:tab/>
        <w:t>atsižvelgdamas į Darbo tvarkos taisyklių 55 straipsnį,</w:t>
      </w:r>
    </w:p>
    <w:p w14:paraId="78400DD1" w14:textId="77777777" w:rsidR="00D268A4" w:rsidRPr="006062A6" w:rsidRDefault="00D268A4" w:rsidP="00D268A4">
      <w:pPr>
        <w:pStyle w:val="NormalHanging"/>
      </w:pPr>
      <w:r w:rsidRPr="006062A6">
        <w:t>–</w:t>
      </w:r>
      <w:r w:rsidRPr="006062A6">
        <w:tab/>
        <w:t>atsižvelgdamas į Ekonomikos ir pinigų politikos komiteto pranešimą (A10-0186/2026),</w:t>
      </w:r>
    </w:p>
    <w:p w14:paraId="4C5F1505" w14:textId="77777777" w:rsidR="00D268A4" w:rsidRPr="006062A6" w:rsidRDefault="00D268A4" w:rsidP="00D268A4">
      <w:pPr>
        <w:pStyle w:val="NormalHanging"/>
      </w:pPr>
      <w:r w:rsidRPr="006062A6">
        <w:t>A.</w:t>
      </w:r>
      <w:r w:rsidRPr="006062A6">
        <w:tab/>
        <w:t xml:space="preserve">kadangi, remiantis 2024 m. lapkričio mėn. ECB vartotojų lūkesčių tyrimo duomenimis, vidutiniškai 9,7 proc. apklaustų respondentų arba kas nors iš jų namų ūkio turėjo </w:t>
      </w:r>
      <w:proofErr w:type="spellStart"/>
      <w:r w:rsidRPr="006062A6">
        <w:t>kriptoturto</w:t>
      </w:r>
      <w:proofErr w:type="spellEnd"/>
      <w:r w:rsidRPr="006062A6">
        <w:t>, iš kurių 54 proc. nurodė turintys turto, kurio vertė mažesnė nei 1 000 EUR, o 91 proc. nurodė turintys turto, kurio vertė mažesnė nei 20 000 EUR;</w:t>
      </w:r>
    </w:p>
    <w:p w14:paraId="76B631A9" w14:textId="77777777" w:rsidR="00D268A4" w:rsidRPr="006062A6" w:rsidRDefault="00D268A4" w:rsidP="00D268A4">
      <w:pPr>
        <w:pStyle w:val="NormalHanging"/>
      </w:pPr>
      <w:r w:rsidRPr="006062A6">
        <w:t>B.</w:t>
      </w:r>
      <w:r w:rsidRPr="006062A6">
        <w:tab/>
        <w:t xml:space="preserve">kadangi, remiantis privačiais duomenų šaltiniais, 2026 m. vasario 10 d. bendra pasaulinės </w:t>
      </w:r>
      <w:proofErr w:type="spellStart"/>
      <w:r w:rsidRPr="006062A6">
        <w:t>kriptoturto</w:t>
      </w:r>
      <w:proofErr w:type="spellEnd"/>
      <w:r w:rsidRPr="006062A6">
        <w:t xml:space="preserve"> rinkos kapitalizacijos vertė siekė 2,03 </w:t>
      </w:r>
      <w:proofErr w:type="spellStart"/>
      <w:r w:rsidRPr="006062A6">
        <w:t>trln</w:t>
      </w:r>
      <w:proofErr w:type="spellEnd"/>
      <w:r w:rsidRPr="006062A6">
        <w:t xml:space="preserve">. EUR, o stabilizuotųjų </w:t>
      </w:r>
      <w:r w:rsidRPr="006062A6">
        <w:lastRenderedPageBreak/>
        <w:t>virtualiųjų valiutų rinkos dalis siekė 12,9 proc. arba 261 mlrd. EUR; kadangi, remiantis ECB darbinius dokumentu Nr. 3199, rinkos lūkesčiai rodo, kad stabilizuotųjų virtualiųjų valiutų emisijos sparčiai augs;</w:t>
      </w:r>
    </w:p>
    <w:p w14:paraId="469C2039" w14:textId="77777777" w:rsidR="00D268A4" w:rsidRPr="006062A6" w:rsidRDefault="00D268A4" w:rsidP="00D268A4">
      <w:pPr>
        <w:pStyle w:val="NormalHanging"/>
      </w:pPr>
      <w:r w:rsidRPr="006062A6">
        <w:t>C.</w:t>
      </w:r>
      <w:r w:rsidRPr="006062A6">
        <w:tab/>
        <w:t>kadangi 2026 m. vasario mėn. į žetonus konvertuotas turtas sudarė apie 1 proc. pasaulinio skaitmeninio turto ir ši dalis sparčiai auga, remiantis nesuderintais privačiais duomenų šaltiniais;</w:t>
      </w:r>
    </w:p>
    <w:p w14:paraId="6E8D000C" w14:textId="77777777" w:rsidR="00D268A4" w:rsidRPr="006062A6" w:rsidRDefault="00D268A4" w:rsidP="00D268A4">
      <w:pPr>
        <w:pStyle w:val="NormalHanging"/>
      </w:pPr>
      <w:r w:rsidRPr="006062A6">
        <w:t>D.</w:t>
      </w:r>
      <w:r w:rsidRPr="006062A6">
        <w:tab/>
        <w:t xml:space="preserve">kadangi, remiantis privačiais duomenų šaltiniais, 2025 m. visame pasaulyje </w:t>
      </w:r>
      <w:proofErr w:type="spellStart"/>
      <w:r w:rsidRPr="006062A6">
        <w:t>kriptovaliutų</w:t>
      </w:r>
      <w:proofErr w:type="spellEnd"/>
      <w:r w:rsidRPr="006062A6">
        <w:t xml:space="preserve"> sektoriuje dirbo daugiau kaip 1,6 mln. specialistų, iš kurių didelė (bet mažėjanti) dalis dirba ES;</w:t>
      </w:r>
    </w:p>
    <w:p w14:paraId="3247C84B" w14:textId="313EE527" w:rsidR="00D268A4" w:rsidRPr="006062A6" w:rsidRDefault="00D268A4" w:rsidP="00D268A4">
      <w:pPr>
        <w:pStyle w:val="NormalHanging"/>
      </w:pPr>
      <w:r w:rsidRPr="006062A6">
        <w:t>E.</w:t>
      </w:r>
      <w:r w:rsidRPr="006062A6">
        <w:tab/>
        <w:t>kadangi Reglamento (ES) 2022/858 dėl paskirstytojo registro technologijos bandomosios tvarkos</w:t>
      </w:r>
      <w:r w:rsidR="00DD2536">
        <w:rPr>
          <w:rStyle w:val="FootnoteReference"/>
        </w:rPr>
        <w:footnoteReference w:id="3"/>
      </w:r>
      <w:r w:rsidRPr="006062A6">
        <w:t xml:space="preserve"> 2 straipsnio 1 dalyje paskirstytojo registro technologija (PRT) apibrėžiama kaip „technologija, leidžianti valdyti ir naudoti paskirstytuosius registrus“; kadangi 2 straipsnio 2 dalyje paskirstytasis registras apibrėžiamas kaip „informacijos saugykla, kurioje saugomi sandorių įrašai, kuria dalijamasi PRT tinklo mazgų rinkinyje ir kuri sinchronizuojama tarp PRT tinklo mazgų, naudojant susitarimo mechanizmą“;</w:t>
      </w:r>
    </w:p>
    <w:p w14:paraId="06DBA982" w14:textId="5A1FF8B8" w:rsidR="00D268A4" w:rsidRPr="006062A6" w:rsidRDefault="00D268A4" w:rsidP="00D268A4">
      <w:pPr>
        <w:pStyle w:val="NormalHanging"/>
      </w:pPr>
      <w:r w:rsidRPr="006062A6">
        <w:t>F.</w:t>
      </w:r>
      <w:r w:rsidRPr="006062A6">
        <w:tab/>
        <w:t xml:space="preserve">kadangi Reglamentu (ES) 2023/1114 dėl </w:t>
      </w:r>
      <w:proofErr w:type="spellStart"/>
      <w:r w:rsidRPr="006062A6">
        <w:t>kriptoturto</w:t>
      </w:r>
      <w:proofErr w:type="spellEnd"/>
      <w:r w:rsidRPr="006062A6">
        <w:t xml:space="preserve"> rinkų</w:t>
      </w:r>
      <w:r w:rsidR="00DD2536">
        <w:rPr>
          <w:rStyle w:val="FootnoteReference"/>
        </w:rPr>
        <w:footnoteReference w:id="4"/>
      </w:r>
      <w:r w:rsidRPr="006062A6">
        <w:t xml:space="preserve"> (toliau – </w:t>
      </w:r>
      <w:proofErr w:type="spellStart"/>
      <w:r w:rsidRPr="006062A6">
        <w:t>Kriptoturto</w:t>
      </w:r>
      <w:proofErr w:type="spellEnd"/>
      <w:r w:rsidRPr="006062A6">
        <w:t xml:space="preserve"> rinkų reglamentas) nustatoma suderinta ES </w:t>
      </w:r>
      <w:proofErr w:type="spellStart"/>
      <w:r w:rsidRPr="006062A6">
        <w:t>kriptoturto</w:t>
      </w:r>
      <w:proofErr w:type="spellEnd"/>
      <w:r w:rsidRPr="006062A6">
        <w:t xml:space="preserve"> sistema, atskiriant tris pagrindines kategorijas: elektroninių pinigų žetonus, kurių vertę siekiama stabilizuoti susiejant juos su viena oficialia valiuta, su turtu susietus žetonus, kurių vertę siekiama stabilizuoti susiejus su kuria nors kita verte ar teise arba jų deriniu, įskaitant vieną ar daugiau oficialių valiutų, ir kitą </w:t>
      </w:r>
      <w:proofErr w:type="spellStart"/>
      <w:r w:rsidRPr="006062A6">
        <w:t>kriptoturtą</w:t>
      </w:r>
      <w:proofErr w:type="spellEnd"/>
      <w:r w:rsidRPr="006062A6">
        <w:t>, t. y. skaitmeninė vertės arba teisės išraišką, kurią galima perleisti ir laikyti elektroniniu būdu naudojant paskirstytojo registro ar panašią technologiją, ir kuri nepatenka į kitas kategorijas;</w:t>
      </w:r>
    </w:p>
    <w:p w14:paraId="3402A5E9" w14:textId="77777777" w:rsidR="00D268A4" w:rsidRPr="006062A6" w:rsidRDefault="00D268A4" w:rsidP="00D268A4">
      <w:pPr>
        <w:pStyle w:val="NormalHanging"/>
      </w:pPr>
      <w:r w:rsidRPr="006062A6">
        <w:t>G.</w:t>
      </w:r>
      <w:r w:rsidRPr="006062A6">
        <w:tab/>
        <w:t xml:space="preserve">kadangi pagal </w:t>
      </w:r>
      <w:proofErr w:type="spellStart"/>
      <w:r w:rsidRPr="006062A6">
        <w:t>Kriptoturto</w:t>
      </w:r>
      <w:proofErr w:type="spellEnd"/>
      <w:r w:rsidRPr="006062A6">
        <w:t xml:space="preserve"> rinkų reglamento 2 straipsnio 4 dalį į jo taikymo sritį nepatenka </w:t>
      </w:r>
      <w:proofErr w:type="spellStart"/>
      <w:r w:rsidRPr="006062A6">
        <w:t>kriptoturtas</w:t>
      </w:r>
      <w:proofErr w:type="spellEnd"/>
      <w:r w:rsidRPr="006062A6">
        <w:t xml:space="preserve">, kuris pagal dabartinę ES teisę laikomas finansinėmis priemonėmis, indėliais, lėšomis, pakeitimo vertybiniais popieriais pozicijomis, draudimo ar pensijų produktais, taip užtikrinant, kad tokiam </w:t>
      </w:r>
      <w:proofErr w:type="spellStart"/>
      <w:r w:rsidRPr="006062A6">
        <w:t>kriptoturtui</w:t>
      </w:r>
      <w:proofErr w:type="spellEnd"/>
      <w:r w:rsidRPr="006062A6">
        <w:t xml:space="preserve"> ir toliau būtų taikomos atitinkamos konkretiems sektoriams skirtos teisės aktų sistemos, ir atspindint produktais grindžiamos priežiūros modelį pagal ES finansinių paslaugų teisę;</w:t>
      </w:r>
    </w:p>
    <w:p w14:paraId="64A3B2A2" w14:textId="77777777" w:rsidR="00D268A4" w:rsidRPr="006062A6" w:rsidRDefault="00D268A4" w:rsidP="00D268A4">
      <w:pPr>
        <w:pStyle w:val="NormalHanging"/>
      </w:pPr>
      <w:r w:rsidRPr="006062A6">
        <w:t>H.</w:t>
      </w:r>
      <w:r w:rsidRPr="006062A6">
        <w:tab/>
        <w:t xml:space="preserve">kadangi naujoji JAV administracija laikosi žymiai atviresnio požiūrio į </w:t>
      </w:r>
      <w:proofErr w:type="spellStart"/>
      <w:r w:rsidRPr="006062A6">
        <w:t>kriptoturtą</w:t>
      </w:r>
      <w:proofErr w:type="spellEnd"/>
      <w:r w:rsidRPr="006062A6">
        <w:t xml:space="preserve">, o tai pasireiškia priimant svarbius teisės aktus ir taikant švelnesnę priežiūros institucijų vykdymo užtikrinimo politiką; kadangi Jungtinėse Amerikos Valstijose reguliavimo sistema vis dar rengiama, o JAV politikos formuotojai ir reguliavimo institucijos įprastai vartoja terminą „skaitmeninis turtas“, kuris paprastai suprantamas kaip apimantis </w:t>
      </w:r>
      <w:proofErr w:type="spellStart"/>
      <w:r w:rsidRPr="006062A6">
        <w:t>kriptografiškai</w:t>
      </w:r>
      <w:proofErr w:type="spellEnd"/>
      <w:r w:rsidRPr="006062A6">
        <w:t xml:space="preserve"> skaitmeninę vertės arba teisių išraišką, saugomą paskirstytajame registre, įskaitant </w:t>
      </w:r>
      <w:proofErr w:type="spellStart"/>
      <w:r w:rsidRPr="006062A6">
        <w:t>kriptovaliutas</w:t>
      </w:r>
      <w:proofErr w:type="spellEnd"/>
      <w:r w:rsidRPr="006062A6">
        <w:t xml:space="preserve">, stabilizuotąsias virtualiąsias valiutas ir </w:t>
      </w:r>
      <w:r w:rsidRPr="006062A6">
        <w:lastRenderedPageBreak/>
        <w:t>tam tikras į žetonus konvertuotas priemones;</w:t>
      </w:r>
    </w:p>
    <w:p w14:paraId="7708ECA1" w14:textId="77777777" w:rsidR="00D268A4" w:rsidRPr="006062A6" w:rsidRDefault="00D268A4" w:rsidP="00D268A4">
      <w:pPr>
        <w:pStyle w:val="Normal12a"/>
      </w:pPr>
      <w:r w:rsidRPr="006062A6">
        <w:rPr>
          <w:b/>
          <w:i/>
        </w:rPr>
        <w:t>Apžvalga</w:t>
      </w:r>
    </w:p>
    <w:p w14:paraId="2C6ADF64" w14:textId="77777777" w:rsidR="00D268A4" w:rsidRPr="006062A6" w:rsidRDefault="00D268A4" w:rsidP="00D268A4">
      <w:pPr>
        <w:pStyle w:val="NormalHanging12a"/>
      </w:pPr>
      <w:r w:rsidRPr="006062A6">
        <w:t>1.</w:t>
      </w:r>
      <w:r w:rsidRPr="006062A6">
        <w:tab/>
        <w:t>remia ilgalaikį tikslą laikytis visą sistemą apimančio, veikla grindžiamo ir technologiškai neutralaus požiūrio į ES finansinių paslaugų reglamentavimo sistemą;</w:t>
      </w:r>
    </w:p>
    <w:p w14:paraId="1B08BF65" w14:textId="77777777" w:rsidR="00D268A4" w:rsidRPr="006062A6" w:rsidRDefault="00D268A4" w:rsidP="00D268A4">
      <w:pPr>
        <w:pStyle w:val="NormalHanging12a"/>
      </w:pPr>
      <w:r w:rsidRPr="006062A6">
        <w:t>2.</w:t>
      </w:r>
      <w:r w:rsidRPr="006062A6">
        <w:tab/>
        <w:t xml:space="preserve">pabrėžia, kad PRT ir turto konvertavimas į žetonus gali padėti įgyvendinti santaupų ir investicijų sąjungos tikslus, nes sudaromos palankesnės sąlygos tarpvalstybinėms investicijoms, mažinamas rinkos susiskaldymas ir sudaromos sąlygos veiksmingesnei ir </w:t>
      </w:r>
      <w:proofErr w:type="spellStart"/>
      <w:r w:rsidRPr="006062A6">
        <w:t>įtraukesnei</w:t>
      </w:r>
      <w:proofErr w:type="spellEnd"/>
      <w:r w:rsidRPr="006062A6">
        <w:t xml:space="preserve"> kapitalo rinkos infrastruktūrai visoje ES; pabrėžia itin svarbų sąveikumo vaidmenį;</w:t>
      </w:r>
    </w:p>
    <w:p w14:paraId="39A344C8" w14:textId="77777777" w:rsidR="00D268A4" w:rsidRPr="006062A6" w:rsidRDefault="00D268A4" w:rsidP="00D268A4">
      <w:pPr>
        <w:pStyle w:val="NormalHanging12a"/>
      </w:pPr>
      <w:r w:rsidRPr="006062A6">
        <w:t>3.</w:t>
      </w:r>
      <w:r w:rsidRPr="006062A6">
        <w:tab/>
        <w:t xml:space="preserve">pabrėžia, kad naujų technologijų atsiradimas finansų srityje kelia naujų iššūkių reglamentavimo ir priežiūros sistemai; atkreipia dėmesį į skaitmeninio turto įvairovę ir pripažįsta, kad su juo susijusi rizika ir verslo potencialas skiriasi priklausomai nuo kategorijos; patvirtina savo įsipareigojimą atlikti tikslinę ES reglamentavimo sistemų peržiūrą, siekiant sukurti tvirtas, skaitmeninį turtą palaikančias ES kapitalo rinkas ir mokėjimo infrastruktūrą; ragina Komisiją įvertinti, ar būtina ir įmanoma pagal </w:t>
      </w:r>
      <w:proofErr w:type="spellStart"/>
      <w:r w:rsidRPr="006062A6">
        <w:t>Kriptoturto</w:t>
      </w:r>
      <w:proofErr w:type="spellEnd"/>
      <w:r w:rsidRPr="006062A6">
        <w:t xml:space="preserve"> rinkų reglamentą reglamentuoti ir </w:t>
      </w:r>
      <w:proofErr w:type="spellStart"/>
      <w:r w:rsidRPr="006062A6">
        <w:t>kriptoturto</w:t>
      </w:r>
      <w:proofErr w:type="spellEnd"/>
      <w:r w:rsidRPr="006062A6">
        <w:t xml:space="preserve"> skolinimą ir skolinimąsi </w:t>
      </w:r>
      <w:proofErr w:type="spellStart"/>
      <w:r w:rsidRPr="006062A6">
        <w:t>kriptoturtu</w:t>
      </w:r>
      <w:proofErr w:type="spellEnd"/>
      <w:r w:rsidRPr="006062A6">
        <w:t>, įskaitant užstatymą, nepakeičiamuosius žetonus ir decentralizuotus finansus;</w:t>
      </w:r>
    </w:p>
    <w:p w14:paraId="4792843F" w14:textId="77777777" w:rsidR="00D268A4" w:rsidRPr="006062A6" w:rsidRDefault="00D268A4" w:rsidP="00D268A4">
      <w:pPr>
        <w:pStyle w:val="NormalHanging12a"/>
      </w:pPr>
      <w:r w:rsidRPr="006062A6">
        <w:t>4.</w:t>
      </w:r>
      <w:r w:rsidRPr="006062A6">
        <w:tab/>
        <w:t xml:space="preserve">pabrėžia, kad </w:t>
      </w:r>
      <w:proofErr w:type="spellStart"/>
      <w:r w:rsidRPr="006062A6">
        <w:t>kriptografiškai</w:t>
      </w:r>
      <w:proofErr w:type="spellEnd"/>
      <w:r w:rsidRPr="006062A6">
        <w:t xml:space="preserve"> apsaugoti paskirstytieji registrai ir panašios technologijos gali suteikti inovacijų ir junglumo pajėgumus finansinių paslaugų infrastruktūrai tiek ES, tiek ES pasaulinio vaidmens atžvilgiu; pabrėžia, kad nuspėjama, inovacijoms palanki reglamentavimo aplinka bus būtina siekiant užtikrinti, kad investicijos ir technologinė plėtra išliktų ES, ir paskatinti konkurencingumą ir pasitikėjimą eurais išreikšta finansų infrastruktūra;</w:t>
      </w:r>
    </w:p>
    <w:p w14:paraId="5AE84BB0" w14:textId="77777777" w:rsidR="00D268A4" w:rsidRPr="006062A6" w:rsidRDefault="00D268A4" w:rsidP="00D268A4">
      <w:pPr>
        <w:pStyle w:val="Normal12a"/>
      </w:pPr>
      <w:proofErr w:type="spellStart"/>
      <w:r w:rsidRPr="006062A6">
        <w:rPr>
          <w:b/>
          <w:i/>
        </w:rPr>
        <w:t>Kriptoturtas</w:t>
      </w:r>
      <w:proofErr w:type="spellEnd"/>
    </w:p>
    <w:p w14:paraId="1CAC80DF" w14:textId="3B2F2236" w:rsidR="00D268A4" w:rsidRPr="006062A6" w:rsidRDefault="00D268A4" w:rsidP="00D268A4">
      <w:pPr>
        <w:pStyle w:val="NormalHanging12a"/>
      </w:pPr>
      <w:r w:rsidRPr="006062A6">
        <w:t>5.</w:t>
      </w:r>
      <w:r w:rsidRPr="006062A6">
        <w:tab/>
        <w:t xml:space="preserve">pripažįsta, kad ES tapo viena iš pirmųjų jurisdikcijų, kuri priėmė ir įgyvendino specialią </w:t>
      </w:r>
      <w:proofErr w:type="spellStart"/>
      <w:r w:rsidRPr="006062A6">
        <w:t>kriptoturto</w:t>
      </w:r>
      <w:proofErr w:type="spellEnd"/>
      <w:r w:rsidRPr="006062A6">
        <w:t xml:space="preserve"> reglamentavimo sistemą, priėmusi </w:t>
      </w:r>
      <w:proofErr w:type="spellStart"/>
      <w:r w:rsidRPr="006062A6">
        <w:t>Kriptoturto</w:t>
      </w:r>
      <w:proofErr w:type="spellEnd"/>
      <w:r w:rsidRPr="006062A6">
        <w:t xml:space="preserve"> rinkų reglamentą, taip pat pradėjo taikyti PRT finansų sektoriuje; ragina Komisiją, glaudžiai bendradarbiaujant su EBI, ESMA, Kovos su pinigų plovimu ir teroristų finansavimu institucija (AMLA) ir nacionalinėmis kompetentingomis institucijomis, užtikrinti veiksmingą </w:t>
      </w:r>
      <w:proofErr w:type="spellStart"/>
      <w:r w:rsidRPr="006062A6">
        <w:t>Kriptoturto</w:t>
      </w:r>
      <w:proofErr w:type="spellEnd"/>
      <w:r w:rsidRPr="006062A6">
        <w:t xml:space="preserve"> rinkų reglamento vykdymą; ragina valstybes nares nenustatyti papildomų reikalavimų ir įsipareigojimų, viršijančių </w:t>
      </w:r>
      <w:proofErr w:type="spellStart"/>
      <w:r w:rsidRPr="006062A6">
        <w:t>Kriptoturto</w:t>
      </w:r>
      <w:proofErr w:type="spellEnd"/>
      <w:r w:rsidRPr="006062A6">
        <w:t xml:space="preserve"> rinkų reglamento ir Lėšų pervedimo reglamento</w:t>
      </w:r>
      <w:r w:rsidR="00DD2536">
        <w:rPr>
          <w:rStyle w:val="FootnoteReference"/>
        </w:rPr>
        <w:footnoteReference w:id="5"/>
      </w:r>
      <w:r w:rsidRPr="006062A6">
        <w:t xml:space="preserve"> sistemas;</w:t>
      </w:r>
    </w:p>
    <w:p w14:paraId="20D8AE00" w14:textId="77777777" w:rsidR="00D268A4" w:rsidRPr="006062A6" w:rsidRDefault="00D268A4" w:rsidP="00D268A4">
      <w:pPr>
        <w:pStyle w:val="NormalHanging12a"/>
      </w:pPr>
      <w:r w:rsidRPr="006062A6">
        <w:t>6.</w:t>
      </w:r>
      <w:r w:rsidRPr="006062A6">
        <w:tab/>
        <w:t xml:space="preserve">pabrėžia, kad svarbu stiprinti duomenų pajėgumus, ypač kiek tai susiję su sverto poveikiu </w:t>
      </w:r>
      <w:proofErr w:type="spellStart"/>
      <w:r w:rsidRPr="006062A6">
        <w:t>kriptosektoriuje</w:t>
      </w:r>
      <w:proofErr w:type="spellEnd"/>
      <w:r w:rsidRPr="006062A6">
        <w:t xml:space="preserve"> ir sąsajomis su ne bankų finansų įstaigų sektoriumi; ragina Komisiją toliau stebėti </w:t>
      </w:r>
      <w:proofErr w:type="spellStart"/>
      <w:r w:rsidRPr="006062A6">
        <w:t>kriptoturto</w:t>
      </w:r>
      <w:proofErr w:type="spellEnd"/>
      <w:r w:rsidRPr="006062A6">
        <w:t xml:space="preserve"> sąsajas su finansų sistema; pažymi, kad nepadengtas </w:t>
      </w:r>
      <w:proofErr w:type="spellStart"/>
      <w:r w:rsidRPr="006062A6">
        <w:t>kriptoturtas</w:t>
      </w:r>
      <w:proofErr w:type="spellEnd"/>
      <w:r w:rsidRPr="006062A6">
        <w:t xml:space="preserve"> gali būti susijęs su papildoma rizika ir nepastovumu;</w:t>
      </w:r>
    </w:p>
    <w:p w14:paraId="3397F850" w14:textId="77777777" w:rsidR="00D268A4" w:rsidRPr="006062A6" w:rsidRDefault="00D268A4" w:rsidP="00D268A4">
      <w:pPr>
        <w:pStyle w:val="NormalHanging12a"/>
      </w:pPr>
      <w:r w:rsidRPr="006062A6">
        <w:t>7.</w:t>
      </w:r>
      <w:r w:rsidRPr="006062A6">
        <w:tab/>
        <w:t xml:space="preserve">ragina EBI, ESMA, AMLA, Europos draudimo ir profesinių pensijų instituciją, nacionalines kompetentingas institucijas, ECB ir ESRV stiprinti dialogą priežiūros </w:t>
      </w:r>
      <w:r w:rsidRPr="006062A6">
        <w:lastRenderedPageBreak/>
        <w:t xml:space="preserve">klausimais dėl svarbių daugiafunkcių grupių; pabrėžia, kad reikia suderinti </w:t>
      </w:r>
      <w:proofErr w:type="spellStart"/>
      <w:r w:rsidRPr="006062A6">
        <w:t>Kriptoturto</w:t>
      </w:r>
      <w:proofErr w:type="spellEnd"/>
      <w:r w:rsidRPr="006062A6">
        <w:t xml:space="preserve"> rinkų reglamento politikos sistemą, taikomą svarbioms ne bankų daugiafunkcėms grupėms;</w:t>
      </w:r>
    </w:p>
    <w:p w14:paraId="681DE562" w14:textId="77777777" w:rsidR="00D268A4" w:rsidRPr="006062A6" w:rsidRDefault="00D268A4" w:rsidP="00D268A4">
      <w:pPr>
        <w:pStyle w:val="NormalHanging12a"/>
      </w:pPr>
      <w:r w:rsidRPr="006062A6">
        <w:t>8.</w:t>
      </w:r>
      <w:r w:rsidRPr="006062A6">
        <w:tab/>
        <w:t>pripažįsta, kad paskirstytojo registro technologijos kelia finansų priežiūros institucijoms naujų technologinių ir veiklos klausimų, įskaitant klausimus, susijusias su išmaniųjų sutarčių saugumu, decentralizuotų tinklų valdymu, kibernetiniu atsparumu ir veiklos rizikos valdymu; ragina priežiūros institucijas įgyti pakankamos techninės kompetencijos, kad galėtų veiksmingai suprasti ir stebėti šios besiformuojančios rinkos infrastruktūros objektus;</w:t>
      </w:r>
    </w:p>
    <w:p w14:paraId="5DF5D603" w14:textId="77777777" w:rsidR="00D268A4" w:rsidRPr="006062A6" w:rsidRDefault="00D268A4" w:rsidP="00D268A4">
      <w:pPr>
        <w:pStyle w:val="NormalHanging12a"/>
      </w:pPr>
      <w:r w:rsidRPr="006062A6">
        <w:t>9.</w:t>
      </w:r>
      <w:r w:rsidRPr="006062A6">
        <w:tab/>
        <w:t xml:space="preserve">reiškia susirūpinimą dėl </w:t>
      </w:r>
      <w:proofErr w:type="spellStart"/>
      <w:r w:rsidRPr="006062A6">
        <w:t>kriptoturto</w:t>
      </w:r>
      <w:proofErr w:type="spellEnd"/>
      <w:r w:rsidRPr="006062A6">
        <w:t xml:space="preserve"> vaidmens siekiant apeiti kovos su pinigų plovimu ir terorizmo finansavimu taisykles ir sankcijas; pabrėžia, kad kovojant su pinigų plovimo ir terorizmo finansavimo rizika svarbu griežtinti priežiūros priemones, vykdymo užtikrinimą ir atitikties standartus, įskaitant „pažink savo klientą“ standartus ir mokėjimų stebėseną; pabrėžia, jog svarbu, kad tyrimo institucijos naudotų su </w:t>
      </w:r>
      <w:proofErr w:type="spellStart"/>
      <w:r w:rsidRPr="006062A6">
        <w:t>kriptoturtu</w:t>
      </w:r>
      <w:proofErr w:type="spellEnd"/>
      <w:r w:rsidRPr="006062A6">
        <w:t xml:space="preserve"> susijusias technologijas, kad atgrasytų nuo </w:t>
      </w:r>
      <w:proofErr w:type="spellStart"/>
      <w:r w:rsidRPr="006062A6">
        <w:t>kriptoturto</w:t>
      </w:r>
      <w:proofErr w:type="spellEnd"/>
      <w:r w:rsidRPr="006062A6">
        <w:t xml:space="preserve"> nusikaltimų, ir bendradarbiauti tarpusavyje blokuodamos nustatytus neteisėtus sandorius arba neteisėtus sandorius, apie kuriuos pranešta;</w:t>
      </w:r>
    </w:p>
    <w:p w14:paraId="3B202322" w14:textId="77777777" w:rsidR="00D268A4" w:rsidRPr="006062A6" w:rsidRDefault="00D268A4" w:rsidP="00D268A4">
      <w:pPr>
        <w:pStyle w:val="NormalHanging12a"/>
      </w:pPr>
      <w:r w:rsidRPr="006062A6">
        <w:t>10.</w:t>
      </w:r>
      <w:r w:rsidRPr="006062A6">
        <w:tab/>
        <w:t xml:space="preserve">pažymi, kad atsirandant mišriems produktams, kuriuose derinamos </w:t>
      </w:r>
      <w:proofErr w:type="spellStart"/>
      <w:r w:rsidRPr="006062A6">
        <w:t>kriptoturto</w:t>
      </w:r>
      <w:proofErr w:type="spellEnd"/>
      <w:r w:rsidRPr="006062A6">
        <w:t xml:space="preserve"> ir tradicinių finansinių priemonių savybės, gali atsirasti teisinis neapibrėžtumas;</w:t>
      </w:r>
    </w:p>
    <w:p w14:paraId="5AF0945C" w14:textId="77777777" w:rsidR="00D268A4" w:rsidRPr="006062A6" w:rsidRDefault="00D268A4" w:rsidP="00D268A4">
      <w:pPr>
        <w:pStyle w:val="Normal12a"/>
      </w:pPr>
      <w:r w:rsidRPr="006062A6">
        <w:rPr>
          <w:b/>
          <w:i/>
        </w:rPr>
        <w:t>Finansinių priemonių konvertavimas į žetonus</w:t>
      </w:r>
    </w:p>
    <w:p w14:paraId="5A78726D" w14:textId="77777777" w:rsidR="00D268A4" w:rsidRPr="006062A6" w:rsidRDefault="00D268A4" w:rsidP="00D268A4">
      <w:pPr>
        <w:pStyle w:val="NormalHanging12a"/>
      </w:pPr>
      <w:r w:rsidRPr="006062A6">
        <w:t>11.</w:t>
      </w:r>
      <w:r w:rsidRPr="006062A6">
        <w:tab/>
        <w:t xml:space="preserve">pažymi, kad Reglamento (ES) 2022/858 3 konstatuojamojoje dalyje finansinių priemonių pakeitimas </w:t>
      </w:r>
      <w:proofErr w:type="spellStart"/>
      <w:r w:rsidRPr="006062A6">
        <w:t>kriptožetonais</w:t>
      </w:r>
      <w:proofErr w:type="spellEnd"/>
      <w:r w:rsidRPr="006062A6">
        <w:t xml:space="preserve"> apibrėžiamas kaip „finansinių priemonių skaitmeninis pateikimas paskirstytajame registre arba </w:t>
      </w:r>
      <w:proofErr w:type="spellStart"/>
      <w:r w:rsidRPr="006062A6">
        <w:t>kriptožetonais</w:t>
      </w:r>
      <w:proofErr w:type="spellEnd"/>
      <w:r w:rsidRPr="006062A6">
        <w:t xml:space="preserve"> pakeistų tradicinio turto klasių emisijos siekiant jas išleisti, saugoti ar perleisti paskirstytajame registre“;</w:t>
      </w:r>
    </w:p>
    <w:p w14:paraId="59CA93BE" w14:textId="77777777" w:rsidR="00D268A4" w:rsidRPr="006062A6" w:rsidRDefault="00D268A4" w:rsidP="00D268A4">
      <w:pPr>
        <w:pStyle w:val="NormalHanging12a"/>
      </w:pPr>
      <w:r w:rsidRPr="006062A6">
        <w:t>12.</w:t>
      </w:r>
      <w:r w:rsidRPr="006062A6">
        <w:tab/>
        <w:t>pabrėžia, kad dėl finansinio turto konvertavimo į žetonus savaime nesikeičia šio turto teisinis pobūdis ar pagrindinės ekonominės savybės; pabrėžia, kad į žetonus konvertuotomis finansinėmis priemonėmis turi būti suteikiamos teisės, lygiavertės toms teisėms, kurios priskiriamos tradiciniams vertybiniams popieriams, siekiant užkirsti kelią reglamentavimo arbitražui ir užtikrinti investuotojų apsaugą;</w:t>
      </w:r>
    </w:p>
    <w:p w14:paraId="4B92B930" w14:textId="77777777" w:rsidR="00D268A4" w:rsidRPr="006062A6" w:rsidRDefault="00D268A4" w:rsidP="00D268A4">
      <w:pPr>
        <w:pStyle w:val="NormalHanging12a"/>
      </w:pPr>
      <w:r w:rsidRPr="006062A6">
        <w:t>13.</w:t>
      </w:r>
      <w:r w:rsidRPr="006062A6">
        <w:tab/>
        <w:t>palankiai vertina galimą konvertavimo į žetonus naudą prekybai laikomam finansiniam turtui, pvz., didesnį veiksmingumą ir skaidrumą, mažesnę sandorio šalies riziką ir veiklos sąnaudas, galimybę sudaryti išmaniąsias sutartis ir didesnį likvidumą per dalinę nuosavybę, kartu pažymėdamas, kad reikėtų stebėti jo pažeidžiamumą;</w:t>
      </w:r>
    </w:p>
    <w:p w14:paraId="56D7461F" w14:textId="77777777" w:rsidR="00D268A4" w:rsidRPr="006062A6" w:rsidRDefault="00D268A4" w:rsidP="00D268A4">
      <w:pPr>
        <w:pStyle w:val="NormalHanging12a"/>
      </w:pPr>
      <w:r w:rsidRPr="006062A6">
        <w:t>14.</w:t>
      </w:r>
      <w:r w:rsidRPr="006062A6">
        <w:tab/>
        <w:t>ragina Komisiją palengvinti ir skatinti turto konvertavimą į žetonus finansinių paslaugų srityje, primygtinai reikalaujant sąveikumo ir užkertant kelią susiskaidymui, laikantis standartų visoje bendrojoje rinkoje ir užtikrinant infrastruktūrą;</w:t>
      </w:r>
    </w:p>
    <w:p w14:paraId="1BA9EB61" w14:textId="77777777" w:rsidR="00D268A4" w:rsidRPr="006062A6" w:rsidRDefault="00D268A4" w:rsidP="00D268A4">
      <w:pPr>
        <w:pStyle w:val="NormalHanging12a"/>
      </w:pPr>
      <w:r w:rsidRPr="006062A6">
        <w:t>15.</w:t>
      </w:r>
      <w:r w:rsidRPr="006062A6">
        <w:tab/>
        <w:t>pripažįsta ECB pastangas pateikti sprendimus, įskaitant infrastruktūrą, suteikiančią galimybę naudoti didmeninio centrinio banko skaitmeninę valiutą, kuri leidžia bendrame registre atsiskaityti už lėšų ir turto dalį, papildant į žetonus konvertuotus komercinių bankų indėlius ir stabilizuotąsias virtualiąsias valiutas;</w:t>
      </w:r>
    </w:p>
    <w:p w14:paraId="60B7B317" w14:textId="77777777" w:rsidR="00D268A4" w:rsidRPr="006062A6" w:rsidRDefault="00D268A4" w:rsidP="00D268A4">
      <w:pPr>
        <w:pStyle w:val="NormalHanging12a"/>
      </w:pPr>
      <w:r w:rsidRPr="006062A6">
        <w:t>16.</w:t>
      </w:r>
      <w:r w:rsidRPr="006062A6">
        <w:tab/>
        <w:t xml:space="preserve">pabrėžia Europos į žetonus konvertuotų priemonių rinkos visuotinio </w:t>
      </w:r>
      <w:proofErr w:type="spellStart"/>
      <w:r w:rsidRPr="006062A6">
        <w:t>sąsajumo</w:t>
      </w:r>
      <w:proofErr w:type="spellEnd"/>
      <w:r w:rsidRPr="006062A6">
        <w:t xml:space="preserve"> galimybę; pabrėžia, kad, siekiant suderinti klasifikavimo kriterijus, principus ir </w:t>
      </w:r>
      <w:r w:rsidRPr="006062A6">
        <w:lastRenderedPageBreak/>
        <w:t>standartus, labai svarbu užmegzti tarptautinį bendradarbiavimą; remia TAB veiklą, susijusią su bendradarbiavimo tarptautinių mokėjimų srityje iniciatyvomis;</w:t>
      </w:r>
    </w:p>
    <w:p w14:paraId="025E64CF" w14:textId="77777777" w:rsidR="00D268A4" w:rsidRPr="006062A6" w:rsidRDefault="00D268A4" w:rsidP="00D268A4">
      <w:pPr>
        <w:pStyle w:val="NormalHanging12a"/>
      </w:pPr>
      <w:r w:rsidRPr="006062A6">
        <w:t>17.</w:t>
      </w:r>
      <w:r w:rsidRPr="006062A6">
        <w:tab/>
        <w:t>palankiai vertina vykstančias diskusijas dėl PRT bandomosios tvarkos, kuri yra viena rinkos integracijos ir priežiūros dokumentų rinkinio dalių;</w:t>
      </w:r>
    </w:p>
    <w:p w14:paraId="7A4DF871" w14:textId="77777777" w:rsidR="00D268A4" w:rsidRPr="006062A6" w:rsidRDefault="00D268A4" w:rsidP="00D268A4">
      <w:pPr>
        <w:pStyle w:val="Normal12a"/>
      </w:pPr>
      <w:r w:rsidRPr="006062A6">
        <w:rPr>
          <w:b/>
          <w:i/>
        </w:rPr>
        <w:t>Stabilizuotosios virtualiosios valiutos</w:t>
      </w:r>
    </w:p>
    <w:p w14:paraId="1C40FD71" w14:textId="77777777" w:rsidR="00D268A4" w:rsidRPr="006062A6" w:rsidRDefault="00D268A4" w:rsidP="00D268A4">
      <w:pPr>
        <w:pStyle w:val="NormalHanging12a"/>
      </w:pPr>
      <w:r w:rsidRPr="006062A6">
        <w:t>18.</w:t>
      </w:r>
      <w:r w:rsidRPr="006062A6">
        <w:tab/>
        <w:t xml:space="preserve">pažymi, kad stabilizuotosios virtualiosios valiutos pagal </w:t>
      </w:r>
      <w:proofErr w:type="spellStart"/>
      <w:r w:rsidRPr="006062A6">
        <w:t>Kriptoturto</w:t>
      </w:r>
      <w:proofErr w:type="spellEnd"/>
      <w:r w:rsidRPr="006062A6">
        <w:t xml:space="preserve"> rinkų reglamento teisinę sistemą gali būti priskiriamos dviem kategorijoms: su turtu susietiems žetonams ir elektroninių pinigų (e. pinigų) žetonams;</w:t>
      </w:r>
    </w:p>
    <w:p w14:paraId="0447A24F" w14:textId="77777777" w:rsidR="00D268A4" w:rsidRDefault="00D268A4" w:rsidP="00D268A4">
      <w:pPr>
        <w:pStyle w:val="NormalHanging12a"/>
      </w:pPr>
      <w:r w:rsidRPr="006062A6">
        <w:t>19.</w:t>
      </w:r>
      <w:r w:rsidRPr="006062A6">
        <w:tab/>
        <w:t>pažymi, kad stabilizuotosios virtualiosios valiutos yra privačių pinigų kūrimo forma ir kad jų ekonominė funkcija yra panaši į valiutos kurso susiejimą, pinigų rinkos fondus ir šimtaprocentinio rezervo bankus (angl. „</w:t>
      </w:r>
      <w:proofErr w:type="spellStart"/>
      <w:r w:rsidRPr="006062A6">
        <w:t>narrow</w:t>
      </w:r>
      <w:proofErr w:type="spellEnd"/>
      <w:r w:rsidRPr="006062A6">
        <w:t xml:space="preserve"> </w:t>
      </w:r>
      <w:proofErr w:type="spellStart"/>
      <w:r w:rsidRPr="006062A6">
        <w:t>banks</w:t>
      </w:r>
      <w:proofErr w:type="spellEnd"/>
      <w:r w:rsidRPr="006062A6">
        <w:t xml:space="preserve">“); vis dėlto pabrėžia, kad pagal </w:t>
      </w:r>
      <w:proofErr w:type="spellStart"/>
      <w:r w:rsidRPr="006062A6">
        <w:t>Kriptoturto</w:t>
      </w:r>
      <w:proofErr w:type="spellEnd"/>
      <w:r w:rsidRPr="006062A6">
        <w:t xml:space="preserve"> rinkų reglamentą draudžiama e. pinigų žetonų emitentams ir </w:t>
      </w:r>
      <w:proofErr w:type="spellStart"/>
      <w:r w:rsidRPr="006062A6">
        <w:t>kriptoturto</w:t>
      </w:r>
      <w:proofErr w:type="spellEnd"/>
      <w:r w:rsidRPr="006062A6">
        <w:t xml:space="preserve"> paslaugų teikėjams tiesiogiai ar netiesiogiai skirti palūkanas, susijusias su e. pinigų žetonais, ir kad stabilizuotosios virtualiosios valiutos neturi tiesioginės prieigos prie centrinių bankų, o jų turėtojams netaikomos indėlių garantijos; atkreipia dėmesį į devalvacijos arba vertės nuokrypio ir finansinio tarpininkavimo atsisakymo riziką, susijusią su stabilizuotosiomis virtualiosiomis valiutomis;</w:t>
      </w:r>
    </w:p>
    <w:p w14:paraId="12562A19" w14:textId="78775B5C" w:rsidR="004F64BA" w:rsidRPr="006062A6" w:rsidRDefault="004F64BA" w:rsidP="00D268A4">
      <w:pPr>
        <w:pStyle w:val="NormalHanging12a"/>
      </w:pPr>
      <w:r>
        <w:t>20</w:t>
      </w:r>
      <w:r w:rsidRPr="004F64BA">
        <w:t>.</w:t>
      </w:r>
      <w:r w:rsidRPr="004F64BA">
        <w:tab/>
        <w:t>susirūpinęs atkreipia dėmesį į tebesitęsiančią sparčią JAV doleriais išreikštų stabilizuotųjų virtualiųjų valiutų plėtrą ir dominavimą, nes tai gali susilpninti ES monetarinį suverenumą, padidinti riziką finansiniam stabilumui, pakenkti pinigų politikos poveikio perdavimui ir sustiprinti mokėjimų srities priklausomybę nuo išorės;</w:t>
      </w:r>
    </w:p>
    <w:p w14:paraId="4B2A6466" w14:textId="1706CC0B" w:rsidR="00D268A4" w:rsidRPr="006062A6" w:rsidRDefault="00D268A4" w:rsidP="00D268A4">
      <w:pPr>
        <w:pStyle w:val="NormalHanging12a"/>
      </w:pPr>
      <w:r w:rsidRPr="006062A6">
        <w:t>2</w:t>
      </w:r>
      <w:r w:rsidR="00140086">
        <w:t>1</w:t>
      </w:r>
      <w:r w:rsidRPr="006062A6">
        <w:t>.</w:t>
      </w:r>
      <w:r w:rsidRPr="006062A6">
        <w:tab/>
        <w:t xml:space="preserve">palankiai vertina eurais išreikštų elektroninių pinigų žetonų radimąsi pagal </w:t>
      </w:r>
      <w:proofErr w:type="spellStart"/>
      <w:r w:rsidRPr="006062A6">
        <w:t>Kriptoturto</w:t>
      </w:r>
      <w:proofErr w:type="spellEnd"/>
      <w:r w:rsidRPr="006062A6">
        <w:t xml:space="preserve"> rinkų reglamentą ir skatina jų plėtrą siekiant remti mokėjimų srities inovacijas ES, ES finansų rinkų konkurencingumą ir tarptautinį euro vaidmenį, be kita ko, atliekant greitesnius ir pigesnius tarptautinius mokėjimus, papildančius į žetonus konvertuotus indėlius ir didmeninio centrinio banko skaitmeninę valiutą; pabrėžia suderintų likvidumo rizikos ir krizių valdymo sistemų, įskaitant išpirkimo seką ir rezervų atskyrimo reikalavimus, svarbą; pažymi, kad ECB teigia, jog stabilizuotosios virtualiosios valiutos, išreikštos ne eurais, gali kelti riziką pinigų politikai, jei jų naudojimas plačiai paplis; įspėja dėl piktnaudžiavimo paslaugų teikimo kliento prašymu sąlyga;</w:t>
      </w:r>
    </w:p>
    <w:p w14:paraId="345A83A2" w14:textId="7ACE6EE0" w:rsidR="00D268A4" w:rsidRPr="006062A6" w:rsidRDefault="00D268A4" w:rsidP="00D268A4">
      <w:pPr>
        <w:pStyle w:val="NormalHanging12a"/>
      </w:pPr>
      <w:r w:rsidRPr="006062A6">
        <w:t>2</w:t>
      </w:r>
      <w:r w:rsidR="00140086">
        <w:t>2</w:t>
      </w:r>
      <w:r w:rsidRPr="006062A6">
        <w:t>.</w:t>
      </w:r>
      <w:r w:rsidRPr="006062A6">
        <w:tab/>
        <w:t xml:space="preserve">pripažįsta, kad ES teisėje reikia teisinio tikrumo dėl galimybės ES ir ne ES subjektui vykdyti daugiašalę stabilizuotųjų virtualiųjų valiutų emisiją, kai abiejų subjektų išleistos skaitmeninės stabilizuotosios virtualiosios valiutos yra visiškai pakeičiamos ir neatskiriamos; primena, kad ESRV įspėjo, jog daugiašalė emisija gali tapti neigiamo poveikio plitimo šaltiniu; pabrėžia, jog reikia užtikrinti, kad tokių sistemų veikimas ES būtų grindžiamas teisiniu tikrumu ir tvirta reguliavimo sistema, kurioje būtų numatytos griežtos </w:t>
      </w:r>
      <w:proofErr w:type="spellStart"/>
      <w:r w:rsidRPr="006062A6">
        <w:t>prudencinės</w:t>
      </w:r>
      <w:proofErr w:type="spellEnd"/>
      <w:r w:rsidRPr="006062A6">
        <w:t xml:space="preserve"> apsaugos priemonės, patikimi bendradarbiavimo susitarimai ir griežtesni krizių valdymo protokolai; pabrėžia, kad svarbu skatinti tarptautinį koordinavimą pasaulinių stabilizuotųjų virtualiųjų valiutų reglamentavimo ir priežiūros srityje, siekiant parengti tarptautinius standartus;</w:t>
      </w:r>
    </w:p>
    <w:p w14:paraId="0F78AAE2" w14:textId="5C808002" w:rsidR="00D268A4" w:rsidRPr="006062A6" w:rsidRDefault="00D268A4" w:rsidP="00D268A4">
      <w:pPr>
        <w:pStyle w:val="NormalHanging12a"/>
      </w:pPr>
      <w:r w:rsidRPr="006062A6">
        <w:lastRenderedPageBreak/>
        <w:t>2</w:t>
      </w:r>
      <w:r w:rsidR="00140086">
        <w:t>3</w:t>
      </w:r>
      <w:r w:rsidRPr="006062A6">
        <w:t>.</w:t>
      </w:r>
      <w:r w:rsidRPr="006062A6">
        <w:tab/>
        <w:t>palankiai vertina preliminarų susitarimą dėl pasiūlymų dėl direktyvos</w:t>
      </w:r>
      <w:r w:rsidR="00DD2536">
        <w:rPr>
          <w:rStyle w:val="FootnoteReference"/>
        </w:rPr>
        <w:footnoteReference w:id="6"/>
      </w:r>
      <w:r w:rsidRPr="006062A6">
        <w:t xml:space="preserve"> ir reglamento</w:t>
      </w:r>
      <w:r w:rsidR="00DD2536">
        <w:rPr>
          <w:rStyle w:val="FootnoteReference"/>
        </w:rPr>
        <w:footnoteReference w:id="7"/>
      </w:r>
      <w:r w:rsidRPr="006062A6">
        <w:t xml:space="preserve"> dėl mokėjimo paslaugų ir supaprastintą leidimų išdavimo tvarką </w:t>
      </w:r>
      <w:proofErr w:type="spellStart"/>
      <w:r w:rsidRPr="006062A6">
        <w:t>kriptoturto</w:t>
      </w:r>
      <w:proofErr w:type="spellEnd"/>
      <w:r w:rsidRPr="006062A6">
        <w:t xml:space="preserve"> paslaugų teikėjams, kuriems leidimai jau išduoti pagal </w:t>
      </w:r>
      <w:proofErr w:type="spellStart"/>
      <w:r w:rsidRPr="006062A6">
        <w:t>Kriptoturto</w:t>
      </w:r>
      <w:proofErr w:type="spellEnd"/>
      <w:r w:rsidRPr="006062A6">
        <w:t xml:space="preserve"> rinkų reglamentą, siekiant išvengti nereikalingo reglamentavimo dubliavimosi, ir kuriems būtų taikoma supaprastinta procedūra, išlaikant tinkamas rizikos kontrolės priemones ir teikiant tik paraiškoje nurodytas paslaugas;</w:t>
      </w:r>
    </w:p>
    <w:p w14:paraId="23404917" w14:textId="77777777" w:rsidR="00D268A4" w:rsidRPr="006062A6" w:rsidRDefault="00D268A4" w:rsidP="00D268A4">
      <w:pPr>
        <w:pStyle w:val="Normal12a"/>
      </w:pPr>
      <w:r w:rsidRPr="006062A6">
        <w:rPr>
          <w:b/>
          <w:i/>
        </w:rPr>
        <w:t>Kompleksiniai aspektai</w:t>
      </w:r>
    </w:p>
    <w:p w14:paraId="7440B88A" w14:textId="2ED4D5D0" w:rsidR="00D268A4" w:rsidRPr="006062A6" w:rsidRDefault="00D268A4" w:rsidP="00D268A4">
      <w:pPr>
        <w:pStyle w:val="NormalHanging12a"/>
      </w:pPr>
      <w:r w:rsidRPr="006062A6">
        <w:t>2</w:t>
      </w:r>
      <w:r w:rsidR="00140086">
        <w:t>4</w:t>
      </w:r>
      <w:r w:rsidRPr="006062A6">
        <w:t>.</w:t>
      </w:r>
      <w:r w:rsidRPr="006062A6">
        <w:tab/>
        <w:t>pabrėžia, kad sąveikumas yra labai svarbus skaitmeninių finansų srityje, o jam užtikrinti reikia, pavyzdžiui, perkeliamos tapatybės ir patikrinamų kredencialų, kaip įgalinančių tarptinklinės rinkos infrastruktūros komponentų; pabrėžia, kad juridinio asmens identifikatoriaus ir (arba) patikrinamo juridinio asmens identifikatoriaus tipo metodai turėtų būti vertinami kaip infrastruktūros lygmens priemonės; ragina Komisiją bendradarbiauti su Europos ir tarptautinėmis standartizacijos organizacijomis siekiant parengti bendrus techninius standartus ir protokolus, taikomus skaitmeniniam turtui, išmaniosioms sutartims ir skaitmeninėms tapatybėms;</w:t>
      </w:r>
    </w:p>
    <w:p w14:paraId="71F48762" w14:textId="361B50C0" w:rsidR="00D268A4" w:rsidRPr="006062A6" w:rsidRDefault="00D268A4" w:rsidP="00D268A4">
      <w:pPr>
        <w:pStyle w:val="NormalHanging12a"/>
      </w:pPr>
      <w:r w:rsidRPr="006062A6">
        <w:t>2</w:t>
      </w:r>
      <w:r w:rsidR="00140086">
        <w:t>5</w:t>
      </w:r>
      <w:r w:rsidRPr="006062A6">
        <w:t>.</w:t>
      </w:r>
      <w:r w:rsidRPr="006062A6">
        <w:tab/>
        <w:t>palankiai vertina vykstančias diskusijas dėl skaitmeninio euro, įskaitant pasirengimą jo naudojimui tiek mažmeninėje, tiek didmeninėje rinkoje, ir remia šiuo metu vykdomus trumpalaikius („</w:t>
      </w:r>
      <w:proofErr w:type="spellStart"/>
      <w:r w:rsidRPr="006062A6">
        <w:t>Pontes</w:t>
      </w:r>
      <w:proofErr w:type="spellEnd"/>
      <w:r w:rsidRPr="006062A6">
        <w:t>“) ir ilgalaikius („</w:t>
      </w:r>
      <w:proofErr w:type="spellStart"/>
      <w:r w:rsidRPr="006062A6">
        <w:t>Appia</w:t>
      </w:r>
      <w:proofErr w:type="spellEnd"/>
      <w:r w:rsidRPr="006062A6">
        <w:t>“) PRT projektus, skirtus didmeniniams atsiskaitymams centrinio banko pinigais; ragina Komisiją ir ECB užtikrinti, kad būsimi skaitmeninio euro sprendimai būtų palankūs sąveikai su PRT infrastruktūra ir būtų užtikrintas papildomumas su grynaisiais pinigais;</w:t>
      </w:r>
    </w:p>
    <w:p w14:paraId="4CFAA12E" w14:textId="50F59477" w:rsidR="00D268A4" w:rsidRPr="006062A6" w:rsidRDefault="00D268A4" w:rsidP="00D268A4">
      <w:pPr>
        <w:pStyle w:val="NormalHanging12a"/>
      </w:pPr>
      <w:r w:rsidRPr="006062A6">
        <w:t>2</w:t>
      </w:r>
      <w:r w:rsidR="00140086">
        <w:t>6</w:t>
      </w:r>
      <w:r w:rsidRPr="006062A6">
        <w:t>.</w:t>
      </w:r>
      <w:r w:rsidRPr="006062A6">
        <w:tab/>
        <w:t>apgailestauja dėl ES priklausomybės nuo ne ES paslaugų teikėjų, aptarnaujančių PDT infrastruktūrą; pabrėžia, kad reikėtų atidžiai stebėti JAV administracijos veiksmus skaitmeninio turto atžvilgiu;</w:t>
      </w:r>
    </w:p>
    <w:p w14:paraId="46062ED0" w14:textId="784D7457" w:rsidR="00D268A4" w:rsidRPr="006062A6" w:rsidRDefault="00D268A4" w:rsidP="00D268A4">
      <w:pPr>
        <w:pStyle w:val="NormalHanging12a"/>
      </w:pPr>
      <w:r w:rsidRPr="006062A6">
        <w:t>2</w:t>
      </w:r>
      <w:r w:rsidR="00140086">
        <w:t>7</w:t>
      </w:r>
      <w:r w:rsidRPr="006062A6">
        <w:t>.</w:t>
      </w:r>
      <w:r w:rsidRPr="006062A6">
        <w:tab/>
        <w:t xml:space="preserve">atkreipia dėmesį į vykstančias diskusijas dėl </w:t>
      </w:r>
      <w:proofErr w:type="spellStart"/>
      <w:r w:rsidRPr="006062A6">
        <w:t>kriptoturto</w:t>
      </w:r>
      <w:proofErr w:type="spellEnd"/>
      <w:r w:rsidRPr="006062A6">
        <w:t xml:space="preserve"> paslaugų teikėjų priežiūros, kiek tai susiję su ESMA vaidmeniu, kaip vienos iš rinkos integracijos ir priežiūros dokumentų rinkinio dalių;</w:t>
      </w:r>
    </w:p>
    <w:p w14:paraId="763EB7E0" w14:textId="77777777" w:rsidR="00D268A4" w:rsidRPr="006062A6" w:rsidRDefault="00D268A4" w:rsidP="00D268A4">
      <w:pPr>
        <w:pStyle w:val="NormalCenter12a"/>
      </w:pPr>
      <w:r w:rsidRPr="006062A6">
        <w:t>°</w:t>
      </w:r>
    </w:p>
    <w:p w14:paraId="5F21162B" w14:textId="77777777" w:rsidR="00D268A4" w:rsidRPr="006062A6" w:rsidRDefault="00D268A4" w:rsidP="00D268A4">
      <w:pPr>
        <w:pStyle w:val="NormalCenter12a"/>
      </w:pPr>
      <w:r w:rsidRPr="006062A6">
        <w:t>°</w:t>
      </w:r>
      <w:r w:rsidRPr="006062A6">
        <w:tab/>
        <w:t>°</w:t>
      </w:r>
    </w:p>
    <w:p w14:paraId="4B1C2DD6" w14:textId="7FB33838" w:rsidR="00E365E1" w:rsidRPr="006062A6" w:rsidRDefault="00D268A4" w:rsidP="002C7867">
      <w:pPr>
        <w:pStyle w:val="NormalHanging12a"/>
      </w:pPr>
      <w:r w:rsidRPr="006062A6">
        <w:t>2</w:t>
      </w:r>
      <w:r w:rsidR="00140086">
        <w:t>8</w:t>
      </w:r>
      <w:r w:rsidRPr="006062A6">
        <w:t>.</w:t>
      </w:r>
      <w:r w:rsidRPr="006062A6">
        <w:tab/>
        <w:t>paveda Pirmininkei perduoti šią rezoliuciją Tarybai ir Komisijai.</w:t>
      </w:r>
    </w:p>
    <w:sectPr w:rsidR="00E365E1" w:rsidRPr="006062A6" w:rsidSect="006062A6">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460DC" w14:textId="77777777" w:rsidR="003B61CE" w:rsidRPr="006062A6" w:rsidRDefault="003B61CE">
      <w:r w:rsidRPr="006062A6">
        <w:separator/>
      </w:r>
    </w:p>
  </w:endnote>
  <w:endnote w:type="continuationSeparator" w:id="0">
    <w:p w14:paraId="00A9F1E6" w14:textId="77777777" w:rsidR="003B61CE" w:rsidRPr="006062A6" w:rsidRDefault="003B61CE">
      <w:r w:rsidRPr="006062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351AE" w14:textId="77777777" w:rsidR="003B61CE" w:rsidRPr="006062A6" w:rsidRDefault="003B61CE">
      <w:r w:rsidRPr="006062A6">
        <w:separator/>
      </w:r>
    </w:p>
  </w:footnote>
  <w:footnote w:type="continuationSeparator" w:id="0">
    <w:p w14:paraId="43FDE104" w14:textId="77777777" w:rsidR="003B61CE" w:rsidRPr="006062A6" w:rsidRDefault="003B61CE">
      <w:r w:rsidRPr="006062A6">
        <w:continuationSeparator/>
      </w:r>
    </w:p>
  </w:footnote>
  <w:footnote w:id="1">
    <w:p w14:paraId="4762B719" w14:textId="5814DA93" w:rsidR="00DD2536" w:rsidRPr="006062A6" w:rsidRDefault="00DD2536" w:rsidP="006062A6">
      <w:pPr>
        <w:pStyle w:val="FootnoteText"/>
        <w:ind w:left="567" w:hanging="567"/>
        <w:rPr>
          <w:sz w:val="24"/>
          <w:lang w:val="lt-LT"/>
        </w:rPr>
      </w:pPr>
      <w:r>
        <w:rPr>
          <w:rStyle w:val="FootnoteReference"/>
        </w:rPr>
        <w:footnoteRef/>
      </w:r>
      <w:r w:rsidRPr="006062A6">
        <w:rPr>
          <w:sz w:val="24"/>
          <w:lang w:val="lt-LT"/>
        </w:rPr>
        <w:t xml:space="preserve"> </w:t>
      </w:r>
      <w:r w:rsidRPr="006062A6">
        <w:rPr>
          <w:sz w:val="24"/>
          <w:lang w:val="lt-LT"/>
        </w:rPr>
        <w:tab/>
        <w:t xml:space="preserve">Tarptautinis valiutos fondas, „Stablecoins and the future of finance“, </w:t>
      </w:r>
      <w:r w:rsidRPr="006062A6">
        <w:rPr>
          <w:i/>
          <w:sz w:val="24"/>
          <w:lang w:val="lt-LT"/>
        </w:rPr>
        <w:t>Finance &amp; Development</w:t>
      </w:r>
      <w:r w:rsidRPr="006062A6">
        <w:rPr>
          <w:sz w:val="24"/>
          <w:lang w:val="lt-LT"/>
        </w:rPr>
        <w:t xml:space="preserve">, 62 tomas, 3 leidimas, 2025 m. rugsėjo 3 d., Tarptautinis valiutos fondas, Vašingtonas, </w:t>
      </w:r>
      <w:hyperlink r:id="rId1" w:tgtFrame="https://doi.org/10.5089/9798400297649.022" w:history="1">
        <w:r w:rsidRPr="006062A6">
          <w:rPr>
            <w:rStyle w:val="Hyperlink"/>
            <w:sz w:val="24"/>
            <w:lang w:val="lt-LT"/>
          </w:rPr>
          <w:t>https://doi.org/10.5089/9798400297649.022</w:t>
        </w:r>
      </w:hyperlink>
      <w:r w:rsidRPr="006062A6">
        <w:rPr>
          <w:sz w:val="24"/>
          <w:lang w:val="lt-LT"/>
        </w:rPr>
        <w:t>.</w:t>
      </w:r>
    </w:p>
  </w:footnote>
  <w:footnote w:id="2">
    <w:p w14:paraId="47E72D02" w14:textId="26847E07" w:rsidR="00DD2536" w:rsidRPr="006062A6" w:rsidRDefault="00DD2536" w:rsidP="006062A6">
      <w:pPr>
        <w:pStyle w:val="FootnoteText"/>
        <w:ind w:left="567" w:hanging="567"/>
        <w:rPr>
          <w:sz w:val="24"/>
          <w:lang w:val="lt-LT"/>
        </w:rPr>
      </w:pPr>
      <w:r>
        <w:rPr>
          <w:rStyle w:val="FootnoteReference"/>
        </w:rPr>
        <w:footnoteRef/>
      </w:r>
      <w:r w:rsidRPr="006062A6">
        <w:rPr>
          <w:sz w:val="24"/>
          <w:lang w:val="lt-LT"/>
        </w:rPr>
        <w:t xml:space="preserve"> </w:t>
      </w:r>
      <w:r w:rsidRPr="006062A6">
        <w:rPr>
          <w:sz w:val="24"/>
          <w:lang w:val="lt-LT"/>
        </w:rPr>
        <w:tab/>
        <w:t>EBPO verslo ir finansų politikos dokumentai, Nr. 75.</w:t>
      </w:r>
    </w:p>
  </w:footnote>
  <w:footnote w:id="3">
    <w:p w14:paraId="087CA7D2" w14:textId="29C54BC6" w:rsidR="00DD2536" w:rsidRPr="006062A6" w:rsidRDefault="00DD2536" w:rsidP="006062A6">
      <w:pPr>
        <w:pStyle w:val="FootnoteText"/>
        <w:ind w:left="567" w:hanging="567"/>
        <w:rPr>
          <w:sz w:val="24"/>
          <w:lang w:val="lt-LT"/>
        </w:rPr>
      </w:pPr>
      <w:r>
        <w:rPr>
          <w:rStyle w:val="FootnoteReference"/>
        </w:rPr>
        <w:footnoteRef/>
      </w:r>
      <w:r w:rsidRPr="006062A6">
        <w:rPr>
          <w:sz w:val="24"/>
          <w:lang w:val="lt-LT"/>
        </w:rPr>
        <w:t xml:space="preserve"> </w:t>
      </w:r>
      <w:r w:rsidRPr="006062A6">
        <w:rPr>
          <w:sz w:val="24"/>
          <w:lang w:val="lt-LT"/>
        </w:rPr>
        <w:tab/>
        <w:t xml:space="preserve">2022 m. gegužės 30 d. Europos Parlamento ir Tarybos reglamentas (ES) 2022/858 dėl paskirstytojo registro technologija grindžiamoms rinkos infrastruktūroms skirtos bandomosios tvarkos, kuriuo iš dalies keičiami reglamentai (ES) Nr. 600/2014 ir (ES) Nr. 909/2014 ir Direktyva 2014/65/ES, (OL L 151, 2022 6 2, p. 1, ELI: </w:t>
      </w:r>
      <w:hyperlink r:id="rId2" w:tgtFrame="http://data.europa.eu/eli/reg/2022/858/oj" w:history="1">
        <w:r w:rsidRPr="006062A6">
          <w:rPr>
            <w:rStyle w:val="Hyperlink"/>
            <w:sz w:val="24"/>
            <w:lang w:val="lt-LT"/>
          </w:rPr>
          <w:t>http://data.europa.eu/eli/reg/2022/858/oj)</w:t>
        </w:r>
      </w:hyperlink>
      <w:r w:rsidRPr="006062A6">
        <w:rPr>
          <w:sz w:val="24"/>
          <w:lang w:val="lt-LT"/>
        </w:rPr>
        <w:t>.</w:t>
      </w:r>
    </w:p>
  </w:footnote>
  <w:footnote w:id="4">
    <w:p w14:paraId="1CD95F0B" w14:textId="5F96EDA8" w:rsidR="00DD2536" w:rsidRPr="006062A6" w:rsidRDefault="00DD2536" w:rsidP="006062A6">
      <w:pPr>
        <w:pStyle w:val="FootnoteText"/>
        <w:ind w:left="567" w:hanging="567"/>
        <w:rPr>
          <w:sz w:val="24"/>
          <w:lang w:val="lt-LT"/>
        </w:rPr>
      </w:pPr>
      <w:r>
        <w:rPr>
          <w:rStyle w:val="FootnoteReference"/>
        </w:rPr>
        <w:footnoteRef/>
      </w:r>
      <w:r w:rsidRPr="006062A6">
        <w:rPr>
          <w:sz w:val="24"/>
          <w:lang w:val="lt-LT"/>
        </w:rPr>
        <w:t xml:space="preserve"> </w:t>
      </w:r>
      <w:r w:rsidRPr="006062A6">
        <w:rPr>
          <w:sz w:val="24"/>
          <w:lang w:val="lt-LT"/>
        </w:rPr>
        <w:tab/>
        <w:t xml:space="preserve">2023 m. gegužės 31 d. Europos Parlamento ir Tarybos reglamentas (ES) 2023/1114 dėl kriptoturto rinkų, kuriuo iš dalies keičiami reglamentai (ES) Nr. 1093/2010 bei (ES) Nr. 1095/2010 ir direktyvos 2013/36/ES bei (ES) 2019/1937, (OL L 150, 2023 6 9, p. 40, ELI: </w:t>
      </w:r>
      <w:hyperlink r:id="rId3" w:tgtFrame="http://data.europa.eu/eli/reg/2023/1114/oj" w:history="1">
        <w:r w:rsidRPr="006062A6">
          <w:rPr>
            <w:rStyle w:val="Hyperlink"/>
            <w:sz w:val="24"/>
            <w:lang w:val="lt-LT"/>
          </w:rPr>
          <w:t>http://data.europa.eu/eli/reg/2023/1114/oj</w:t>
        </w:r>
      </w:hyperlink>
      <w:r w:rsidRPr="006062A6">
        <w:rPr>
          <w:sz w:val="24"/>
          <w:lang w:val="lt-LT"/>
        </w:rPr>
        <w:t>).</w:t>
      </w:r>
    </w:p>
  </w:footnote>
  <w:footnote w:id="5">
    <w:p w14:paraId="147DDA5F" w14:textId="31844331" w:rsidR="00DD2536" w:rsidRPr="006062A6" w:rsidRDefault="00DD2536" w:rsidP="006062A6">
      <w:pPr>
        <w:pStyle w:val="FootnoteText"/>
        <w:ind w:left="567" w:hanging="567"/>
        <w:rPr>
          <w:sz w:val="24"/>
          <w:lang w:val="lt-LT"/>
        </w:rPr>
      </w:pPr>
      <w:r>
        <w:rPr>
          <w:rStyle w:val="FootnoteReference"/>
        </w:rPr>
        <w:footnoteRef/>
      </w:r>
      <w:r w:rsidRPr="006062A6">
        <w:rPr>
          <w:sz w:val="24"/>
          <w:lang w:val="lt-LT"/>
        </w:rPr>
        <w:t xml:space="preserve"> </w:t>
      </w:r>
      <w:r w:rsidRPr="006062A6">
        <w:rPr>
          <w:sz w:val="24"/>
          <w:lang w:val="lt-LT"/>
        </w:rPr>
        <w:tab/>
        <w:t xml:space="preserve">2023 m. gegužės 31 d. Europos Parlamento ir Tarybos reglamentas (ES) 2023/1113 dėl informacijos, teikiamos pervedant lėšas ir tam tikrą kriptoturtą, kuriuo iš dalies keičiama Direktyva (ES) 2015/849, (OL L 150, 2023 6 9, p. 1, ELI: </w:t>
      </w:r>
      <w:hyperlink r:id="rId4" w:tgtFrame="http://data.europa.eu/eli/reg/2023/1113/oj" w:history="1">
        <w:r w:rsidRPr="006062A6">
          <w:rPr>
            <w:rStyle w:val="Hyperlink"/>
            <w:sz w:val="24"/>
            <w:lang w:val="lt-LT"/>
          </w:rPr>
          <w:t>http://data.europa.eu/eli/reg/2023/1113/oj</w:t>
        </w:r>
      </w:hyperlink>
      <w:r w:rsidRPr="006062A6">
        <w:rPr>
          <w:sz w:val="24"/>
          <w:lang w:val="lt-LT"/>
        </w:rPr>
        <w:t>).</w:t>
      </w:r>
    </w:p>
  </w:footnote>
  <w:footnote w:id="6">
    <w:p w14:paraId="74BA2A7D" w14:textId="3618249A" w:rsidR="00DD2536" w:rsidRPr="006062A6" w:rsidRDefault="00DD2536" w:rsidP="006062A6">
      <w:pPr>
        <w:pStyle w:val="FootnoteText"/>
        <w:ind w:left="567" w:hanging="567"/>
        <w:rPr>
          <w:sz w:val="24"/>
          <w:lang w:val="lt-LT"/>
        </w:rPr>
      </w:pPr>
      <w:r>
        <w:rPr>
          <w:rStyle w:val="FootnoteReference"/>
        </w:rPr>
        <w:footnoteRef/>
      </w:r>
      <w:r w:rsidRPr="006062A6">
        <w:rPr>
          <w:sz w:val="24"/>
          <w:lang w:val="lt-LT"/>
        </w:rPr>
        <w:t xml:space="preserve"> </w:t>
      </w:r>
      <w:r w:rsidRPr="006062A6">
        <w:rPr>
          <w:sz w:val="24"/>
          <w:lang w:val="lt-LT"/>
        </w:rPr>
        <w:tab/>
        <w:t>2023 m. birželio 28 d. Komisijos pasiūlymas dėl Europos Parlamento ir Tarybos direktyvos dėl mokėjimo paslaugų ir elektroninių pinigų paslaugų vidaus rinkoje, kuria iš dalies keičiama Direktyva 98/26/EB ir panaikinamos direktyvos 2015/2366/ES ir 2009/110/EB (COM(2023)0366).</w:t>
      </w:r>
    </w:p>
  </w:footnote>
  <w:footnote w:id="7">
    <w:p w14:paraId="41C7054D" w14:textId="506DCF84" w:rsidR="00DD2536" w:rsidRPr="006062A6" w:rsidRDefault="00DD2536" w:rsidP="006062A6">
      <w:pPr>
        <w:pStyle w:val="FootnoteText"/>
        <w:ind w:left="567" w:hanging="567"/>
        <w:rPr>
          <w:sz w:val="24"/>
          <w:lang w:val="lt-LT"/>
        </w:rPr>
      </w:pPr>
      <w:r>
        <w:rPr>
          <w:rStyle w:val="FootnoteReference"/>
        </w:rPr>
        <w:footnoteRef/>
      </w:r>
      <w:r w:rsidRPr="006062A6">
        <w:rPr>
          <w:sz w:val="24"/>
          <w:lang w:val="lt-LT"/>
        </w:rPr>
        <w:t xml:space="preserve"> </w:t>
      </w:r>
      <w:r w:rsidRPr="006062A6">
        <w:rPr>
          <w:sz w:val="24"/>
          <w:lang w:val="lt-LT"/>
        </w:rPr>
        <w:tab/>
        <w:t>2023 m. birželio 28 d. Komisijos pasiūlymas dėl Europos Parlamento ir Tarybos reglamento dėl mokėjimo paslaugų vidaus rinkoje, kuriuo iš dalies keičiamas Reglamentas (ES) Nr. 1093/2010 (COM(2023)0367).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09457587">
    <w:abstractNumId w:val="9"/>
  </w:num>
  <w:num w:numId="2" w16cid:durableId="2124226770">
    <w:abstractNumId w:val="9"/>
  </w:num>
  <w:num w:numId="3" w16cid:durableId="1024786977">
    <w:abstractNumId w:val="7"/>
  </w:num>
  <w:num w:numId="4" w16cid:durableId="1249461701">
    <w:abstractNumId w:val="7"/>
  </w:num>
  <w:num w:numId="5" w16cid:durableId="1664896084">
    <w:abstractNumId w:val="6"/>
  </w:num>
  <w:num w:numId="6" w16cid:durableId="2103332860">
    <w:abstractNumId w:val="6"/>
  </w:num>
  <w:num w:numId="7" w16cid:durableId="985164995">
    <w:abstractNumId w:val="5"/>
  </w:num>
  <w:num w:numId="8" w16cid:durableId="1522159797">
    <w:abstractNumId w:val="5"/>
  </w:num>
  <w:num w:numId="9" w16cid:durableId="859514358">
    <w:abstractNumId w:val="4"/>
  </w:num>
  <w:num w:numId="10" w16cid:durableId="1314724855">
    <w:abstractNumId w:val="4"/>
  </w:num>
  <w:num w:numId="11" w16cid:durableId="2023627967">
    <w:abstractNumId w:val="8"/>
  </w:num>
  <w:num w:numId="12" w16cid:durableId="1731920954">
    <w:abstractNumId w:val="8"/>
  </w:num>
  <w:num w:numId="13" w16cid:durableId="1256791958">
    <w:abstractNumId w:val="3"/>
  </w:num>
  <w:num w:numId="14" w16cid:durableId="210191368">
    <w:abstractNumId w:val="3"/>
  </w:num>
  <w:num w:numId="15" w16cid:durableId="462692716">
    <w:abstractNumId w:val="2"/>
  </w:num>
  <w:num w:numId="16" w16cid:durableId="1948851699">
    <w:abstractNumId w:val="2"/>
  </w:num>
  <w:num w:numId="17" w16cid:durableId="1116565526">
    <w:abstractNumId w:val="1"/>
  </w:num>
  <w:num w:numId="18" w16cid:durableId="1628051790">
    <w:abstractNumId w:val="1"/>
  </w:num>
  <w:num w:numId="19" w16cid:durableId="2083290610">
    <w:abstractNumId w:val="0"/>
  </w:num>
  <w:num w:numId="20" w16cid:durableId="425808130">
    <w:abstractNumId w:val="0"/>
  </w:num>
  <w:num w:numId="21" w16cid:durableId="1036395605">
    <w:abstractNumId w:val="9"/>
  </w:num>
  <w:num w:numId="22" w16cid:durableId="677654827">
    <w:abstractNumId w:val="7"/>
  </w:num>
  <w:num w:numId="23" w16cid:durableId="306473705">
    <w:abstractNumId w:val="6"/>
  </w:num>
  <w:num w:numId="24" w16cid:durableId="713846703">
    <w:abstractNumId w:val="5"/>
  </w:num>
  <w:num w:numId="25" w16cid:durableId="1180507867">
    <w:abstractNumId w:val="4"/>
  </w:num>
  <w:num w:numId="26" w16cid:durableId="894851706">
    <w:abstractNumId w:val="8"/>
  </w:num>
  <w:num w:numId="27" w16cid:durableId="1050038426">
    <w:abstractNumId w:val="3"/>
  </w:num>
  <w:num w:numId="28" w16cid:durableId="1551529492">
    <w:abstractNumId w:val="2"/>
  </w:num>
  <w:num w:numId="29" w16cid:durableId="2137024039">
    <w:abstractNumId w:val="1"/>
  </w:num>
  <w:num w:numId="30" w16cid:durableId="180556389">
    <w:abstractNumId w:val="0"/>
  </w:num>
  <w:num w:numId="31" w16cid:durableId="1288656662">
    <w:abstractNumId w:val="9"/>
  </w:num>
  <w:num w:numId="32" w16cid:durableId="2043088238">
    <w:abstractNumId w:val="7"/>
  </w:num>
  <w:num w:numId="33" w16cid:durableId="255482497">
    <w:abstractNumId w:val="6"/>
  </w:num>
  <w:num w:numId="34" w16cid:durableId="2120642669">
    <w:abstractNumId w:val="5"/>
  </w:num>
  <w:num w:numId="35" w16cid:durableId="471407002">
    <w:abstractNumId w:val="4"/>
  </w:num>
  <w:num w:numId="36" w16cid:durableId="1161625742">
    <w:abstractNumId w:val="8"/>
  </w:num>
  <w:num w:numId="37" w16cid:durableId="1181579425">
    <w:abstractNumId w:val="3"/>
  </w:num>
  <w:num w:numId="38" w16cid:durableId="1862933088">
    <w:abstractNumId w:val="2"/>
  </w:num>
  <w:num w:numId="39" w16cid:durableId="2002388151">
    <w:abstractNumId w:val="1"/>
  </w:num>
  <w:num w:numId="40" w16cid:durableId="548807877">
    <w:abstractNumId w:val="0"/>
  </w:num>
  <w:num w:numId="41" w16cid:durableId="1246187505">
    <w:abstractNumId w:val="10"/>
  </w:num>
  <w:num w:numId="42" w16cid:durableId="1836846182">
    <w:abstractNumId w:val="10"/>
  </w:num>
  <w:num w:numId="43" w16cid:durableId="2057000907">
    <w:abstractNumId w:val="10"/>
  </w:num>
  <w:num w:numId="44" w16cid:durableId="2242659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6/2026"/>
    <w:docVar w:name="dvlangue" w:val="LT"/>
    <w:docVar w:name="dvnumam" w:val="0"/>
    <w:docVar w:name="dvpe" w:val="784.381"/>
    <w:docVar w:name="dvrapporteur" w:val="Pranešėjas: "/>
    <w:docVar w:name="dvtitre" w:val="2026 m. ... ... d. Europos Parlamento rezoliucija „Skaitmeninis turtas: iššūkiai Europos Sąjungos finansų sistemos konkurencingumui ir vientisumui“(2025/2208(INI))"/>
  </w:docVars>
  <w:rsids>
    <w:rsidRoot w:val="003B61CE"/>
    <w:rsid w:val="00002272"/>
    <w:rsid w:val="00064002"/>
    <w:rsid w:val="000677B9"/>
    <w:rsid w:val="000831BA"/>
    <w:rsid w:val="000A42CC"/>
    <w:rsid w:val="000E7DD9"/>
    <w:rsid w:val="0010095E"/>
    <w:rsid w:val="00125B37"/>
    <w:rsid w:val="00140086"/>
    <w:rsid w:val="00187494"/>
    <w:rsid w:val="001D385B"/>
    <w:rsid w:val="001F32AE"/>
    <w:rsid w:val="002767FF"/>
    <w:rsid w:val="002B18FE"/>
    <w:rsid w:val="002B5493"/>
    <w:rsid w:val="002C7867"/>
    <w:rsid w:val="00343214"/>
    <w:rsid w:val="00345B61"/>
    <w:rsid w:val="00361C00"/>
    <w:rsid w:val="00367A2F"/>
    <w:rsid w:val="00395FA1"/>
    <w:rsid w:val="003B61CE"/>
    <w:rsid w:val="003E15D4"/>
    <w:rsid w:val="00411CCE"/>
    <w:rsid w:val="0041666E"/>
    <w:rsid w:val="00421060"/>
    <w:rsid w:val="00471C19"/>
    <w:rsid w:val="004867E3"/>
    <w:rsid w:val="00494A28"/>
    <w:rsid w:val="004C0004"/>
    <w:rsid w:val="004C5D52"/>
    <w:rsid w:val="004F64BA"/>
    <w:rsid w:val="0050519A"/>
    <w:rsid w:val="005072A1"/>
    <w:rsid w:val="00514517"/>
    <w:rsid w:val="00545827"/>
    <w:rsid w:val="00560270"/>
    <w:rsid w:val="005C2568"/>
    <w:rsid w:val="005F1B17"/>
    <w:rsid w:val="006037C0"/>
    <w:rsid w:val="006062A6"/>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5544"/>
    <w:rsid w:val="00B12E95"/>
    <w:rsid w:val="00B22876"/>
    <w:rsid w:val="00B558F0"/>
    <w:rsid w:val="00BD48FE"/>
    <w:rsid w:val="00BD7BD8"/>
    <w:rsid w:val="00BE6ADC"/>
    <w:rsid w:val="00C05BFE"/>
    <w:rsid w:val="00C23CD4"/>
    <w:rsid w:val="00C61C0C"/>
    <w:rsid w:val="00C941CB"/>
    <w:rsid w:val="00CC2357"/>
    <w:rsid w:val="00CF071A"/>
    <w:rsid w:val="00D058B8"/>
    <w:rsid w:val="00D268A4"/>
    <w:rsid w:val="00D270E1"/>
    <w:rsid w:val="00D56C11"/>
    <w:rsid w:val="00D834A0"/>
    <w:rsid w:val="00D872DF"/>
    <w:rsid w:val="00D91E21"/>
    <w:rsid w:val="00DA7FCD"/>
    <w:rsid w:val="00DD2536"/>
    <w:rsid w:val="00E365E1"/>
    <w:rsid w:val="00E820A4"/>
    <w:rsid w:val="00EB006A"/>
    <w:rsid w:val="00EB4772"/>
    <w:rsid w:val="00ED169E"/>
    <w:rsid w:val="00ED4235"/>
    <w:rsid w:val="00F03710"/>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A0D1F9"/>
  <w15:chartTrackingRefBased/>
  <w15:docId w15:val="{A455A3C9-7190-43E2-8175-E97F09156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268A4"/>
    <w:pPr>
      <w:widowControl/>
      <w:spacing w:after="240"/>
    </w:pPr>
    <w:rPr>
      <w:szCs w:val="24"/>
      <w:lang w:eastAsia="en-US"/>
    </w:rPr>
  </w:style>
  <w:style w:type="paragraph" w:customStyle="1" w:styleId="NormalHanging12a">
    <w:name w:val="NormalHanging12a"/>
    <w:basedOn w:val="Normal"/>
    <w:rsid w:val="00D268A4"/>
    <w:pPr>
      <w:widowControl/>
      <w:spacing w:after="240"/>
      <w:ind w:left="566" w:hanging="566"/>
    </w:pPr>
    <w:rPr>
      <w:szCs w:val="24"/>
      <w:lang w:eastAsia="en-US"/>
    </w:rPr>
  </w:style>
  <w:style w:type="paragraph" w:customStyle="1" w:styleId="Normal12">
    <w:name w:val="Normal12"/>
    <w:basedOn w:val="Normal"/>
    <w:rsid w:val="00D268A4"/>
    <w:pPr>
      <w:spacing w:after="240"/>
    </w:pPr>
    <w:rPr>
      <w:szCs w:val="24"/>
      <w:lang w:eastAsia="en-US"/>
    </w:rPr>
  </w:style>
  <w:style w:type="paragraph" w:customStyle="1" w:styleId="NormalHanging">
    <w:name w:val="NormalHanging"/>
    <w:basedOn w:val="Normal"/>
    <w:rsid w:val="00D268A4"/>
    <w:pPr>
      <w:spacing w:after="240"/>
      <w:ind w:left="566" w:hanging="566"/>
    </w:pPr>
    <w:rPr>
      <w:szCs w:val="24"/>
      <w:lang w:eastAsia="en-US"/>
    </w:rPr>
  </w:style>
  <w:style w:type="paragraph" w:customStyle="1" w:styleId="NormalCenter12a">
    <w:name w:val="NormalCenter12a"/>
    <w:basedOn w:val="Normal"/>
    <w:rsid w:val="00D268A4"/>
    <w:pPr>
      <w:widowControl/>
      <w:spacing w:after="240"/>
      <w:jc w:val="center"/>
    </w:pPr>
    <w:rPr>
      <w:szCs w:val="24"/>
      <w:lang w:eastAsia="en-US"/>
    </w:rPr>
  </w:style>
  <w:style w:type="character" w:styleId="Hyperlink">
    <w:name w:val="Hyperlink"/>
    <w:basedOn w:val="DefaultParagraphFont"/>
    <w:rsid w:val="00D268A4"/>
    <w:rPr>
      <w:color w:val="0000FF"/>
      <w:u w:val="single"/>
    </w:rPr>
  </w:style>
  <w:style w:type="paragraph" w:styleId="Revision">
    <w:name w:val="Revision"/>
    <w:hidden/>
    <w:uiPriority w:val="99"/>
    <w:semiHidden/>
    <w:rsid w:val="00DD2536"/>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3/1114/oj" TargetMode="External"/><Relationship Id="rId2" Type="http://schemas.openxmlformats.org/officeDocument/2006/relationships/hyperlink" Target="http://data.europa.eu/eli/reg/2022/858/oj" TargetMode="External"/><Relationship Id="rId1" Type="http://schemas.openxmlformats.org/officeDocument/2006/relationships/hyperlink" Target="https://doi.org/10.5089/9798400297649.022" TargetMode="External"/><Relationship Id="rId4" Type="http://schemas.openxmlformats.org/officeDocument/2006/relationships/hyperlink" Target="http://data.europa.eu/eli/reg/2023/11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2261</Words>
  <Characters>16709</Characters>
  <Application>Microsoft Office Word</Application>
  <DocSecurity>0</DocSecurity>
  <Lines>139</Lines>
  <Paragraphs>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2026-07-07T12:36:00Z</dcterms:created>
  <dcterms:modified xsi:type="dcterms:W3CDTF">2026-07-07T12:36:00Z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A10-0186/2026</vt:lpwstr>
  </property>
  <property fmtid="{D5CDD505-2E9C-101B-9397-08002B2CF9AE}" pid="4" name="&lt;Type&gt;">
    <vt:lpwstr>RR</vt:lpwstr>
  </property>
</Properties>
</file>