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09F9" w14:paraId="653FF3DB" w14:textId="77777777" w:rsidTr="0010095E">
        <w:trPr>
          <w:trHeight w:hRule="exact" w:val="1418"/>
        </w:trPr>
        <w:tc>
          <w:tcPr>
            <w:tcW w:w="6804" w:type="dxa"/>
            <w:shd w:val="clear" w:color="auto" w:fill="auto"/>
            <w:vAlign w:val="center"/>
          </w:tcPr>
          <w:p w14:paraId="2D1BF32C" w14:textId="77777777" w:rsidR="00751A4A" w:rsidRPr="00C109F9" w:rsidRDefault="00C65DFB" w:rsidP="0010095E">
            <w:pPr>
              <w:pStyle w:val="EPName"/>
            </w:pPr>
            <w:r w:rsidRPr="00C109F9">
              <w:t>Europees Parlement</w:t>
            </w:r>
          </w:p>
          <w:p w14:paraId="244CBCB9" w14:textId="77777777" w:rsidR="00751A4A" w:rsidRPr="00C109F9" w:rsidRDefault="005F1B17" w:rsidP="005F1B17">
            <w:pPr>
              <w:pStyle w:val="EPTerm"/>
              <w:rPr>
                <w:rStyle w:val="HideTWBExt"/>
                <w:noProof w:val="0"/>
                <w:vanish w:val="0"/>
                <w:color w:val="auto"/>
              </w:rPr>
            </w:pPr>
            <w:r w:rsidRPr="00C109F9">
              <w:t>2024</w:t>
            </w:r>
            <w:r w:rsidR="00817416" w:rsidRPr="00C109F9">
              <w:t>-202</w:t>
            </w:r>
            <w:r w:rsidRPr="00C109F9">
              <w:t>9</w:t>
            </w:r>
          </w:p>
        </w:tc>
        <w:tc>
          <w:tcPr>
            <w:tcW w:w="2268" w:type="dxa"/>
            <w:shd w:val="clear" w:color="auto" w:fill="auto"/>
          </w:tcPr>
          <w:p w14:paraId="2EF0C19A" w14:textId="77777777" w:rsidR="00751A4A" w:rsidRPr="00C109F9" w:rsidRDefault="00187494" w:rsidP="0010095E">
            <w:pPr>
              <w:pStyle w:val="EPLogo"/>
            </w:pPr>
            <w:r w:rsidRPr="00C109F9">
              <w:rPr>
                <w:noProof/>
                <w:lang w:eastAsia="ja-JP"/>
              </w:rPr>
              <w:drawing>
                <wp:inline distT="0" distB="0" distL="0" distR="0" wp14:anchorId="56232CCB" wp14:editId="1E7A4E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7AFA43" w14:textId="77777777" w:rsidR="00D058B8" w:rsidRPr="00C109F9" w:rsidRDefault="00D058B8" w:rsidP="004C5D52">
      <w:pPr>
        <w:pStyle w:val="LineTop"/>
      </w:pPr>
    </w:p>
    <w:p w14:paraId="45DFD726" w14:textId="77777777" w:rsidR="00680577" w:rsidRPr="00C109F9" w:rsidRDefault="00C65DFB" w:rsidP="00680577">
      <w:pPr>
        <w:pStyle w:val="EPBodyTA1"/>
      </w:pPr>
      <w:r w:rsidRPr="00C109F9">
        <w:t>AANGENOMEN TEKSTEN</w:t>
      </w:r>
    </w:p>
    <w:p w14:paraId="374D9B7B" w14:textId="77777777" w:rsidR="00D058B8" w:rsidRPr="00C109F9" w:rsidRDefault="00D058B8" w:rsidP="00D058B8">
      <w:pPr>
        <w:pStyle w:val="LineBottom"/>
      </w:pPr>
    </w:p>
    <w:p w14:paraId="37528CE2" w14:textId="39799C7C" w:rsidR="00C65DFB" w:rsidRPr="00C109F9" w:rsidRDefault="00C65DFB" w:rsidP="00C65DFB">
      <w:pPr>
        <w:pStyle w:val="ATHeading1"/>
      </w:pPr>
      <w:bookmarkStart w:id="0" w:name="TANumber"/>
      <w:r w:rsidRPr="00C109F9">
        <w:t>P10_TA(2026)0</w:t>
      </w:r>
      <w:r w:rsidR="00F25DB7" w:rsidRPr="00C109F9">
        <w:t>251</w:t>
      </w:r>
      <w:bookmarkEnd w:id="0"/>
    </w:p>
    <w:p w14:paraId="74F393B7" w14:textId="39CA4BDE" w:rsidR="00C65DFB" w:rsidRPr="00C109F9" w:rsidRDefault="00F107AB" w:rsidP="00F107AB">
      <w:pPr>
        <w:pStyle w:val="ATHeading2"/>
      </w:pPr>
      <w:bookmarkStart w:id="1" w:name="title"/>
      <w:r w:rsidRPr="00C109F9">
        <w:t>Digitale activa – uitdagingen voor het concurrentievermogen en de integriteit van het financiële stelsel van de Europese Unie</w:t>
      </w:r>
      <w:bookmarkEnd w:id="1"/>
    </w:p>
    <w:p w14:paraId="3F76B69C" w14:textId="77777777" w:rsidR="00C65DFB" w:rsidRPr="00C109F9" w:rsidRDefault="00C65DFB" w:rsidP="00C65DFB">
      <w:pPr>
        <w:rPr>
          <w:i/>
          <w:vanish/>
        </w:rPr>
      </w:pPr>
      <w:r w:rsidRPr="00C109F9">
        <w:rPr>
          <w:i/>
        </w:rPr>
        <w:fldChar w:fldCharType="begin"/>
      </w:r>
      <w:r w:rsidRPr="00C109F9">
        <w:rPr>
          <w:i/>
        </w:rPr>
        <w:instrText xml:space="preserve"> TC"(</w:instrText>
      </w:r>
      <w:bookmarkStart w:id="2" w:name="DocNumber"/>
      <w:r w:rsidRPr="00C109F9">
        <w:rPr>
          <w:i/>
        </w:rPr>
        <w:instrText>A10-0186/2026</w:instrText>
      </w:r>
      <w:bookmarkEnd w:id="2"/>
      <w:r w:rsidRPr="00C109F9">
        <w:rPr>
          <w:i/>
        </w:rPr>
        <w:instrText xml:space="preserve"> - Rapporteur: Johan Van </w:instrText>
      </w:r>
      <w:proofErr w:type="spellStart"/>
      <w:r w:rsidRPr="00C109F9">
        <w:rPr>
          <w:i/>
        </w:rPr>
        <w:instrText>Overtveldt</w:instrText>
      </w:r>
      <w:proofErr w:type="spellEnd"/>
      <w:r w:rsidRPr="00C109F9">
        <w:rPr>
          <w:i/>
        </w:rPr>
        <w:instrText xml:space="preserve">)"\l3 \n&gt; \* MERGEFORMAT </w:instrText>
      </w:r>
      <w:r w:rsidRPr="00C109F9">
        <w:rPr>
          <w:i/>
        </w:rPr>
        <w:fldChar w:fldCharType="end"/>
      </w:r>
    </w:p>
    <w:p w14:paraId="48486480" w14:textId="77777777" w:rsidR="00C65DFB" w:rsidRPr="00C109F9" w:rsidRDefault="00C65DFB" w:rsidP="00C65DFB">
      <w:pPr>
        <w:rPr>
          <w:vanish/>
        </w:rPr>
      </w:pPr>
      <w:bookmarkStart w:id="3" w:name="Commission"/>
      <w:r w:rsidRPr="00C109F9">
        <w:rPr>
          <w:vanish/>
        </w:rPr>
        <w:t>Commissie economische en monetaire zaken</w:t>
      </w:r>
      <w:bookmarkEnd w:id="3"/>
    </w:p>
    <w:p w14:paraId="1C445692" w14:textId="77777777" w:rsidR="00C65DFB" w:rsidRPr="00C109F9" w:rsidRDefault="00C65DFB" w:rsidP="00C65DFB">
      <w:pPr>
        <w:rPr>
          <w:vanish/>
        </w:rPr>
      </w:pPr>
      <w:bookmarkStart w:id="4" w:name="PE"/>
      <w:r w:rsidRPr="00C109F9">
        <w:rPr>
          <w:vanish/>
        </w:rPr>
        <w:t>PE784.381</w:t>
      </w:r>
      <w:bookmarkEnd w:id="4"/>
    </w:p>
    <w:p w14:paraId="04B9F13D" w14:textId="59EBCBB8" w:rsidR="00C65DFB" w:rsidRPr="00C109F9" w:rsidRDefault="00C65DFB" w:rsidP="00C65DFB">
      <w:pPr>
        <w:pStyle w:val="ATHeading3"/>
      </w:pPr>
      <w:bookmarkStart w:id="5" w:name="Sujet"/>
      <w:r w:rsidRPr="00C109F9">
        <w:t xml:space="preserve">Resolutie van het Europees Parlement van </w:t>
      </w:r>
      <w:r w:rsidR="00706A78" w:rsidRPr="00C109F9">
        <w:t xml:space="preserve">7 </w:t>
      </w:r>
      <w:r w:rsidRPr="00C109F9">
        <w:t>juli 2026 over digitale activa – uitdagingen voor het concurrentievermogen en de integriteit van het financiële stelsel van de Europese Unie</w:t>
      </w:r>
      <w:bookmarkEnd w:id="5"/>
      <w:r w:rsidRPr="00C109F9">
        <w:t xml:space="preserve"> </w:t>
      </w:r>
      <w:bookmarkStart w:id="6" w:name="References"/>
      <w:r w:rsidRPr="00C109F9">
        <w:t>(2025/2208(INI))</w:t>
      </w:r>
      <w:bookmarkEnd w:id="6"/>
    </w:p>
    <w:p w14:paraId="0532BAAD" w14:textId="77777777" w:rsidR="007D7B12" w:rsidRPr="00C109F9" w:rsidRDefault="007D7B12" w:rsidP="007D7B12">
      <w:pPr>
        <w:pStyle w:val="Normal12"/>
      </w:pPr>
      <w:r w:rsidRPr="00C109F9">
        <w:rPr>
          <w:i/>
        </w:rPr>
        <w:t>Het Europees Parlement</w:t>
      </w:r>
      <w:r w:rsidRPr="00C109F9">
        <w:t>,</w:t>
      </w:r>
    </w:p>
    <w:p w14:paraId="06303241" w14:textId="77777777" w:rsidR="007D7B12" w:rsidRPr="00C109F9" w:rsidRDefault="007D7B12" w:rsidP="007D7B12">
      <w:pPr>
        <w:pStyle w:val="NormalHanging"/>
      </w:pPr>
      <w:r w:rsidRPr="00C109F9">
        <w:t>–</w:t>
      </w:r>
      <w:r w:rsidRPr="00C109F9">
        <w:tab/>
        <w:t>gezien het verslag over de financiële stabiliteit (Financial Stability Review) van de Europese Centrale Bank (ECB) van november 2025,</w:t>
      </w:r>
    </w:p>
    <w:p w14:paraId="02048BF5" w14:textId="77777777" w:rsidR="007D7B12" w:rsidRPr="00C109F9" w:rsidRDefault="007D7B12" w:rsidP="007D7B12">
      <w:pPr>
        <w:pStyle w:val="NormalHanging"/>
      </w:pPr>
      <w:r w:rsidRPr="00C109F9">
        <w:t>–</w:t>
      </w:r>
      <w:r w:rsidRPr="00C109F9">
        <w:tab/>
        <w:t>gezien werkdocument nr. 3199 van de ECB van 3 maart 2026 getiteld “Stablecoins and monetary policy transmission”,</w:t>
      </w:r>
    </w:p>
    <w:p w14:paraId="0379ED28" w14:textId="77777777" w:rsidR="007D7B12" w:rsidRPr="00C109F9" w:rsidRDefault="007D7B12" w:rsidP="007D7B12">
      <w:pPr>
        <w:pStyle w:val="NormalHanging"/>
      </w:pPr>
      <w:r w:rsidRPr="00C109F9">
        <w:t>–</w:t>
      </w:r>
      <w:r w:rsidRPr="00C109F9">
        <w:tab/>
        <w:t>gezien de aanbeveling van het Europees Comité voor systeemrisico’s (ESRB) van 25 september 2025 betreffende stablecoin-stelsels met meerdere uitgevers waarbij een uitgever uit een derde land betrokken is,</w:t>
      </w:r>
    </w:p>
    <w:p w14:paraId="778BBF05" w14:textId="77777777" w:rsidR="007D7B12" w:rsidRPr="00C109F9" w:rsidRDefault="007D7B12" w:rsidP="007D7B12">
      <w:pPr>
        <w:pStyle w:val="NormalHanging"/>
      </w:pPr>
      <w:r w:rsidRPr="00C109F9">
        <w:t>–</w:t>
      </w:r>
      <w:r w:rsidRPr="00C109F9">
        <w:tab/>
        <w:t>gezien het rapport van het ESRB van oktober 2025 getiteld “Crypto-assets and decentralised finance – Report on stablecoins, cryptoinvestment products and multi‑function groups”,</w:t>
      </w:r>
    </w:p>
    <w:p w14:paraId="472C0916" w14:textId="77777777" w:rsidR="007D7B12" w:rsidRPr="00C109F9" w:rsidRDefault="007D7B12" w:rsidP="007D7B12">
      <w:pPr>
        <w:pStyle w:val="NormalHanging"/>
      </w:pPr>
      <w:r w:rsidRPr="00C109F9">
        <w:t>–</w:t>
      </w:r>
      <w:r w:rsidRPr="00C109F9">
        <w:tab/>
        <w:t>gezien de richtsnoeren van de Europese Autoriteit voor effecten en markten (ESMA) van 19 maart 2025 over de voorwaarden en criteria voor de kwalificatie van cryptoactiva als financiële instrumenten,</w:t>
      </w:r>
    </w:p>
    <w:p w14:paraId="7F65594B" w14:textId="77777777" w:rsidR="007D7B12" w:rsidRPr="00C109F9" w:rsidRDefault="007D7B12" w:rsidP="007D7B12">
      <w:pPr>
        <w:pStyle w:val="NormalHanging"/>
      </w:pPr>
      <w:r w:rsidRPr="00C109F9">
        <w:t>–</w:t>
      </w:r>
      <w:r w:rsidRPr="00C109F9">
        <w:tab/>
        <w:t>gezien het rapport van de Europese Bankautoriteit (EBA) van december 2024 getiteld “Report on tokenised depositos”,</w:t>
      </w:r>
    </w:p>
    <w:p w14:paraId="6E1F9D4F" w14:textId="77777777" w:rsidR="007D7B12" w:rsidRPr="00C109F9" w:rsidRDefault="007D7B12" w:rsidP="007D7B12">
      <w:pPr>
        <w:pStyle w:val="NormalHanging"/>
      </w:pPr>
      <w:r w:rsidRPr="00C109F9">
        <w:t>–</w:t>
      </w:r>
      <w:r w:rsidRPr="00C109F9">
        <w:tab/>
        <w:t>gezien het verslag van de EBA van oktober 2025 getiteld “Report on tackling ML/TF risks in crypto-asset services through supervision — Lessons learned from recent cases”,</w:t>
      </w:r>
    </w:p>
    <w:p w14:paraId="4DE2E4B2" w14:textId="308CC226" w:rsidR="007D7B12" w:rsidRPr="00C109F9" w:rsidRDefault="007D7B12" w:rsidP="007D7B12">
      <w:pPr>
        <w:pStyle w:val="NormalHanging"/>
      </w:pPr>
      <w:r w:rsidRPr="00C109F9">
        <w:t>–</w:t>
      </w:r>
      <w:r w:rsidRPr="00C109F9">
        <w:tab/>
        <w:t xml:space="preserve">gezien het in september 2025 verschenen nummer van het tijdschrift “Finance &amp; Development” van het van het Internationaal Monetair Fonds, getiteld “Stablecoins and </w:t>
      </w:r>
      <w:r w:rsidRPr="00C109F9">
        <w:lastRenderedPageBreak/>
        <w:t>the future of finance”</w:t>
      </w:r>
      <w:r w:rsidR="004C6837" w:rsidRPr="00C109F9">
        <w:rPr>
          <w:rStyle w:val="FootnoteReference"/>
        </w:rPr>
        <w:footnoteReference w:id="1"/>
      </w:r>
      <w:r w:rsidRPr="00C109F9">
        <w:t>,</w:t>
      </w:r>
    </w:p>
    <w:p w14:paraId="146C6A64" w14:textId="77777777" w:rsidR="007D7B12" w:rsidRPr="00C109F9" w:rsidRDefault="007D7B12" w:rsidP="007D7B12">
      <w:pPr>
        <w:pStyle w:val="NormalHanging"/>
      </w:pPr>
      <w:r w:rsidRPr="00C109F9">
        <w:t>–</w:t>
      </w:r>
      <w:r w:rsidRPr="00C109F9">
        <w:tab/>
        <w:t>gezien het verslag van de Internationale organisatie van effectentoezichthouders van november 2025 getiteld “Tokenization of financial assets”,</w:t>
      </w:r>
    </w:p>
    <w:p w14:paraId="1E3A3D1F" w14:textId="77777777" w:rsidR="007D7B12" w:rsidRPr="00C109F9" w:rsidRDefault="007D7B12" w:rsidP="007D7B12">
      <w:pPr>
        <w:pStyle w:val="NormalHanging"/>
      </w:pPr>
      <w:r w:rsidRPr="00C109F9">
        <w:t>–</w:t>
      </w:r>
      <w:r w:rsidRPr="00C109F9">
        <w:tab/>
        <w:t>gezien het economisch jaarverslag van de Bank voor Internationale Betalingen (BIB) van juni 2025,</w:t>
      </w:r>
    </w:p>
    <w:p w14:paraId="3B4789FB" w14:textId="77777777" w:rsidR="007D7B12" w:rsidRPr="00C109F9" w:rsidRDefault="007D7B12" w:rsidP="007D7B12">
      <w:pPr>
        <w:pStyle w:val="NormalHanging"/>
      </w:pPr>
      <w:r w:rsidRPr="00C109F9">
        <w:t>–</w:t>
      </w:r>
      <w:r w:rsidRPr="00C109F9">
        <w:tab/>
        <w:t>gezien het verslag van de Raad voor financiële stabiliteit (FSB) van 16 oktober 2025 getiteld “Thematic Review on FSB Global Regulatory Framework for Crypto-asset Activities”,</w:t>
      </w:r>
    </w:p>
    <w:p w14:paraId="4285331B" w14:textId="77777777" w:rsidR="007D7B12" w:rsidRPr="00C109F9" w:rsidRDefault="007D7B12" w:rsidP="007D7B12">
      <w:pPr>
        <w:pStyle w:val="NormalHanging"/>
      </w:pPr>
      <w:r w:rsidRPr="00C109F9">
        <w:t>–</w:t>
      </w:r>
      <w:r w:rsidRPr="00C109F9">
        <w:tab/>
        <w:t>gezien het voortgangsverslag van de FSB van 22 oktober 2024 getiteld “G20 Crypto-asset Policy Implementation Roadmap”,</w:t>
      </w:r>
    </w:p>
    <w:p w14:paraId="0B06733F" w14:textId="77777777" w:rsidR="007D7B12" w:rsidRPr="00C109F9" w:rsidRDefault="007D7B12" w:rsidP="007D7B12">
      <w:pPr>
        <w:pStyle w:val="NormalHanging"/>
      </w:pPr>
      <w:r w:rsidRPr="00C109F9">
        <w:t>–</w:t>
      </w:r>
      <w:r w:rsidRPr="00C109F9">
        <w:tab/>
        <w:t>gezien het voortgangsrapport van de FSB van 22 oktober 2024 getiteld “The financial stability implications of tokenisation”,</w:t>
      </w:r>
    </w:p>
    <w:p w14:paraId="117FE299" w14:textId="77777777" w:rsidR="007D7B12" w:rsidRPr="00C109F9" w:rsidRDefault="007D7B12" w:rsidP="007D7B12">
      <w:pPr>
        <w:pStyle w:val="NormalHanging"/>
      </w:pPr>
      <w:r w:rsidRPr="00C109F9">
        <w:t>–</w:t>
      </w:r>
      <w:r w:rsidRPr="00C109F9">
        <w:tab/>
        <w:t>gezien het raadplegingsdocument van de Bank of England van 10 november 2025 getiteld “Proposed regulatory regime for sterling-denominated systemic stablecoins”,</w:t>
      </w:r>
    </w:p>
    <w:p w14:paraId="7224CF96" w14:textId="77777777" w:rsidR="007D7B12" w:rsidRPr="00C109F9" w:rsidRDefault="007D7B12" w:rsidP="007D7B12">
      <w:pPr>
        <w:pStyle w:val="NormalHanging"/>
      </w:pPr>
      <w:r w:rsidRPr="00C109F9">
        <w:t>–</w:t>
      </w:r>
      <w:r w:rsidRPr="00C109F9">
        <w:tab/>
        <w:t>gezien de briefing van de afdeling Toezicht economische governance en EMU van het directoraat Economie en groei van november 2025 getiteld “Digital assets: EU regulatory framework, market uptake, risks and challenges”,</w:t>
      </w:r>
    </w:p>
    <w:p w14:paraId="093C9CB0" w14:textId="64CB2A51" w:rsidR="007D7B12" w:rsidRPr="00C109F9" w:rsidRDefault="007D7B12" w:rsidP="007D7B12">
      <w:pPr>
        <w:pStyle w:val="NormalHanging"/>
      </w:pPr>
      <w:r w:rsidRPr="00C109F9">
        <w:t>–</w:t>
      </w:r>
      <w:r w:rsidRPr="00C109F9">
        <w:tab/>
        <w:t>gezien het beleidsdocument van de Organisatie voor Economische Samenwerking en Ontwikkeling (OESO) van 9 januari 2025 getiteld “tokenisation of assets and distributed ledger technologies in financial markets – Potential barriers to market development and policy implications”</w:t>
      </w:r>
      <w:r w:rsidR="004C6837" w:rsidRPr="00C109F9">
        <w:rPr>
          <w:rStyle w:val="FootnoteReference"/>
        </w:rPr>
        <w:footnoteReference w:id="2"/>
      </w:r>
      <w:r w:rsidRPr="00C109F9">
        <w:t>,</w:t>
      </w:r>
    </w:p>
    <w:p w14:paraId="7553D4B1" w14:textId="77777777" w:rsidR="007D7B12" w:rsidRPr="00C109F9" w:rsidRDefault="007D7B12" w:rsidP="007D7B12">
      <w:pPr>
        <w:pStyle w:val="NormalHanging"/>
      </w:pPr>
      <w:r w:rsidRPr="00C109F9">
        <w:t>–</w:t>
      </w:r>
      <w:r w:rsidRPr="00C109F9">
        <w:tab/>
        <w:t>gezien artikel 55 van zijn Reglement,</w:t>
      </w:r>
    </w:p>
    <w:p w14:paraId="2C137274" w14:textId="77777777" w:rsidR="007D7B12" w:rsidRPr="00C109F9" w:rsidRDefault="007D7B12" w:rsidP="007D7B12">
      <w:pPr>
        <w:pStyle w:val="NormalHanging"/>
      </w:pPr>
      <w:r w:rsidRPr="00C109F9">
        <w:t>–</w:t>
      </w:r>
      <w:r w:rsidRPr="00C109F9">
        <w:tab/>
        <w:t>gezien het verslag van de Commissie economische en monetaire zaken (A10‑0186/2026),</w:t>
      </w:r>
    </w:p>
    <w:p w14:paraId="011A9234" w14:textId="77777777" w:rsidR="007D7B12" w:rsidRPr="00C109F9" w:rsidRDefault="007D7B12" w:rsidP="007D7B12">
      <w:pPr>
        <w:pStyle w:val="NormalHanging"/>
      </w:pPr>
      <w:r w:rsidRPr="00C109F9">
        <w:t>A.</w:t>
      </w:r>
      <w:r w:rsidRPr="00C109F9">
        <w:tab/>
        <w:t>overwegende dat volgens de enquête van de ECB van november 2024 gemiddeld 9,7 % van de respondenten van de enquête of iemand in hun huishouden cryptoactiva bezat, en dat 54 % van hen aangaf tegoeden met een waarde van minder dan 1 000 EUR te hebben en dat 91 % van hen aangaf tegoeden met een waarde van minder dan 20 000 EUR te hebben;</w:t>
      </w:r>
    </w:p>
    <w:p w14:paraId="736781FF" w14:textId="77777777" w:rsidR="007D7B12" w:rsidRPr="00C109F9" w:rsidRDefault="007D7B12" w:rsidP="007D7B12">
      <w:pPr>
        <w:pStyle w:val="NormalHanging"/>
      </w:pPr>
      <w:r w:rsidRPr="00C109F9">
        <w:t>B.</w:t>
      </w:r>
      <w:r w:rsidRPr="00C109F9">
        <w:tab/>
        <w:t>overwegende dat de totale wereldwijde marktkapitalisatie van cryptoactiva op 10 februari 2026 2,03 biljoen EUR bedroeg, met een marktaandeel van 12,9 %, oftewel 261 miljard EUR, voor stablecoins, volgens particuliere gegevensbronnen; overwegende dat de marktprognoses volgens werkdocument nr. 3199 van de ECB wijzen op een aanzienlijke toename van de uitgifte van stablecoins;</w:t>
      </w:r>
    </w:p>
    <w:p w14:paraId="64F2FAD0" w14:textId="77777777" w:rsidR="007D7B12" w:rsidRPr="00C109F9" w:rsidRDefault="007D7B12" w:rsidP="007D7B12">
      <w:pPr>
        <w:pStyle w:val="NormalHanging"/>
      </w:pPr>
      <w:r w:rsidRPr="00C109F9">
        <w:t>C.</w:t>
      </w:r>
      <w:r w:rsidRPr="00C109F9">
        <w:tab/>
        <w:t xml:space="preserve">overwegende dat getokeniseerde activa in februari 2026 goed waren voor ongeveer 1 % </w:t>
      </w:r>
      <w:r w:rsidRPr="00C109F9">
        <w:lastRenderedPageBreak/>
        <w:t>van de wereldwijde digitale activa, een aandeel dat snel groeit, op basis van niet‑geharmoniseerde particuliere gegevensbronnen;</w:t>
      </w:r>
    </w:p>
    <w:p w14:paraId="588CE796" w14:textId="77777777" w:rsidR="007D7B12" w:rsidRPr="00C109F9" w:rsidRDefault="007D7B12" w:rsidP="007D7B12">
      <w:pPr>
        <w:pStyle w:val="NormalHanging"/>
      </w:pPr>
      <w:r w:rsidRPr="00C109F9">
        <w:t>D.</w:t>
      </w:r>
      <w:r w:rsidRPr="00C109F9">
        <w:tab/>
        <w:t>overwegende dat in 2025 wereldwijd meer dan 1,6 miljoen mensen werkzaam waren in de cryptosector, waarvan de EU een groot, maar dalend aandeel huisvest, op basis van particuliere gegevensbronnen;</w:t>
      </w:r>
    </w:p>
    <w:p w14:paraId="309D4028" w14:textId="6DE37D4C" w:rsidR="007D7B12" w:rsidRPr="00C109F9" w:rsidRDefault="007D7B12" w:rsidP="007D7B12">
      <w:pPr>
        <w:pStyle w:val="NormalHanging"/>
      </w:pPr>
      <w:r w:rsidRPr="00C109F9">
        <w:t>E.</w:t>
      </w:r>
      <w:r w:rsidRPr="00C109F9">
        <w:tab/>
        <w:t>overwegende dat in artikel 2, lid 1, van Verordening (EU) 2022/858</w:t>
      </w:r>
      <w:r w:rsidR="004C6837" w:rsidRPr="00C109F9">
        <w:rPr>
          <w:rStyle w:val="FootnoteReference"/>
        </w:rPr>
        <w:footnoteReference w:id="3"/>
      </w:r>
      <w:r w:rsidRPr="00C109F9">
        <w:t xml:space="preserve"> betreffende een proefregeling op basis van distributed ledger-technologie “distributed ledger-technologie” of “DLT” wordt gedefinieerd als “een technologie die de exploitatie en het gebruik van distributed ledgers mogelijk maakt”; overwegende dat in artikel 2, lid 2, “distributed ledger” wordt gedefinieerd als “een informatieopslagplaats waar transacties worden geregistreerd en die wordt gedeeld over en gesynchroniseerd tussen een reeks DLT-netwerkknooppunten (DLT network nodes) door middel van een consensusmechanisme”;</w:t>
      </w:r>
    </w:p>
    <w:p w14:paraId="1BB31021" w14:textId="208CBB33" w:rsidR="007D7B12" w:rsidRPr="00C109F9" w:rsidRDefault="007D7B12" w:rsidP="007D7B12">
      <w:pPr>
        <w:pStyle w:val="NormalHanging"/>
      </w:pPr>
      <w:r w:rsidRPr="00C109F9">
        <w:t>F.</w:t>
      </w:r>
      <w:r w:rsidRPr="00C109F9">
        <w:tab/>
        <w:t>overwegende dat Verordening (EU) 2023/1114 betreffende cryptoactivamarkten</w:t>
      </w:r>
      <w:r w:rsidR="004C6837" w:rsidRPr="00C109F9">
        <w:rPr>
          <w:rStyle w:val="FootnoteReference"/>
        </w:rPr>
        <w:footnoteReference w:id="4"/>
      </w:r>
      <w:r w:rsidRPr="00C109F9">
        <w:t xml:space="preserve"> (MiCAR) in de EU een geharmoniseerd kader voor cryptoactiva tot stand brengt door een onderscheid te maken tussen drie hoofdcategorieën, namelijk e-moneytokens, die hun waarde trachten te stabiliseren door te verwijzen naar de waarde van een officiële valuta, activagerelateerde tokens, die een stabiele waarde trachten te behouden door te verwijzen naar een andere waarde of een ander recht of een combinatie daarvan, met inbegrip van een of meer officiële valuta, en andere cryptoactiva, oftewel digitale weergaven van een waarde of een recht die elektronisch kunnen worden overgedragen en opgeslagen, met gebruikmaking van distributed ledger-technologie of vergelijkbare technologie, en die niet onder de andere categorieën vallen;</w:t>
      </w:r>
    </w:p>
    <w:p w14:paraId="3F7E9469" w14:textId="77777777" w:rsidR="007D7B12" w:rsidRPr="00C109F9" w:rsidRDefault="007D7B12" w:rsidP="007D7B12">
      <w:pPr>
        <w:pStyle w:val="NormalHanging"/>
      </w:pPr>
      <w:r w:rsidRPr="00C109F9">
        <w:t>G.</w:t>
      </w:r>
      <w:r w:rsidRPr="00C109F9">
        <w:tab/>
        <w:t>overwegende dat het toepassingsgebied van MiCAR op grond van artikel 2, lid 4, niet omvat: cryptoactiva die kunnen worden aangemerkt als financiële instrumenten, deposito’s, geldmiddelen, securitisaties, alsmede verzekerings- of pensioenproducten overeenkomstig huidig EU-recht, waardoor ervoor wordt gezorgd dat dergelijke cryptoactiva onderworpen blijven aan de relevante sectorspecifieke wetgevingskaders, en het productgebaseerde toezichtmodel van het EU-recht inzake financiële diensten weerspiegelen;</w:t>
      </w:r>
    </w:p>
    <w:p w14:paraId="7610527D" w14:textId="77777777" w:rsidR="007D7B12" w:rsidRPr="00C109F9" w:rsidRDefault="007D7B12" w:rsidP="007D7B12">
      <w:pPr>
        <w:pStyle w:val="NormalHanging"/>
      </w:pPr>
      <w:r w:rsidRPr="00C109F9">
        <w:t>H.</w:t>
      </w:r>
      <w:r w:rsidRPr="00C109F9">
        <w:tab/>
        <w:t xml:space="preserve">overwegende dat de nieuwe Amerikaanse regering beduidend meer openstaat voor cryptoactiva, wat heeft geleid tot de vaststelling van belangrijke wetgeving en een mildere benadering ten opzichte van de handhaving door toezichthoudende autoriteiten; overwegende dat de regelgevingsaanpak in de Verenigde Staten nog in ontwikkeling is en dat Amerikaanse beleidsmakers en regelgevers in plaats daarvan verwijzen naar “digitale activa” in algemene zin, die doorgaans worden opgevat als cryptografisch digitale weergaven van waarde of rechten die zijn beveiligd in een distributed ledger, </w:t>
      </w:r>
      <w:r w:rsidRPr="00C109F9">
        <w:lastRenderedPageBreak/>
        <w:t>met inbegrip van cryptovaluta, stablecoins en bepaalde getokeniseerde instrumenten;</w:t>
      </w:r>
    </w:p>
    <w:p w14:paraId="6B397726" w14:textId="77777777" w:rsidR="007D7B12" w:rsidRPr="00C109F9" w:rsidRDefault="007D7B12" w:rsidP="007D7B12">
      <w:pPr>
        <w:pStyle w:val="Normal12a"/>
      </w:pPr>
      <w:r w:rsidRPr="00C109F9">
        <w:rPr>
          <w:b/>
          <w:i/>
        </w:rPr>
        <w:t>Overzicht</w:t>
      </w:r>
    </w:p>
    <w:p w14:paraId="169CE2D2" w14:textId="77777777" w:rsidR="007D7B12" w:rsidRPr="00C109F9" w:rsidRDefault="007D7B12" w:rsidP="007D7B12">
      <w:pPr>
        <w:pStyle w:val="NormalHanging12a"/>
      </w:pPr>
      <w:r w:rsidRPr="00C109F9">
        <w:t>1.</w:t>
      </w:r>
      <w:r w:rsidRPr="00C109F9">
        <w:tab/>
        <w:t>steunt de langetermijndoelstelling van een systeembrede, op activiteiten gebaseerde en technologisch neutrale benadering van het EU-regelgevingskader voor financiële diensten;</w:t>
      </w:r>
    </w:p>
    <w:p w14:paraId="1BB64910" w14:textId="77777777" w:rsidR="007D7B12" w:rsidRPr="00C109F9" w:rsidRDefault="007D7B12" w:rsidP="007D7B12">
      <w:pPr>
        <w:pStyle w:val="NormalHanging12a"/>
      </w:pPr>
      <w:r w:rsidRPr="00C109F9">
        <w:t>2.</w:t>
      </w:r>
      <w:r w:rsidRPr="00C109F9">
        <w:tab/>
        <w:t>onderstreept dat DLT’s en de tokenisering van activa het potentieel hebben om bij te dragen aan de doelstellingen van de spaar- en investeringsunie door grensoverschrijdende investeringen te faciliteren, marktversnippering te beperken en een efficiëntere en inclusievere infrastructuur van de kapitaalmarkten in de hele EU mogelijk te maken; onderstreept dat interoperabiliteit een cruciale rol speelt;</w:t>
      </w:r>
    </w:p>
    <w:p w14:paraId="3B1DBC2F" w14:textId="77777777" w:rsidR="007D7B12" w:rsidRPr="00C109F9" w:rsidRDefault="007D7B12" w:rsidP="007D7B12">
      <w:pPr>
        <w:pStyle w:val="NormalHanging12a"/>
      </w:pPr>
      <w:r w:rsidRPr="00C109F9">
        <w:t>3.</w:t>
      </w:r>
      <w:r w:rsidRPr="00C109F9">
        <w:tab/>
        <w:t>benadrukt dat de opkomst van nieuwe technologieën in het geldwezen nieuwe uitdagingen met zich meebrengt voor het regelgevings- en toezichtskader; wijst op de diversiteit van digitale activa en onderkent dat de daaraan verbonden risico’s en het ondernemingspotentieel van categorie tot categorie verschillen; bevestigt zijn inzet voor de gerichte herziening van de regelgevingskaders van de EU om robuuste, op digitale activa gebaseerde kapitaalmarkten en betalingsinfrastructuur in de EU te ontwikkelen; dringt erop aan dat de Commissie beoordeelt in hoeverre het in het kader van MiCAR haalbaar en noodzakelijk is om het verstrekken en aangaan van leningen in cryptoactiva te reguleren, met inbegrip van staking, niet-verwisselbare tokens en gedecentraliseerde financiën;</w:t>
      </w:r>
    </w:p>
    <w:p w14:paraId="7EC93AF3" w14:textId="77777777" w:rsidR="007D7B12" w:rsidRPr="00C109F9" w:rsidRDefault="007D7B12" w:rsidP="007D7B12">
      <w:pPr>
        <w:pStyle w:val="NormalHanging12a"/>
      </w:pPr>
      <w:r w:rsidRPr="00C109F9">
        <w:t>4.</w:t>
      </w:r>
      <w:r w:rsidRPr="00C109F9">
        <w:tab/>
        <w:t>onderstreept dat cryptografisch beveiligde distributed ledgers en soortgelijke technologieën veel potentieel bieden op het gebied van innovatie en connectiviteit voor de infrastructuur van financiële diensten, zowel binnen de EU als voor de mondiale rol van de EU; benadrukt dat een voorspelbaar, innovatievriendelijk regelgevingsklimaat cruciaal zal zijn om te waarborgen dat investeringen en technologische ontwikkelingen binnen de EU blijven en om het concurrentievermogen van en het vertrouwen in financiële infrastructuur van de euro te bevorderen;</w:t>
      </w:r>
    </w:p>
    <w:p w14:paraId="08E7815B" w14:textId="77777777" w:rsidR="007D7B12" w:rsidRPr="00C109F9" w:rsidRDefault="007D7B12" w:rsidP="007D7B12">
      <w:pPr>
        <w:pStyle w:val="Normal12a"/>
      </w:pPr>
      <w:r w:rsidRPr="00C109F9">
        <w:rPr>
          <w:b/>
          <w:i/>
        </w:rPr>
        <w:t>Cryptoactiva</w:t>
      </w:r>
    </w:p>
    <w:p w14:paraId="345A23F3" w14:textId="36080556" w:rsidR="007D7B12" w:rsidRPr="00C109F9" w:rsidRDefault="007D7B12" w:rsidP="007D7B12">
      <w:pPr>
        <w:pStyle w:val="NormalHanging12a"/>
      </w:pPr>
      <w:r w:rsidRPr="00C109F9">
        <w:t>5.</w:t>
      </w:r>
      <w:r w:rsidRPr="00C109F9">
        <w:tab/>
        <w:t>onderkent dat de EU een van de eerste rechtsgebieden was die een specifieke regeling voor cryptoactiva vaststelden en doorvoerden, en wel met MiCAR, en DLT-technologie toepasten in de financiële sector; verzoekt de Commissie om, in nauwe samenwerking met de EBA, de ESMA, de Autoriteit voor de bestrijding van witwassen en terrorismefinanciering (AMLA) en de nationale bevoegde autoriteiten, de doeltreffende handhaving van MiCAR te waarborgen; verzoekt de lidstaten af te zien van de invoering van aanvullende vereisten en aansprakelijkheid bovenop de kaders van MiCAR of de verordening betreffende geldovermakingen</w:t>
      </w:r>
      <w:r w:rsidR="004C6837" w:rsidRPr="00C109F9">
        <w:rPr>
          <w:rStyle w:val="FootnoteReference"/>
        </w:rPr>
        <w:footnoteReference w:id="5"/>
      </w:r>
      <w:r w:rsidRPr="00C109F9">
        <w:t>;</w:t>
      </w:r>
    </w:p>
    <w:p w14:paraId="0121FB58" w14:textId="77777777" w:rsidR="007D7B12" w:rsidRPr="00C109F9" w:rsidRDefault="007D7B12" w:rsidP="007D7B12">
      <w:pPr>
        <w:pStyle w:val="NormalHanging12a"/>
      </w:pPr>
      <w:r w:rsidRPr="00C109F9">
        <w:t>6.</w:t>
      </w:r>
      <w:r w:rsidRPr="00C109F9">
        <w:tab/>
        <w:t xml:space="preserve">benadrukt dat het belangrijk is de datacapaciteiten te versterken, met name met betrekking tot de hefboomwerking in de cryptosector en de onderlinge verbanden met de sector van de niet-bancaire financiële instellingen; dringt er bij de Commissie op aan de verwevenheid van cryptoactiva met het financiële stelsel verder te monitoren; merkt </w:t>
      </w:r>
      <w:r w:rsidRPr="00C109F9">
        <w:lastRenderedPageBreak/>
        <w:t>op dat ongedekte cryptoactiva extra risico’s en volatiliteit met zich mee kunnen brengen;</w:t>
      </w:r>
    </w:p>
    <w:p w14:paraId="0FB41F30" w14:textId="77777777" w:rsidR="007D7B12" w:rsidRPr="00C109F9" w:rsidRDefault="007D7B12" w:rsidP="007D7B12">
      <w:pPr>
        <w:pStyle w:val="NormalHanging12a"/>
      </w:pPr>
      <w:r w:rsidRPr="00C109F9">
        <w:t>7.</w:t>
      </w:r>
      <w:r w:rsidRPr="00C109F9">
        <w:tab/>
        <w:t>verzoekt de EBA, de ESMA, de AMLA, de Europese Autoriteit voor verzekeringen en bedrijfspensioenen, de nationale bevoegde autoriteiten, de ECB en het ESRB de dialoog over toezicht op belangrijke multifunctionele groepen (MFG’s) te versterken; benadrukt dat het MiCAR-beleidskader moet worden afgestemd op belangrijke niet-bancaire MFG’s;</w:t>
      </w:r>
    </w:p>
    <w:p w14:paraId="0C1D1B1B" w14:textId="77777777" w:rsidR="007D7B12" w:rsidRPr="00C109F9" w:rsidRDefault="007D7B12" w:rsidP="007D7B12">
      <w:pPr>
        <w:pStyle w:val="NormalHanging12a"/>
      </w:pPr>
      <w:r w:rsidRPr="00C109F9">
        <w:t>8.</w:t>
      </w:r>
      <w:r w:rsidRPr="00C109F9">
        <w:tab/>
        <w:t>erkent dat “distributed ledger”-technologieën nieuwe technologische en operationele uitdagingen met zich meebrengen voor financiële toezichthouders, met inbegrip van problemen in verband met de beveiliging van slimme contracten, het bestuur van gedecentraliseerde netwerken, cyberweerbaarheid en operationeel risicobeheer; verzoekt toezichthoudende autoriteiten voldoende technische deskundigheid te ontwikkelen om deze opkomende marktinfrastructuren te begrijpen en doeltreffend te monitoren;</w:t>
      </w:r>
    </w:p>
    <w:p w14:paraId="53A58F4C" w14:textId="77777777" w:rsidR="007D7B12" w:rsidRPr="00C109F9" w:rsidRDefault="007D7B12" w:rsidP="007D7B12">
      <w:pPr>
        <w:pStyle w:val="NormalHanging12a"/>
      </w:pPr>
      <w:r w:rsidRPr="00C109F9">
        <w:t>9.</w:t>
      </w:r>
      <w:r w:rsidRPr="00C109F9">
        <w:tab/>
        <w:t>geeft uiting aan zijn bezorgdheid over het feit dat crypto-activa worden gebruikt om regelgeving en sancties ter bestrijding van witwassen en terrorismefinanciering (AML/CFT) te omzeilen; benadrukt dat het belangrijk is de toezichtsinstrumenten, de handhaving en nalevingsnormen te versterken om AML-/CFT-risico’s aan te pakken, met inbegrip van doeltreffende “ken uw klant”-normen en het toezicht op betalingen; onderstreept dat het belangrijk is dat onderzoeksautoriteiten de technologie achter cryptoactiva gebruiken om cryptocriminaliteit te ontmoedigen en met elkaar samenwerken om opgespoorde of gemelde illegale transacties te blokkeren;</w:t>
      </w:r>
    </w:p>
    <w:p w14:paraId="11772673" w14:textId="77777777" w:rsidR="007D7B12" w:rsidRPr="00C109F9" w:rsidRDefault="007D7B12" w:rsidP="007D7B12">
      <w:pPr>
        <w:pStyle w:val="NormalHanging12a"/>
      </w:pPr>
      <w:r w:rsidRPr="00C109F9">
        <w:t>10.</w:t>
      </w:r>
      <w:r w:rsidRPr="00C109F9">
        <w:tab/>
        <w:t>wijst op de opkomst van hybride producten die kenmerken van cryptoactiva en traditionele financiële instrumenten combineren, wat kan leiden tot juridische onzekerheid;</w:t>
      </w:r>
    </w:p>
    <w:p w14:paraId="230ABEAE" w14:textId="77777777" w:rsidR="007D7B12" w:rsidRPr="00C109F9" w:rsidRDefault="007D7B12" w:rsidP="007D7B12">
      <w:pPr>
        <w:pStyle w:val="Normal12a"/>
      </w:pPr>
      <w:r w:rsidRPr="00C109F9">
        <w:rPr>
          <w:b/>
          <w:i/>
        </w:rPr>
        <w:t>Tokenisatie van financiële instrumenten</w:t>
      </w:r>
    </w:p>
    <w:p w14:paraId="6E41D5D3" w14:textId="1EA01FB2" w:rsidR="007D7B12" w:rsidRPr="00C109F9" w:rsidRDefault="007D7B12" w:rsidP="007D7B12">
      <w:pPr>
        <w:pStyle w:val="NormalHanging12a"/>
      </w:pPr>
      <w:r w:rsidRPr="00C109F9">
        <w:t>11.</w:t>
      </w:r>
      <w:r w:rsidRPr="00C109F9">
        <w:tab/>
        <w:t>wijs</w:t>
      </w:r>
      <w:r w:rsidR="004C6837" w:rsidRPr="00C109F9">
        <w:t>t</w:t>
      </w:r>
      <w:r w:rsidRPr="00C109F9">
        <w:t xml:space="preserve"> erop dat in overweging 3 van Verordening (EU) 2022/858 de “tokenisatie” van financiële instrumenten wordt gedefinieerd als de digitale weergave van financiële instrumenten in distributed ledgers of de uitgifte van traditionele categorieën activa in tokenvorm om ze in een distributed ledger te kunnen uitgeven, opslaan en overdragen;</w:t>
      </w:r>
    </w:p>
    <w:p w14:paraId="6EB4FDD4" w14:textId="77777777" w:rsidR="007D7B12" w:rsidRPr="00C109F9" w:rsidRDefault="007D7B12" w:rsidP="007D7B12">
      <w:pPr>
        <w:pStyle w:val="NormalHanging12a"/>
      </w:pPr>
      <w:r w:rsidRPr="00C109F9">
        <w:t>12.</w:t>
      </w:r>
      <w:r w:rsidRPr="00C109F9">
        <w:tab/>
        <w:t>benadrukt dat louter de tokenisering van financiële activa het juridische karakter of de voornaamste economische kenmerken van die activa niet verandert; benadruk dat getokeniseerde financiële instrumenten rechten moeten verlenen die gelijkwaardig zijn aan de rechten in verband met traditionele effecten om regelgevingsarbitrage te vermijden en de beleggersbescherming te vrijwaren;</w:t>
      </w:r>
    </w:p>
    <w:p w14:paraId="307AA9B9" w14:textId="77777777" w:rsidR="007D7B12" w:rsidRPr="00C109F9" w:rsidRDefault="007D7B12" w:rsidP="007D7B12">
      <w:pPr>
        <w:pStyle w:val="NormalHanging12a"/>
      </w:pPr>
      <w:r w:rsidRPr="00C109F9">
        <w:t>13.</w:t>
      </w:r>
      <w:r w:rsidRPr="00C109F9">
        <w:tab/>
        <w:t>wijst op de voordelen die tokenisatie kan bieden voor de handel in financiële activa, zoals meer efficiëntie en transparantie, geringere tegenpartijrisico’s en lagere operationele kosten, slimme contracten en betere liquiditeit door middel van gedeeltelijke eigendom, maar wijst erop dat de kwetsbaarheden ervan nauwlettend in het oog moeten worden gehouden;</w:t>
      </w:r>
    </w:p>
    <w:p w14:paraId="6CCDF3D9" w14:textId="77777777" w:rsidR="007D7B12" w:rsidRPr="00C109F9" w:rsidRDefault="007D7B12" w:rsidP="007D7B12">
      <w:pPr>
        <w:pStyle w:val="NormalHanging12a"/>
      </w:pPr>
      <w:r w:rsidRPr="00C109F9">
        <w:t>14.</w:t>
      </w:r>
      <w:r w:rsidRPr="00C109F9">
        <w:tab/>
        <w:t xml:space="preserve">dringt er bij de Commissie op aan tokenisatie in alle financiële diensten te vergemakkelijken en aan te moedigen, aan te dringen op interoperabiliteit en </w:t>
      </w:r>
      <w:r w:rsidRPr="00C109F9">
        <w:lastRenderedPageBreak/>
        <w:t>versnippering te voorkomen door normen in de hele eengemaakte markt te handhaven en infrastructuur aan te bieden;</w:t>
      </w:r>
    </w:p>
    <w:p w14:paraId="3410BD46" w14:textId="77777777" w:rsidR="007D7B12" w:rsidRPr="00C109F9" w:rsidRDefault="007D7B12" w:rsidP="007D7B12">
      <w:pPr>
        <w:pStyle w:val="NormalHanging12a"/>
      </w:pPr>
      <w:r w:rsidRPr="00C109F9">
        <w:t>15.</w:t>
      </w:r>
      <w:r w:rsidRPr="00C109F9">
        <w:tab/>
        <w:t>onderkent dat de ECB inspanningen levert om oplossingen te bieden, waaronder infrastructuur die een optie biedt voor een digitale centralebankmunt voor de groothandel (CBDC) die het mogelijk maakt de contante en activakant af te wikkelen in het kader van een gedeeld register, als aanvulling op getokeniseerde commerciële-bankdeposito’s en stablecoins;</w:t>
      </w:r>
    </w:p>
    <w:p w14:paraId="013A0093" w14:textId="77777777" w:rsidR="007D7B12" w:rsidRPr="00C109F9" w:rsidRDefault="007D7B12" w:rsidP="007D7B12">
      <w:pPr>
        <w:pStyle w:val="NormalHanging12a"/>
      </w:pPr>
      <w:r w:rsidRPr="00C109F9">
        <w:t>16.</w:t>
      </w:r>
      <w:r w:rsidRPr="00C109F9">
        <w:tab/>
        <w:t>onderstreept dat de getokeniseerde Europese markt potentieel biedt voor mondiale connectiviteit; onderstreept hoe belangrijk internationale samenwerking is om de indelingscriteria, -beginselen en -normen te harmoniseren; steunt het werk van de Bank voor Internationale Betalingen bij grensoverschrijdende samenwerkingsinitiatieven;</w:t>
      </w:r>
    </w:p>
    <w:p w14:paraId="2934A839" w14:textId="77777777" w:rsidR="007D7B12" w:rsidRPr="00C109F9" w:rsidRDefault="007D7B12" w:rsidP="007D7B12">
      <w:pPr>
        <w:pStyle w:val="NormalHanging12a"/>
      </w:pPr>
      <w:r w:rsidRPr="00C109F9">
        <w:t>17.</w:t>
      </w:r>
      <w:r w:rsidRPr="00C109F9">
        <w:tab/>
        <w:t>is ingenomen met de lopende besprekingen over de proefregeling voor DLT als onderdeel van het pakket marktintegratie en toezicht;</w:t>
      </w:r>
    </w:p>
    <w:p w14:paraId="64265B9D" w14:textId="77777777" w:rsidR="007D7B12" w:rsidRPr="00C109F9" w:rsidRDefault="007D7B12" w:rsidP="007D7B12">
      <w:pPr>
        <w:pStyle w:val="Normal12a"/>
      </w:pPr>
      <w:r w:rsidRPr="00C109F9">
        <w:rPr>
          <w:b/>
          <w:i/>
        </w:rPr>
        <w:t>Stablecoins</w:t>
      </w:r>
    </w:p>
    <w:p w14:paraId="2E957143" w14:textId="77777777" w:rsidR="007D7B12" w:rsidRPr="00C109F9" w:rsidRDefault="007D7B12" w:rsidP="007D7B12">
      <w:pPr>
        <w:pStyle w:val="NormalHanging12a"/>
      </w:pPr>
      <w:r w:rsidRPr="00C109F9">
        <w:t>18.</w:t>
      </w:r>
      <w:r w:rsidRPr="00C109F9">
        <w:tab/>
        <w:t>merkt op dat stablecoins in het MiCAR-rechtskader onder twee categorieën kunnen vallen, te weten activagerelateerde tokens en elektronischgeldtokens (e-moneytokens);</w:t>
      </w:r>
    </w:p>
    <w:p w14:paraId="3626E39E" w14:textId="77777777" w:rsidR="007D7B12" w:rsidRPr="00C109F9" w:rsidRDefault="007D7B12" w:rsidP="007D7B12">
      <w:pPr>
        <w:pStyle w:val="NormalHanging12a"/>
      </w:pPr>
      <w:r w:rsidRPr="00C109F9">
        <w:t>19.</w:t>
      </w:r>
      <w:r w:rsidRPr="00C109F9">
        <w:tab/>
        <w:t>merkt op dat stablecoins een vorm van particuliere geldschepping zijn en dat hun economische functie overeenkomsten vertoont met wisselkoerskoppelingen, geldmarktfondsen en smalle banken; benadrukt echter dat MiCAR emittenten van e‑moneytokens en aanbieders van cryptoactivadiensten verbiedt direct of indirect rente toe te kennen met betrekking tot e-moneytokens, en dat stablecoins geen directe toegang hebben tot centrale banken en de houders ervan niet onder depositogarantiestelsels vallen; wijst op het risico van desintermediatie van stablecoins of het verlies van hun koppeling aan de onderliggende waarde;</w:t>
      </w:r>
    </w:p>
    <w:p w14:paraId="4779BDCC" w14:textId="4E9C14A1" w:rsidR="00F25DB7" w:rsidRPr="00C109F9" w:rsidRDefault="001B74E2" w:rsidP="007D7B12">
      <w:pPr>
        <w:pStyle w:val="NormalHanging12a"/>
      </w:pPr>
      <w:r w:rsidRPr="00C109F9">
        <w:t>20.</w:t>
      </w:r>
      <w:r w:rsidR="00F25DB7" w:rsidRPr="00C109F9">
        <w:tab/>
        <w:t xml:space="preserve">Neemt met bezorgdheid kennis van de aanhoudende snelle groei en dominantie van in Amerikaanse dollar luidende </w:t>
      </w:r>
      <w:proofErr w:type="spellStart"/>
      <w:r w:rsidR="00F25DB7" w:rsidRPr="00C109F9">
        <w:t>stablecoins</w:t>
      </w:r>
      <w:proofErr w:type="spellEnd"/>
      <w:r w:rsidR="00F25DB7" w:rsidRPr="00C109F9">
        <w:t>, die de monetaire soevereiniteit van de EU kunnen verzwakken, de risico’s voor de financiële stabiliteit kunnen vergroten, de doorwerking van het monetaire beleid kunnen belemmeren en de externe afhankelijkheid op het gebied van betalingen kunnen versterken;</w:t>
      </w:r>
    </w:p>
    <w:p w14:paraId="0CF6FACB" w14:textId="633568CB" w:rsidR="007D7B12" w:rsidRPr="00C109F9" w:rsidRDefault="001B74E2" w:rsidP="007D7B12">
      <w:pPr>
        <w:pStyle w:val="NormalHanging12a"/>
      </w:pPr>
      <w:r w:rsidRPr="00C109F9">
        <w:t>21</w:t>
      </w:r>
      <w:r w:rsidR="007D7B12" w:rsidRPr="00C109F9">
        <w:t>.</w:t>
      </w:r>
      <w:r w:rsidR="007D7B12" w:rsidRPr="00C109F9">
        <w:tab/>
        <w:t>is ingenomen met de opkomst van in euro luidende e-moneytokens in het kader van MiCAR en moedigt de ontwikkeling ervan aan ter ondersteuning van de innovatie op het gebied van betalingen in de EU, het concurrentievermogen van de financiële markten van de EU en de internationale rol van de euro, onder meer door middel van snellere en goedkopere grensoverschrijdende betalingen, als aanvulling op getokeniseerde deposito’s en CBDC voor de groothandel; benadrukt het belang van geharmoniseerde kaders voor liquiditeitsrisico’s en crisisbeheer, onder meer met betrekking tot massale terugbetalingsverzoeken en vereisten inzake scheiding van reserves; merkt op dat de ECB bevestigt dat niet in euro luidende stablecoins risico’s voor het monetair beleid kunnen inhouden als het gebruik ervan wijdverbreid wordt; geeft uiting aan zijn bezorgdheid over het misbruik van de “reverse solicitation”-clausule;</w:t>
      </w:r>
    </w:p>
    <w:p w14:paraId="7A0001C7" w14:textId="13020D4A" w:rsidR="007D7B12" w:rsidRPr="00C109F9" w:rsidRDefault="001B74E2" w:rsidP="007D7B12">
      <w:pPr>
        <w:pStyle w:val="NormalHanging12a"/>
      </w:pPr>
      <w:r w:rsidRPr="00C109F9">
        <w:t>22</w:t>
      </w:r>
      <w:r w:rsidR="007D7B12" w:rsidRPr="00C109F9">
        <w:t>.</w:t>
      </w:r>
      <w:r w:rsidR="007D7B12" w:rsidRPr="00C109F9">
        <w:tab/>
        <w:t xml:space="preserve">is zich bewust van de behoefte aan rechtszekerheid in het EU-recht met betrekking tot de mogelijkheid van meervoudige uitgifte van stablecoins door een EU- en een </w:t>
      </w:r>
      <w:r w:rsidR="007D7B12" w:rsidRPr="00C109F9">
        <w:lastRenderedPageBreak/>
        <w:t>niet‑EU‑entiteit, waarbij de door beide entiteiten uitgegeven digitale stablecoins volledig fungibel en niet van elkaar te onderscheiden zouden zijn; herinnert eraan dat het ESRB ervoor heeft gewaarschuwd dat meervoudige uitgifte een potentieel besmettingsgevaar vormt; benadrukt dat ervoor moet worden gezorgd dat de werking van dergelijke regelingen in de EU stoelt op rechtszekerheid en een solide regelgevingskader dat voorziet in sterke prudentiële waarborgen, robuuste samenwerkingsregelingen en verbeterde crisisbeheersingsprotocollen; beklemtoont dat het belangrijk is om de internationale coördinatie op het gebied van de regulering van en het toezicht op global stablecoins te bevorderen met het oog op de ontwikkeling van internationale normen;</w:t>
      </w:r>
    </w:p>
    <w:p w14:paraId="6D512CCC" w14:textId="50C485AE" w:rsidR="007D7B12" w:rsidRPr="00C109F9" w:rsidRDefault="001B74E2" w:rsidP="007D7B12">
      <w:pPr>
        <w:pStyle w:val="NormalHanging12a"/>
      </w:pPr>
      <w:r w:rsidRPr="00C109F9">
        <w:t>23</w:t>
      </w:r>
      <w:r w:rsidR="007D7B12" w:rsidRPr="00C109F9">
        <w:t>.</w:t>
      </w:r>
      <w:r w:rsidR="007D7B12" w:rsidRPr="00C109F9">
        <w:tab/>
        <w:t>is ingenomen met het voorlopige akkoord over de voorstellen voor een richtlijn</w:t>
      </w:r>
      <w:r w:rsidR="004C6837" w:rsidRPr="00C109F9">
        <w:rPr>
          <w:rStyle w:val="FootnoteReference"/>
        </w:rPr>
        <w:footnoteReference w:id="6"/>
      </w:r>
      <w:r w:rsidR="007D7B12" w:rsidRPr="00C109F9">
        <w:t xml:space="preserve"> en een verordening</w:t>
      </w:r>
      <w:r w:rsidR="004C6837" w:rsidRPr="00C109F9">
        <w:rPr>
          <w:rStyle w:val="FootnoteReference"/>
        </w:rPr>
        <w:footnoteReference w:id="7"/>
      </w:r>
      <w:r w:rsidR="007D7B12" w:rsidRPr="00C109F9">
        <w:t xml:space="preserve"> betreffende betalingsdiensten en de vereenvoudigde vergunningsregeling voor aanbieders van cryptoactivadiensten die reeds uit hoofde van MiCAR over een vergunning beschikken, om onnodige overlap van regelgeving te voorkomen via een vereenvoudigde procedure, waarbij passende risicobeheersmaatregelen worden gehandhaafd en alleen de in de aanvraag gespecificeerde diensten worden verleend;</w:t>
      </w:r>
    </w:p>
    <w:p w14:paraId="5E30718A" w14:textId="77777777" w:rsidR="007D7B12" w:rsidRPr="00C109F9" w:rsidRDefault="007D7B12" w:rsidP="007D7B12">
      <w:pPr>
        <w:pStyle w:val="Normal12a"/>
      </w:pPr>
      <w:r w:rsidRPr="00C109F9">
        <w:rPr>
          <w:b/>
          <w:i/>
        </w:rPr>
        <w:t>Horizontale overwegingen</w:t>
      </w:r>
    </w:p>
    <w:p w14:paraId="03809679" w14:textId="1E494E16" w:rsidR="007D7B12" w:rsidRPr="00C109F9" w:rsidRDefault="001B74E2" w:rsidP="007D7B12">
      <w:pPr>
        <w:pStyle w:val="NormalHanging12a"/>
      </w:pPr>
      <w:r w:rsidRPr="00C109F9">
        <w:t>24</w:t>
      </w:r>
      <w:r w:rsidR="007D7B12" w:rsidRPr="00C109F9">
        <w:t>.</w:t>
      </w:r>
      <w:r w:rsidR="007D7B12" w:rsidRPr="00C109F9">
        <w:tab/>
        <w:t>benadrukt dat interoperabiliteit van cruciaal belang is in het digitale geldwezen, en dat daarvoor bijvoorbeeld een draagbare identiteit en verifieerbare gegevens nodig zijn, om de totstandbrenging van een netwerkoverschrijdende marktinfrastructuur mogelijk te maken; benadrukt dat benaderingen waarbij gebruik wordt gemaakt van identificatiecodes voor juridische entiteiten/verifieerbare identificatiecodes voor juridische entiteiten moeten worden beoordeeld als instrumenten voor de digitale infrastructuur; verzoekt de Commissie om samen te werken met Europese en internationale normalisatie-instellingen om gemeenschappelijke technische normen en protocollen voor digitale activa, slimme contracten en digitale identiteiten te ontwikkelen;</w:t>
      </w:r>
    </w:p>
    <w:p w14:paraId="7719638A" w14:textId="7D456EB7" w:rsidR="007D7B12" w:rsidRPr="00C109F9" w:rsidRDefault="001B74E2" w:rsidP="007D7B12">
      <w:pPr>
        <w:pStyle w:val="NormalHanging12a"/>
      </w:pPr>
      <w:r w:rsidRPr="00C109F9">
        <w:t>25</w:t>
      </w:r>
      <w:r w:rsidR="007D7B12" w:rsidRPr="00C109F9">
        <w:t>.</w:t>
      </w:r>
      <w:r w:rsidR="007D7B12" w:rsidRPr="00C109F9">
        <w:tab/>
        <w:t>verwelkomt de lopende besprekingen over de digitale euro, met inbegrip van de voorbereidingen voor zowel retail- als grootschalige toepassingen, en steunt de lopende DLT-projecten op korte termijn (Pontes) en lange termijn (Appia) voor de afwikkeling van grootschalige transacties in centralebankgeld; verzoekt de Commissie en de ECB te garanderen dat toekomstige oplossingen voor de digitale euro zo zijn ontworpen dat interoperabiliteit met DLT-infrastructuur wordt bevorderd en complementariteit met contant geld wordt gegarandeerd;</w:t>
      </w:r>
    </w:p>
    <w:p w14:paraId="240C9F31" w14:textId="6BB562AE" w:rsidR="007D7B12" w:rsidRPr="00C109F9" w:rsidRDefault="001B74E2" w:rsidP="007D7B12">
      <w:pPr>
        <w:pStyle w:val="NormalHanging12a"/>
      </w:pPr>
      <w:r w:rsidRPr="00C109F9">
        <w:t>26</w:t>
      </w:r>
      <w:r w:rsidR="007D7B12" w:rsidRPr="00C109F9">
        <w:t>.</w:t>
      </w:r>
      <w:r w:rsidR="007D7B12" w:rsidRPr="00C109F9">
        <w:tab/>
        <w:t>betreurt dat de EU voor DLT-infrastructuur afhankelijk is van dienstverleners buiten de EU; benadrukt dat de behandeling van digitale activa door de Amerikaanse regering nauwlettend moet worden gevolgd;</w:t>
      </w:r>
    </w:p>
    <w:p w14:paraId="1343F099" w14:textId="2897A553" w:rsidR="007D7B12" w:rsidRPr="00C109F9" w:rsidRDefault="001B74E2" w:rsidP="007D7B12">
      <w:pPr>
        <w:pStyle w:val="NormalHanging12a"/>
      </w:pPr>
      <w:r w:rsidRPr="00C109F9">
        <w:lastRenderedPageBreak/>
        <w:t>27</w:t>
      </w:r>
      <w:r w:rsidR="007D7B12" w:rsidRPr="00C109F9">
        <w:t>.</w:t>
      </w:r>
      <w:r w:rsidR="007D7B12" w:rsidRPr="00C109F9">
        <w:tab/>
        <w:t>neemt kennis van de lopende besprekingen over het toezicht op aanbieders van cryptoactivadiensten en over de rol van de ESMA als onderdeel van het pakket marktintegratie en toezicht;</w:t>
      </w:r>
    </w:p>
    <w:p w14:paraId="3071D03C" w14:textId="77777777" w:rsidR="007D7B12" w:rsidRPr="00C109F9" w:rsidRDefault="007D7B12" w:rsidP="007D7B12">
      <w:pPr>
        <w:pStyle w:val="NormalCenter12a"/>
      </w:pPr>
      <w:r w:rsidRPr="00C109F9">
        <w:t>°</w:t>
      </w:r>
    </w:p>
    <w:p w14:paraId="194E5F8C" w14:textId="77777777" w:rsidR="007D7B12" w:rsidRPr="00C109F9" w:rsidRDefault="007D7B12" w:rsidP="007D7B12">
      <w:pPr>
        <w:pStyle w:val="NormalCenter12a"/>
      </w:pPr>
      <w:r w:rsidRPr="00C109F9">
        <w:t>°</w:t>
      </w:r>
      <w:r w:rsidRPr="00C109F9">
        <w:tab/>
        <w:t>°</w:t>
      </w:r>
    </w:p>
    <w:p w14:paraId="6EB437DA" w14:textId="5CAE1B38" w:rsidR="00583A1C" w:rsidRPr="00C109F9" w:rsidRDefault="001B74E2" w:rsidP="00583A1C">
      <w:pPr>
        <w:pStyle w:val="NormalHanging12a"/>
      </w:pPr>
      <w:r w:rsidRPr="00C109F9">
        <w:t>28</w:t>
      </w:r>
      <w:r w:rsidR="007D7B12" w:rsidRPr="00C109F9">
        <w:t>.</w:t>
      </w:r>
      <w:r w:rsidR="007D7B12" w:rsidRPr="00C109F9">
        <w:tab/>
        <w:t>verzoekt zijn Voorzitter deze resolutie te doen toekomen aan de Raad en de Commissie.</w:t>
      </w:r>
    </w:p>
    <w:p w14:paraId="1549EB64" w14:textId="3FFB6EF5" w:rsidR="00E365E1" w:rsidRPr="00C109F9" w:rsidRDefault="00E365E1" w:rsidP="00C65DFB"/>
    <w:sectPr w:rsidR="00E365E1" w:rsidRPr="00C109F9" w:rsidSect="00583A1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7AA4E" w14:textId="77777777" w:rsidR="00C65DFB" w:rsidRPr="00583A1C" w:rsidRDefault="00C65DFB">
      <w:r w:rsidRPr="00583A1C">
        <w:separator/>
      </w:r>
    </w:p>
  </w:endnote>
  <w:endnote w:type="continuationSeparator" w:id="0">
    <w:p w14:paraId="7D78132F" w14:textId="77777777" w:rsidR="00C65DFB" w:rsidRPr="00583A1C" w:rsidRDefault="00C65DFB">
      <w:r w:rsidRPr="00583A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084F4" w14:textId="77777777" w:rsidR="00C65DFB" w:rsidRPr="00583A1C" w:rsidRDefault="00C65DFB">
      <w:r w:rsidRPr="00583A1C">
        <w:separator/>
      </w:r>
    </w:p>
  </w:footnote>
  <w:footnote w:type="continuationSeparator" w:id="0">
    <w:p w14:paraId="2DB71042" w14:textId="77777777" w:rsidR="00C65DFB" w:rsidRPr="00583A1C" w:rsidRDefault="00C65DFB">
      <w:r w:rsidRPr="00583A1C">
        <w:continuationSeparator/>
      </w:r>
    </w:p>
  </w:footnote>
  <w:footnote w:id="1">
    <w:p w14:paraId="70CE2C77" w14:textId="77BB6E33" w:rsidR="004C6837" w:rsidRPr="004C6837" w:rsidRDefault="004C6837" w:rsidP="00583A1C">
      <w:pPr>
        <w:pStyle w:val="FootnoteText"/>
        <w:ind w:left="567" w:hanging="567"/>
        <w:rPr>
          <w:sz w:val="24"/>
          <w:szCs w:val="24"/>
          <w:lang w:val="en-GB"/>
        </w:rPr>
      </w:pPr>
      <w:r w:rsidRPr="00C109F9">
        <w:rPr>
          <w:rStyle w:val="FootnoteReference"/>
          <w:sz w:val="24"/>
          <w:szCs w:val="24"/>
        </w:rPr>
        <w:footnoteRef/>
      </w:r>
      <w:r w:rsidRPr="004C6837">
        <w:rPr>
          <w:sz w:val="24"/>
          <w:szCs w:val="24"/>
          <w:lang w:val="en-GB"/>
        </w:rPr>
        <w:t xml:space="preserve"> </w:t>
      </w:r>
      <w:r w:rsidRPr="004C6837">
        <w:rPr>
          <w:sz w:val="24"/>
          <w:szCs w:val="24"/>
          <w:lang w:val="en-GB"/>
        </w:rPr>
        <w:tab/>
        <w:t xml:space="preserve">Internationaal Monetair Fonds, “Stablecoins and the future of finance”, in Finance &amp; Development, jaargang 62, nr. 3, 3 september 2025, Internationaal Monetair Fonds, Washington, </w:t>
      </w:r>
      <w:hyperlink r:id="rId1" w:tgtFrame="https://doi.org/10.5089/9798400297649.022" w:history="1">
        <w:r w:rsidRPr="004C6837">
          <w:rPr>
            <w:rStyle w:val="Hyperlink"/>
            <w:sz w:val="24"/>
            <w:szCs w:val="24"/>
            <w:lang w:val="en-GB"/>
          </w:rPr>
          <w:t>https://doi.org/10.5089/9798400297649.022</w:t>
        </w:r>
      </w:hyperlink>
      <w:r w:rsidRPr="004C6837">
        <w:rPr>
          <w:sz w:val="24"/>
          <w:szCs w:val="24"/>
          <w:lang w:val="en-GB"/>
        </w:rPr>
        <w:t>.</w:t>
      </w:r>
    </w:p>
  </w:footnote>
  <w:footnote w:id="2">
    <w:p w14:paraId="388F1952" w14:textId="20C8DF2B" w:rsidR="004C6837" w:rsidRPr="004C6837" w:rsidRDefault="004C6837" w:rsidP="00583A1C">
      <w:pPr>
        <w:pStyle w:val="FootnoteText"/>
        <w:ind w:left="567" w:hanging="567"/>
        <w:rPr>
          <w:sz w:val="24"/>
          <w:szCs w:val="24"/>
          <w:lang w:val="en-GB"/>
        </w:rPr>
      </w:pPr>
      <w:r w:rsidRPr="00C109F9">
        <w:rPr>
          <w:rStyle w:val="FootnoteReference"/>
          <w:sz w:val="24"/>
          <w:szCs w:val="24"/>
        </w:rPr>
        <w:footnoteRef/>
      </w:r>
      <w:r w:rsidRPr="004C6837">
        <w:rPr>
          <w:sz w:val="24"/>
          <w:szCs w:val="24"/>
          <w:lang w:val="en-GB"/>
        </w:rPr>
        <w:t xml:space="preserve"> </w:t>
      </w:r>
      <w:r w:rsidRPr="004C6837">
        <w:rPr>
          <w:sz w:val="24"/>
          <w:szCs w:val="24"/>
          <w:lang w:val="en-GB"/>
        </w:rPr>
        <w:tab/>
        <w:t>OECD Business and Finance Policy Papers, nr. 75.</w:t>
      </w:r>
    </w:p>
  </w:footnote>
  <w:footnote w:id="3">
    <w:p w14:paraId="04D80279" w14:textId="0EA6047D" w:rsidR="004C6837" w:rsidRPr="004C6837" w:rsidRDefault="004C6837" w:rsidP="00583A1C">
      <w:pPr>
        <w:pStyle w:val="FootnoteText"/>
        <w:ind w:left="567" w:hanging="567"/>
        <w:rPr>
          <w:sz w:val="24"/>
          <w:szCs w:val="24"/>
          <w:lang w:val="nl-NL"/>
        </w:rPr>
      </w:pPr>
      <w:r w:rsidRPr="00C109F9">
        <w:rPr>
          <w:rStyle w:val="FootnoteReference"/>
          <w:sz w:val="24"/>
          <w:szCs w:val="24"/>
        </w:rPr>
        <w:footnoteRef/>
      </w:r>
      <w:r w:rsidRPr="004C6837">
        <w:rPr>
          <w:sz w:val="24"/>
          <w:szCs w:val="24"/>
          <w:lang w:val="nl-NL"/>
        </w:rPr>
        <w:t xml:space="preserve"> </w:t>
      </w:r>
      <w:r w:rsidRPr="004C6837">
        <w:rPr>
          <w:sz w:val="24"/>
          <w:szCs w:val="24"/>
          <w:lang w:val="nl-NL"/>
        </w:rPr>
        <w:tab/>
        <w:t xml:space="preserve">Verordening (EU) 2022/858 van het Europees Parlement en de Raad van 30 mei 2022 betreffende een proefregeling voor marktinfrastructuren op basis van distributed ledger-technologie, en tot wijziging van Verordeningen (EU) nr. 600/2014 en (EU) nr. 909/2014 en Richtlijn 2014/65/EU (PB L 151 van 2.6.2022, blz. 1, ELI: </w:t>
      </w:r>
      <w:hyperlink r:id="rId2" w:tgtFrame="http://data.europa.eu/eli/reg/2022/858/oj" w:history="1">
        <w:r w:rsidRPr="004C6837">
          <w:rPr>
            <w:rStyle w:val="Hyperlink"/>
            <w:sz w:val="24"/>
            <w:szCs w:val="24"/>
            <w:lang w:val="nl-NL"/>
          </w:rPr>
          <w:t>http://data.europa.eu/eli/reg/2022/858/oj)</w:t>
        </w:r>
      </w:hyperlink>
      <w:r w:rsidRPr="004C6837">
        <w:rPr>
          <w:sz w:val="24"/>
          <w:szCs w:val="24"/>
          <w:lang w:val="nl-NL"/>
        </w:rPr>
        <w:t>.</w:t>
      </w:r>
    </w:p>
  </w:footnote>
  <w:footnote w:id="4">
    <w:p w14:paraId="6AA394B4" w14:textId="6FE964B7" w:rsidR="004C6837" w:rsidRPr="004C6837" w:rsidRDefault="004C6837" w:rsidP="00583A1C">
      <w:pPr>
        <w:pStyle w:val="FootnoteText"/>
        <w:ind w:left="567" w:hanging="567"/>
        <w:rPr>
          <w:sz w:val="24"/>
          <w:szCs w:val="24"/>
          <w:lang w:val="nl-NL"/>
        </w:rPr>
      </w:pPr>
      <w:r w:rsidRPr="00C109F9">
        <w:rPr>
          <w:rStyle w:val="FootnoteReference"/>
          <w:sz w:val="24"/>
          <w:szCs w:val="24"/>
        </w:rPr>
        <w:footnoteRef/>
      </w:r>
      <w:r w:rsidRPr="004C6837">
        <w:rPr>
          <w:sz w:val="24"/>
          <w:szCs w:val="24"/>
          <w:lang w:val="nl-NL"/>
        </w:rPr>
        <w:t xml:space="preserve"> </w:t>
      </w:r>
      <w:r w:rsidRPr="004C6837">
        <w:rPr>
          <w:sz w:val="24"/>
          <w:szCs w:val="24"/>
          <w:lang w:val="nl-NL"/>
        </w:rPr>
        <w:tab/>
        <w:t xml:space="preserve">Verordening (EU) 2023/1114 van het Europees Parlement en de Raad van 31 mei 2023 betreffende cryptoactivamarkten en tot wijziging van Verordeningen (EU) nr. 1093/2010 en (EU) nr. 1095/2010 en Richtlijnen 2013/36/EU en (EU) 2019/1937 (PB L 150 van 9.6.2023, blz. 40, ELI: </w:t>
      </w:r>
      <w:hyperlink r:id="rId3" w:tgtFrame="http://data.europa.eu/eli/reg/2023/1114/oj" w:history="1">
        <w:r w:rsidRPr="004C6837">
          <w:rPr>
            <w:rStyle w:val="Hyperlink"/>
            <w:sz w:val="24"/>
            <w:szCs w:val="24"/>
            <w:lang w:val="nl-NL"/>
          </w:rPr>
          <w:t>http://data.europa.eu/eli/reg/2023/1114/oj</w:t>
        </w:r>
      </w:hyperlink>
      <w:r w:rsidRPr="004C6837">
        <w:rPr>
          <w:sz w:val="24"/>
          <w:szCs w:val="24"/>
          <w:lang w:val="nl-NL"/>
        </w:rPr>
        <w:t>).</w:t>
      </w:r>
    </w:p>
  </w:footnote>
  <w:footnote w:id="5">
    <w:p w14:paraId="70FD0725" w14:textId="6CB908BB" w:rsidR="004C6837" w:rsidRPr="004C6837" w:rsidRDefault="004C6837" w:rsidP="00583A1C">
      <w:pPr>
        <w:pStyle w:val="FootnoteText"/>
        <w:ind w:left="567" w:hanging="567"/>
        <w:rPr>
          <w:sz w:val="24"/>
          <w:szCs w:val="24"/>
          <w:lang w:val="nl-NL"/>
        </w:rPr>
      </w:pPr>
      <w:r w:rsidRPr="00C109F9">
        <w:rPr>
          <w:rStyle w:val="FootnoteReference"/>
          <w:sz w:val="24"/>
          <w:szCs w:val="24"/>
        </w:rPr>
        <w:footnoteRef/>
      </w:r>
      <w:r w:rsidRPr="004C6837">
        <w:rPr>
          <w:sz w:val="24"/>
          <w:szCs w:val="24"/>
          <w:lang w:val="nl-NL"/>
        </w:rPr>
        <w:t xml:space="preserve"> </w:t>
      </w:r>
      <w:r w:rsidRPr="004C6837">
        <w:rPr>
          <w:sz w:val="24"/>
          <w:szCs w:val="24"/>
          <w:lang w:val="nl-NL"/>
        </w:rPr>
        <w:tab/>
        <w:t>Verordening (EU) 2023/1113 van het Europees Parlement en de Raad van 31 mei 2023 betreffende bij geldovermakingen en overdrachten van bepaalde cryptoactiva te voegen informatie en tot wijziging van Richtlijn (EU) 2015/849 (PB L 150</w:t>
      </w:r>
      <w:r w:rsidR="008B2B13">
        <w:rPr>
          <w:sz w:val="24"/>
          <w:szCs w:val="24"/>
          <w:lang w:val="nl-NL"/>
        </w:rPr>
        <w:t xml:space="preserve"> van 9.6.2023</w:t>
      </w:r>
      <w:r w:rsidRPr="004C6837">
        <w:rPr>
          <w:sz w:val="24"/>
          <w:szCs w:val="24"/>
          <w:lang w:val="nl-NL"/>
        </w:rPr>
        <w:t xml:space="preserve">, blz. 1, ELI: </w:t>
      </w:r>
      <w:hyperlink r:id="rId4" w:tgtFrame="http://data.europa.eu/eli/reg/2023/1113/oj" w:history="1">
        <w:r w:rsidRPr="004C6837">
          <w:rPr>
            <w:rStyle w:val="Hyperlink"/>
            <w:sz w:val="24"/>
            <w:szCs w:val="24"/>
            <w:lang w:val="nl-NL"/>
          </w:rPr>
          <w:t>http://data.europa.eu/eli/reg/2023/1113/oj</w:t>
        </w:r>
      </w:hyperlink>
      <w:r w:rsidRPr="004C6837">
        <w:rPr>
          <w:sz w:val="24"/>
          <w:szCs w:val="24"/>
          <w:lang w:val="nl-NL"/>
        </w:rPr>
        <w:t>).</w:t>
      </w:r>
    </w:p>
  </w:footnote>
  <w:footnote w:id="6">
    <w:p w14:paraId="3B9B8B16" w14:textId="2A2E59BC" w:rsidR="004C6837" w:rsidRPr="004C6837" w:rsidRDefault="004C6837" w:rsidP="00583A1C">
      <w:pPr>
        <w:pStyle w:val="FootnoteText"/>
        <w:ind w:left="567" w:hanging="567"/>
        <w:rPr>
          <w:sz w:val="24"/>
          <w:szCs w:val="24"/>
          <w:lang w:val="nl-NL"/>
        </w:rPr>
      </w:pPr>
      <w:r w:rsidRPr="00C109F9">
        <w:rPr>
          <w:rStyle w:val="FootnoteReference"/>
          <w:sz w:val="24"/>
          <w:szCs w:val="24"/>
        </w:rPr>
        <w:footnoteRef/>
      </w:r>
      <w:r w:rsidRPr="004C6837">
        <w:rPr>
          <w:sz w:val="24"/>
          <w:szCs w:val="24"/>
          <w:lang w:val="nl-NL"/>
        </w:rPr>
        <w:t xml:space="preserve"> </w:t>
      </w:r>
      <w:r w:rsidRPr="004C6837">
        <w:rPr>
          <w:sz w:val="24"/>
          <w:szCs w:val="24"/>
          <w:lang w:val="nl-NL"/>
        </w:rPr>
        <w:tab/>
        <w:t>Voorstel van de Commissie van 28 juni 2023 voor een richtlijn van het Europees Parlement en de Raad betreffende betalingsdiensten en elektronischgelddiensten in de interne markt, houdende wijziging van Richtlijn 98/26/EG en houdende intrekking van Richtlijn (EU) 2366/2366 en Richtlijn 2009/110/EG (COM(2023)0366).</w:t>
      </w:r>
    </w:p>
  </w:footnote>
  <w:footnote w:id="7">
    <w:p w14:paraId="22221992" w14:textId="3FC1C796" w:rsidR="004C6837" w:rsidRPr="004C6837" w:rsidRDefault="004C6837" w:rsidP="00583A1C">
      <w:pPr>
        <w:pStyle w:val="FootnoteText"/>
        <w:ind w:left="567" w:hanging="567"/>
        <w:rPr>
          <w:sz w:val="24"/>
          <w:szCs w:val="24"/>
          <w:lang w:val="nl-NL"/>
        </w:rPr>
      </w:pPr>
      <w:r w:rsidRPr="00C109F9">
        <w:rPr>
          <w:rStyle w:val="FootnoteReference"/>
          <w:sz w:val="24"/>
          <w:szCs w:val="24"/>
        </w:rPr>
        <w:footnoteRef/>
      </w:r>
      <w:r w:rsidRPr="004C6837">
        <w:rPr>
          <w:sz w:val="24"/>
          <w:szCs w:val="24"/>
          <w:lang w:val="nl-NL"/>
        </w:rPr>
        <w:t xml:space="preserve"> </w:t>
      </w:r>
      <w:r w:rsidRPr="004C6837">
        <w:rPr>
          <w:sz w:val="24"/>
          <w:szCs w:val="24"/>
          <w:lang w:val="nl-NL"/>
        </w:rPr>
        <w:tab/>
        <w:t>Voorstel van de Commissie van 28 juni 2023 voor een verordening van het Europees Parlement en de Raad betreffende betalingsdiensten in de interne markt en houdende wijziging van Verordening (EU) nr. 1093/2010 (COM(2023)0367).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1679106">
    <w:abstractNumId w:val="9"/>
  </w:num>
  <w:num w:numId="2" w16cid:durableId="1864518647">
    <w:abstractNumId w:val="9"/>
  </w:num>
  <w:num w:numId="3" w16cid:durableId="1615213765">
    <w:abstractNumId w:val="7"/>
  </w:num>
  <w:num w:numId="4" w16cid:durableId="1755400507">
    <w:abstractNumId w:val="7"/>
  </w:num>
  <w:num w:numId="5" w16cid:durableId="1329475694">
    <w:abstractNumId w:val="6"/>
  </w:num>
  <w:num w:numId="6" w16cid:durableId="1874229596">
    <w:abstractNumId w:val="6"/>
  </w:num>
  <w:num w:numId="7" w16cid:durableId="530846647">
    <w:abstractNumId w:val="5"/>
  </w:num>
  <w:num w:numId="8" w16cid:durableId="310330772">
    <w:abstractNumId w:val="5"/>
  </w:num>
  <w:num w:numId="9" w16cid:durableId="713045207">
    <w:abstractNumId w:val="4"/>
  </w:num>
  <w:num w:numId="10" w16cid:durableId="356582585">
    <w:abstractNumId w:val="4"/>
  </w:num>
  <w:num w:numId="11" w16cid:durableId="2000310272">
    <w:abstractNumId w:val="8"/>
  </w:num>
  <w:num w:numId="12" w16cid:durableId="2095471229">
    <w:abstractNumId w:val="8"/>
  </w:num>
  <w:num w:numId="13" w16cid:durableId="1475753423">
    <w:abstractNumId w:val="3"/>
  </w:num>
  <w:num w:numId="14" w16cid:durableId="657155082">
    <w:abstractNumId w:val="3"/>
  </w:num>
  <w:num w:numId="15" w16cid:durableId="791097796">
    <w:abstractNumId w:val="2"/>
  </w:num>
  <w:num w:numId="16" w16cid:durableId="489953417">
    <w:abstractNumId w:val="2"/>
  </w:num>
  <w:num w:numId="17" w16cid:durableId="5715262">
    <w:abstractNumId w:val="1"/>
  </w:num>
  <w:num w:numId="18" w16cid:durableId="1257445102">
    <w:abstractNumId w:val="1"/>
  </w:num>
  <w:num w:numId="19" w16cid:durableId="1567573854">
    <w:abstractNumId w:val="0"/>
  </w:num>
  <w:num w:numId="20" w16cid:durableId="2008054755">
    <w:abstractNumId w:val="0"/>
  </w:num>
  <w:num w:numId="21" w16cid:durableId="952715458">
    <w:abstractNumId w:val="9"/>
  </w:num>
  <w:num w:numId="22" w16cid:durableId="864251151">
    <w:abstractNumId w:val="7"/>
  </w:num>
  <w:num w:numId="23" w16cid:durableId="1677923043">
    <w:abstractNumId w:val="6"/>
  </w:num>
  <w:num w:numId="24" w16cid:durableId="1445880320">
    <w:abstractNumId w:val="5"/>
  </w:num>
  <w:num w:numId="25" w16cid:durableId="1552301214">
    <w:abstractNumId w:val="4"/>
  </w:num>
  <w:num w:numId="26" w16cid:durableId="2014139659">
    <w:abstractNumId w:val="8"/>
  </w:num>
  <w:num w:numId="27" w16cid:durableId="603731916">
    <w:abstractNumId w:val="3"/>
  </w:num>
  <w:num w:numId="28" w16cid:durableId="1308364689">
    <w:abstractNumId w:val="2"/>
  </w:num>
  <w:num w:numId="29" w16cid:durableId="1403484079">
    <w:abstractNumId w:val="1"/>
  </w:num>
  <w:num w:numId="30" w16cid:durableId="2087729773">
    <w:abstractNumId w:val="0"/>
  </w:num>
  <w:num w:numId="31" w16cid:durableId="43065121">
    <w:abstractNumId w:val="9"/>
  </w:num>
  <w:num w:numId="32" w16cid:durableId="749624798">
    <w:abstractNumId w:val="7"/>
  </w:num>
  <w:num w:numId="33" w16cid:durableId="1617641282">
    <w:abstractNumId w:val="6"/>
  </w:num>
  <w:num w:numId="34" w16cid:durableId="1338580386">
    <w:abstractNumId w:val="5"/>
  </w:num>
  <w:num w:numId="35" w16cid:durableId="446899647">
    <w:abstractNumId w:val="4"/>
  </w:num>
  <w:num w:numId="36" w16cid:durableId="1341814079">
    <w:abstractNumId w:val="8"/>
  </w:num>
  <w:num w:numId="37" w16cid:durableId="1557158515">
    <w:abstractNumId w:val="3"/>
  </w:num>
  <w:num w:numId="38" w16cid:durableId="1361584742">
    <w:abstractNumId w:val="2"/>
  </w:num>
  <w:num w:numId="39" w16cid:durableId="901479413">
    <w:abstractNumId w:val="1"/>
  </w:num>
  <w:num w:numId="40" w16cid:durableId="678045813">
    <w:abstractNumId w:val="0"/>
  </w:num>
  <w:num w:numId="41" w16cid:durableId="1915357743">
    <w:abstractNumId w:val="10"/>
  </w:num>
  <w:num w:numId="42" w16cid:durableId="1081829554">
    <w:abstractNumId w:val="10"/>
  </w:num>
  <w:num w:numId="43" w16cid:durableId="656375261">
    <w:abstractNumId w:val="10"/>
  </w:num>
  <w:num w:numId="44" w16cid:durableId="14985764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NL"/>
    <w:docVar w:name="dvnumam" w:val="0"/>
    <w:docVar w:name="dvpe" w:val="784.381"/>
    <w:docVar w:name="dvrapporteur" w:val="Rapporteur: "/>
    <w:docVar w:name="dvtitre" w:val="Resolutie van het Europees Parlement van xx juli 2026 over digitale activa – uitdagingen voor het concurrentievermogen en de integriteit van het financiële stelsel van de Europese Unie(2025/2208(INI))"/>
  </w:docVars>
  <w:rsids>
    <w:rsidRoot w:val="00C65DFB"/>
    <w:rsid w:val="00002272"/>
    <w:rsid w:val="00064002"/>
    <w:rsid w:val="000677B9"/>
    <w:rsid w:val="000831BA"/>
    <w:rsid w:val="000A42CC"/>
    <w:rsid w:val="000D348F"/>
    <w:rsid w:val="000E7DD9"/>
    <w:rsid w:val="0010095E"/>
    <w:rsid w:val="00122899"/>
    <w:rsid w:val="00125B37"/>
    <w:rsid w:val="00187494"/>
    <w:rsid w:val="001B74E2"/>
    <w:rsid w:val="001F32AE"/>
    <w:rsid w:val="002767FF"/>
    <w:rsid w:val="002B18FE"/>
    <w:rsid w:val="002B5493"/>
    <w:rsid w:val="00343214"/>
    <w:rsid w:val="00361C00"/>
    <w:rsid w:val="00395FA1"/>
    <w:rsid w:val="003D07F9"/>
    <w:rsid w:val="003E15D4"/>
    <w:rsid w:val="00411CCE"/>
    <w:rsid w:val="0041666E"/>
    <w:rsid w:val="00421060"/>
    <w:rsid w:val="00431075"/>
    <w:rsid w:val="00471C19"/>
    <w:rsid w:val="004867E3"/>
    <w:rsid w:val="00494A28"/>
    <w:rsid w:val="004C0004"/>
    <w:rsid w:val="004C5D52"/>
    <w:rsid w:val="004C6837"/>
    <w:rsid w:val="0050519A"/>
    <w:rsid w:val="005072A1"/>
    <w:rsid w:val="00514517"/>
    <w:rsid w:val="00545827"/>
    <w:rsid w:val="00560270"/>
    <w:rsid w:val="00583A1C"/>
    <w:rsid w:val="005C2568"/>
    <w:rsid w:val="005F1B17"/>
    <w:rsid w:val="006037C0"/>
    <w:rsid w:val="006631B6"/>
    <w:rsid w:val="00680577"/>
    <w:rsid w:val="006F74FA"/>
    <w:rsid w:val="00706A78"/>
    <w:rsid w:val="00731ADD"/>
    <w:rsid w:val="00734777"/>
    <w:rsid w:val="00747932"/>
    <w:rsid w:val="00751A4A"/>
    <w:rsid w:val="00756632"/>
    <w:rsid w:val="00762C74"/>
    <w:rsid w:val="00786EC0"/>
    <w:rsid w:val="007D1690"/>
    <w:rsid w:val="007D7B12"/>
    <w:rsid w:val="007E22AD"/>
    <w:rsid w:val="00817416"/>
    <w:rsid w:val="00842779"/>
    <w:rsid w:val="00865F67"/>
    <w:rsid w:val="00881A7B"/>
    <w:rsid w:val="008840E5"/>
    <w:rsid w:val="00887B3E"/>
    <w:rsid w:val="008B2B1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09F9"/>
    <w:rsid w:val="00C23CD4"/>
    <w:rsid w:val="00C61C0C"/>
    <w:rsid w:val="00C65DF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7AB"/>
    <w:rsid w:val="00F149E9"/>
    <w:rsid w:val="00F25DB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43FB9"/>
  <w15:chartTrackingRefBased/>
  <w15:docId w15:val="{7756AFE1-E3BC-44C9-8647-584934B51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D7B12"/>
    <w:pPr>
      <w:widowControl/>
      <w:spacing w:after="240"/>
    </w:pPr>
    <w:rPr>
      <w:szCs w:val="24"/>
      <w:lang w:eastAsia="en-US"/>
    </w:rPr>
  </w:style>
  <w:style w:type="paragraph" w:customStyle="1" w:styleId="NormalHanging12a">
    <w:name w:val="NormalHanging12a"/>
    <w:basedOn w:val="Normal"/>
    <w:rsid w:val="007D7B12"/>
    <w:pPr>
      <w:widowControl/>
      <w:spacing w:after="240"/>
      <w:ind w:left="566" w:hanging="566"/>
    </w:pPr>
    <w:rPr>
      <w:szCs w:val="24"/>
      <w:lang w:eastAsia="en-US"/>
    </w:rPr>
  </w:style>
  <w:style w:type="paragraph" w:customStyle="1" w:styleId="Normal12">
    <w:name w:val="Normal12"/>
    <w:basedOn w:val="Normal"/>
    <w:rsid w:val="007D7B12"/>
    <w:pPr>
      <w:spacing w:after="240"/>
    </w:pPr>
    <w:rPr>
      <w:szCs w:val="24"/>
      <w:lang w:eastAsia="en-US"/>
    </w:rPr>
  </w:style>
  <w:style w:type="paragraph" w:customStyle="1" w:styleId="NormalHanging">
    <w:name w:val="NormalHanging"/>
    <w:basedOn w:val="Normal"/>
    <w:rsid w:val="007D7B12"/>
    <w:pPr>
      <w:spacing w:after="240"/>
      <w:ind w:left="566" w:hanging="566"/>
    </w:pPr>
    <w:rPr>
      <w:szCs w:val="24"/>
      <w:lang w:eastAsia="en-US"/>
    </w:rPr>
  </w:style>
  <w:style w:type="paragraph" w:customStyle="1" w:styleId="NormalCenter12a">
    <w:name w:val="NormalCenter12a"/>
    <w:basedOn w:val="Normal"/>
    <w:rsid w:val="007D7B12"/>
    <w:pPr>
      <w:widowControl/>
      <w:spacing w:after="240"/>
      <w:jc w:val="center"/>
    </w:pPr>
    <w:rPr>
      <w:szCs w:val="24"/>
      <w:lang w:eastAsia="en-US"/>
    </w:rPr>
  </w:style>
  <w:style w:type="character" w:styleId="Hyperlink">
    <w:name w:val="Hyperlink"/>
    <w:basedOn w:val="DefaultParagraphFont"/>
    <w:rsid w:val="007D7B12"/>
    <w:rPr>
      <w:color w:val="0000FF"/>
      <w:u w:val="single"/>
    </w:rPr>
  </w:style>
  <w:style w:type="paragraph" w:styleId="Revision">
    <w:name w:val="Revision"/>
    <w:hidden/>
    <w:uiPriority w:val="99"/>
    <w:semiHidden/>
    <w:rsid w:val="004C683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2589</Words>
  <Characters>16673</Characters>
  <Application>Microsoft Office Word</Application>
  <DocSecurity>0</DocSecurity>
  <Lines>370</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2026-07-07T13:29:00Z</dcterms:created>
  <dcterms:modified xsi:type="dcterms:W3CDTF">2026-07-07T13:29:00Z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A10-0186/2026</vt:lpwstr>
  </property>
  <property fmtid="{D5CDD505-2E9C-101B-9397-08002B2CF9AE}" pid="4" name="&lt;Type&gt;">
    <vt:lpwstr>RR</vt:lpwstr>
  </property>
</Properties>
</file>