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7FA5" w14:paraId="48CCDB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DCBA01" w14:textId="77777777" w:rsidR="00751A4A" w:rsidRPr="00547FA5" w:rsidRDefault="00F83D79" w:rsidP="0010095E">
            <w:pPr>
              <w:pStyle w:val="EPName"/>
            </w:pPr>
            <w:r w:rsidRPr="00547FA5">
              <w:t>Parlament Europejski</w:t>
            </w:r>
          </w:p>
          <w:p w14:paraId="47D8A9F4" w14:textId="77777777" w:rsidR="00751A4A" w:rsidRPr="00547F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7FA5">
              <w:t>2024</w:t>
            </w:r>
            <w:r w:rsidR="00817416" w:rsidRPr="00547FA5">
              <w:t>-202</w:t>
            </w:r>
            <w:r w:rsidRPr="00547FA5">
              <w:t>9</w:t>
            </w:r>
          </w:p>
        </w:tc>
        <w:tc>
          <w:tcPr>
            <w:tcW w:w="2268" w:type="dxa"/>
            <w:shd w:val="clear" w:color="auto" w:fill="auto"/>
          </w:tcPr>
          <w:p w14:paraId="5DFCDD91" w14:textId="77777777" w:rsidR="00751A4A" w:rsidRPr="00547FA5" w:rsidRDefault="00187494" w:rsidP="0010095E">
            <w:pPr>
              <w:pStyle w:val="EPLogo"/>
            </w:pPr>
            <w:r w:rsidRPr="00547FA5">
              <w:rPr>
                <w:noProof/>
                <w:lang w:eastAsia="ja-JP"/>
              </w:rPr>
              <w:drawing>
                <wp:inline distT="0" distB="0" distL="0" distR="0" wp14:anchorId="6E86D45E" wp14:editId="458E02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FC06E4" w14:textId="77777777" w:rsidR="00D058B8" w:rsidRPr="00547FA5" w:rsidRDefault="00D058B8" w:rsidP="004C5D52">
      <w:pPr>
        <w:pStyle w:val="LineTop"/>
      </w:pPr>
    </w:p>
    <w:p w14:paraId="60A1471F" w14:textId="77777777" w:rsidR="00680577" w:rsidRPr="00547FA5" w:rsidRDefault="00F83D79" w:rsidP="00680577">
      <w:pPr>
        <w:pStyle w:val="EPBodyTA1"/>
      </w:pPr>
      <w:r w:rsidRPr="00547FA5">
        <w:t>TEKSTY PRZYJĘTE</w:t>
      </w:r>
    </w:p>
    <w:p w14:paraId="2632587D" w14:textId="77777777" w:rsidR="00D058B8" w:rsidRPr="00547FA5" w:rsidRDefault="00D058B8" w:rsidP="00D058B8">
      <w:pPr>
        <w:pStyle w:val="LineBottom"/>
      </w:pPr>
    </w:p>
    <w:p w14:paraId="74798049" w14:textId="430817F7" w:rsidR="00F83D79" w:rsidRPr="00547FA5" w:rsidRDefault="00F83D79" w:rsidP="00F83D79">
      <w:pPr>
        <w:pStyle w:val="ATHeading1"/>
      </w:pPr>
      <w:bookmarkStart w:id="0" w:name="TANumber"/>
      <w:r w:rsidRPr="00547FA5">
        <w:t>P10_TA(2026)0</w:t>
      </w:r>
      <w:bookmarkEnd w:id="0"/>
      <w:r w:rsidR="00FD43E2">
        <w:t>251</w:t>
      </w:r>
    </w:p>
    <w:p w14:paraId="743B584B" w14:textId="214C4F7A" w:rsidR="00F83D79" w:rsidRPr="00FD43E2" w:rsidRDefault="00FD43E2" w:rsidP="00F83D79">
      <w:pPr>
        <w:pStyle w:val="ATHeading2"/>
      </w:pPr>
      <w:r w:rsidRPr="00FD43E2">
        <w:rPr>
          <w:bCs/>
        </w:rPr>
        <w:t>Aktywa cyfrowe – wyzwania dla konkurencji i integralności systemu finansowego Unii Europejskiej</w:t>
      </w:r>
    </w:p>
    <w:p w14:paraId="23B7251E" w14:textId="77777777" w:rsidR="00F83D79" w:rsidRPr="00547FA5" w:rsidRDefault="00F83D79" w:rsidP="00F83D79">
      <w:pPr>
        <w:rPr>
          <w:i/>
          <w:vanish/>
        </w:rPr>
      </w:pPr>
      <w:r w:rsidRPr="00547FA5">
        <w:rPr>
          <w:i/>
        </w:rPr>
        <w:fldChar w:fldCharType="begin"/>
      </w:r>
      <w:r w:rsidRPr="00547FA5">
        <w:rPr>
          <w:i/>
        </w:rPr>
        <w:instrText xml:space="preserve"> TC"(</w:instrText>
      </w:r>
      <w:bookmarkStart w:id="1" w:name="DocNumber"/>
      <w:r w:rsidRPr="00547FA5">
        <w:rPr>
          <w:i/>
        </w:rPr>
        <w:instrText>A10-0186/2026</w:instrText>
      </w:r>
      <w:bookmarkEnd w:id="1"/>
      <w:r w:rsidRPr="00547FA5">
        <w:rPr>
          <w:i/>
        </w:rPr>
        <w:instrText xml:space="preserve"> - Sprawozdawca: </w:instrText>
      </w:r>
      <w:proofErr w:type="spellStart"/>
      <w:r w:rsidRPr="00547FA5">
        <w:rPr>
          <w:i/>
        </w:rPr>
        <w:instrText>Johan</w:instrText>
      </w:r>
      <w:proofErr w:type="spellEnd"/>
      <w:r w:rsidRPr="00547FA5">
        <w:rPr>
          <w:i/>
        </w:rPr>
        <w:instrText xml:space="preserve"> Van </w:instrText>
      </w:r>
      <w:proofErr w:type="spellStart"/>
      <w:r w:rsidRPr="00547FA5">
        <w:rPr>
          <w:i/>
        </w:rPr>
        <w:instrText>Overtveldt</w:instrText>
      </w:r>
      <w:proofErr w:type="spellEnd"/>
      <w:r w:rsidRPr="00547FA5">
        <w:rPr>
          <w:i/>
        </w:rPr>
        <w:instrText xml:space="preserve">)"\l3 \n&gt; \* MERGEFORMAT </w:instrText>
      </w:r>
      <w:r w:rsidRPr="00547FA5">
        <w:rPr>
          <w:i/>
        </w:rPr>
        <w:fldChar w:fldCharType="end"/>
      </w:r>
    </w:p>
    <w:p w14:paraId="4417AAB8" w14:textId="77777777" w:rsidR="00F83D79" w:rsidRPr="00547FA5" w:rsidRDefault="00F83D79" w:rsidP="00F83D79">
      <w:pPr>
        <w:rPr>
          <w:vanish/>
        </w:rPr>
      </w:pPr>
      <w:bookmarkStart w:id="2" w:name="Commission"/>
      <w:r w:rsidRPr="00547FA5">
        <w:rPr>
          <w:vanish/>
        </w:rPr>
        <w:t>Komisja Gospodarcza i Monetarna</w:t>
      </w:r>
      <w:bookmarkEnd w:id="2"/>
    </w:p>
    <w:p w14:paraId="5AFD1EDF" w14:textId="77777777" w:rsidR="00F83D79" w:rsidRPr="00547FA5" w:rsidRDefault="00F83D79" w:rsidP="00F83D79">
      <w:pPr>
        <w:rPr>
          <w:vanish/>
        </w:rPr>
      </w:pPr>
      <w:bookmarkStart w:id="3" w:name="PE"/>
      <w:r w:rsidRPr="00547FA5">
        <w:rPr>
          <w:vanish/>
        </w:rPr>
        <w:t>PE784.381</w:t>
      </w:r>
      <w:bookmarkEnd w:id="3"/>
    </w:p>
    <w:p w14:paraId="3B963C89" w14:textId="1E7E8D47" w:rsidR="00F83D79" w:rsidRPr="00547FA5" w:rsidRDefault="00F83D79" w:rsidP="00F83D79">
      <w:pPr>
        <w:pStyle w:val="ATHeading3"/>
      </w:pPr>
      <w:bookmarkStart w:id="4" w:name="Sujet"/>
      <w:r w:rsidRPr="00547FA5">
        <w:t xml:space="preserve">Rezolucja Parlamentu Europejskiego z dnia </w:t>
      </w:r>
      <w:r w:rsidR="008C1F2D">
        <w:t>7 lipca</w:t>
      </w:r>
      <w:r w:rsidRPr="00547FA5">
        <w:t xml:space="preserve"> 2026 r. w sprawie aktywów cyfrowych – wyzwania dla konkurencyjności i integralności systemu finansowego Unii Europejskiej</w:t>
      </w:r>
      <w:bookmarkEnd w:id="4"/>
      <w:r w:rsidRPr="00547FA5">
        <w:t xml:space="preserve"> </w:t>
      </w:r>
      <w:bookmarkStart w:id="5" w:name="References"/>
      <w:r w:rsidRPr="00547FA5">
        <w:t>(2025/2208(INI))</w:t>
      </w:r>
      <w:bookmarkEnd w:id="5"/>
    </w:p>
    <w:p w14:paraId="5EA3E315" w14:textId="77777777" w:rsidR="00E553E0" w:rsidRPr="00547FA5" w:rsidRDefault="00E553E0" w:rsidP="00E553E0">
      <w:pPr>
        <w:pStyle w:val="Normal12"/>
      </w:pPr>
      <w:r w:rsidRPr="00547FA5">
        <w:t>Parlament Europejski,</w:t>
      </w:r>
    </w:p>
    <w:p w14:paraId="504B72A5" w14:textId="77777777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>uwzględniając przegląd stabilności finansowej Europejskiego Banku Centralnego (EBC) z listopada 2025 r.,</w:t>
      </w:r>
    </w:p>
    <w:p w14:paraId="797A11DC" w14:textId="5771D6FB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dokument roboczy EBC nr 3199 z </w:t>
      </w:r>
      <w:r w:rsidR="008C1F2D">
        <w:t xml:space="preserve">dnia </w:t>
      </w:r>
      <w:r w:rsidRPr="00547FA5">
        <w:t>3 marca 2026 r. zatytułowany „</w:t>
      </w:r>
      <w:proofErr w:type="spellStart"/>
      <w:r w:rsidRPr="00547FA5">
        <w:t>Stablecoins</w:t>
      </w:r>
      <w:proofErr w:type="spellEnd"/>
      <w:r w:rsidRPr="00547FA5">
        <w:t xml:space="preserve"> and </w:t>
      </w:r>
      <w:proofErr w:type="spellStart"/>
      <w:r w:rsidRPr="00547FA5">
        <w:t>monetary</w:t>
      </w:r>
      <w:proofErr w:type="spellEnd"/>
      <w:r w:rsidRPr="00547FA5">
        <w:t xml:space="preserve"> policy </w:t>
      </w:r>
      <w:proofErr w:type="spellStart"/>
      <w:r w:rsidRPr="00547FA5">
        <w:t>transmission</w:t>
      </w:r>
      <w:proofErr w:type="spellEnd"/>
      <w:r w:rsidRPr="00547FA5">
        <w:t xml:space="preserve">” [Stabilne </w:t>
      </w:r>
      <w:proofErr w:type="spellStart"/>
      <w:r w:rsidRPr="00547FA5">
        <w:t>kryptowaluty</w:t>
      </w:r>
      <w:proofErr w:type="spellEnd"/>
      <w:r w:rsidRPr="00547FA5">
        <w:t xml:space="preserve"> i transmisja polityki pieniężnej],</w:t>
      </w:r>
    </w:p>
    <w:p w14:paraId="5B0C10AB" w14:textId="39655ADE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zalecenie Europejskiej Rady ds. Ryzyka Systemowego (ERRS) z </w:t>
      </w:r>
      <w:r w:rsidR="008C1F2D">
        <w:t xml:space="preserve">dnia </w:t>
      </w:r>
      <w:r w:rsidRPr="00547FA5">
        <w:t xml:space="preserve">25 września 2025 r. w sprawie schematów stabilnych </w:t>
      </w:r>
      <w:proofErr w:type="spellStart"/>
      <w:r w:rsidRPr="00547FA5">
        <w:t>kryptowalut</w:t>
      </w:r>
      <w:proofErr w:type="spellEnd"/>
      <w:r w:rsidRPr="00547FA5">
        <w:t xml:space="preserve"> z wieloma emitentami, w tym z państwa trzeciego,</w:t>
      </w:r>
    </w:p>
    <w:p w14:paraId="78E851C0" w14:textId="77777777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>uwzględniając sprawozdanie ERRS z października 2025 r. pt. „</w:t>
      </w:r>
      <w:proofErr w:type="spellStart"/>
      <w:r w:rsidRPr="00547FA5">
        <w:t>Crypto-assets</w:t>
      </w:r>
      <w:proofErr w:type="spellEnd"/>
      <w:r w:rsidRPr="00547FA5">
        <w:t xml:space="preserve"> and </w:t>
      </w:r>
      <w:proofErr w:type="spellStart"/>
      <w:r w:rsidRPr="00547FA5">
        <w:t>decentralised</w:t>
      </w:r>
      <w:proofErr w:type="spellEnd"/>
      <w:r w:rsidRPr="00547FA5">
        <w:t xml:space="preserve"> </w:t>
      </w:r>
      <w:proofErr w:type="spellStart"/>
      <w:r w:rsidRPr="00547FA5">
        <w:t>finance</w:t>
      </w:r>
      <w:proofErr w:type="spellEnd"/>
      <w:r w:rsidRPr="00547FA5">
        <w:t xml:space="preserve"> – Report on </w:t>
      </w:r>
      <w:proofErr w:type="spellStart"/>
      <w:r w:rsidRPr="00547FA5">
        <w:t>stablecoins</w:t>
      </w:r>
      <w:proofErr w:type="spellEnd"/>
      <w:r w:rsidRPr="00547FA5">
        <w:t xml:space="preserve">, </w:t>
      </w:r>
      <w:proofErr w:type="spellStart"/>
      <w:r w:rsidRPr="00547FA5">
        <w:t>crypto</w:t>
      </w:r>
      <w:proofErr w:type="spellEnd"/>
      <w:r w:rsidRPr="00547FA5">
        <w:t xml:space="preserve">-investment products and </w:t>
      </w:r>
      <w:proofErr w:type="spellStart"/>
      <w:r w:rsidRPr="00547FA5">
        <w:t>multi-function</w:t>
      </w:r>
      <w:proofErr w:type="spellEnd"/>
      <w:r w:rsidRPr="00547FA5">
        <w:t xml:space="preserve"> </w:t>
      </w:r>
      <w:proofErr w:type="spellStart"/>
      <w:r w:rsidRPr="00547FA5">
        <w:t>groups</w:t>
      </w:r>
      <w:proofErr w:type="spellEnd"/>
      <w:r w:rsidRPr="00547FA5">
        <w:t>” [</w:t>
      </w:r>
      <w:proofErr w:type="spellStart"/>
      <w:r w:rsidRPr="00547FA5">
        <w:t>Kryptoaktywa</w:t>
      </w:r>
      <w:proofErr w:type="spellEnd"/>
      <w:r w:rsidRPr="00547FA5">
        <w:t xml:space="preserve"> i zdecentralizowane finanse – sprawozdanie dotyczące stabilnych </w:t>
      </w:r>
      <w:proofErr w:type="spellStart"/>
      <w:r w:rsidRPr="00547FA5">
        <w:t>kryptowalut</w:t>
      </w:r>
      <w:proofErr w:type="spellEnd"/>
      <w:r w:rsidRPr="00547FA5">
        <w:t xml:space="preserve">, produktów inwestycyjnych w </w:t>
      </w:r>
      <w:proofErr w:type="spellStart"/>
      <w:r w:rsidRPr="00547FA5">
        <w:t>kryptowalutach</w:t>
      </w:r>
      <w:proofErr w:type="spellEnd"/>
      <w:r w:rsidRPr="00547FA5">
        <w:t xml:space="preserve"> i grup wielofunkcyjnych],</w:t>
      </w:r>
    </w:p>
    <w:p w14:paraId="03952698" w14:textId="0C950C8F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wytyczne Europejskiego Urzędu Nadzoru Giełd i Papierów Wartościowych (ESMA) z </w:t>
      </w:r>
      <w:r w:rsidR="008C1F2D">
        <w:t xml:space="preserve">dnia </w:t>
      </w:r>
      <w:r w:rsidRPr="00547FA5">
        <w:t xml:space="preserve">19 marca 2025 r. dotyczące warunków i kryteriów kwalifikowania </w:t>
      </w:r>
      <w:proofErr w:type="spellStart"/>
      <w:r w:rsidRPr="00547FA5">
        <w:t>kryptoaktywów</w:t>
      </w:r>
      <w:proofErr w:type="spellEnd"/>
      <w:r w:rsidRPr="00547FA5">
        <w:t xml:space="preserve"> jako instrumentów finansowych,</w:t>
      </w:r>
    </w:p>
    <w:p w14:paraId="0BF641CE" w14:textId="77777777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sprawozdanie Europejskiego Urzędu Nadzoru Bankowego (EUNB) z grudnia 2024 r. pt. „Report on </w:t>
      </w:r>
      <w:proofErr w:type="spellStart"/>
      <w:r w:rsidRPr="00547FA5">
        <w:t>tokenised</w:t>
      </w:r>
      <w:proofErr w:type="spellEnd"/>
      <w:r w:rsidRPr="00547FA5">
        <w:t xml:space="preserve"> </w:t>
      </w:r>
      <w:proofErr w:type="spellStart"/>
      <w:r w:rsidRPr="00547FA5">
        <w:t>deposits</w:t>
      </w:r>
      <w:proofErr w:type="spellEnd"/>
      <w:r w:rsidRPr="00547FA5">
        <w:t xml:space="preserve">” [Sprawozdanie dotyczące depozytów </w:t>
      </w:r>
      <w:proofErr w:type="spellStart"/>
      <w:r w:rsidRPr="00547FA5">
        <w:t>tokenizowanych</w:t>
      </w:r>
      <w:proofErr w:type="spellEnd"/>
      <w:r w:rsidRPr="00547FA5">
        <w:t>],</w:t>
      </w:r>
    </w:p>
    <w:p w14:paraId="0147323D" w14:textId="77777777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sprawozdanie EUNB z października 2025 r. zatytułowane „Report on </w:t>
      </w:r>
      <w:proofErr w:type="spellStart"/>
      <w:r w:rsidRPr="00547FA5">
        <w:t>tackling</w:t>
      </w:r>
      <w:proofErr w:type="spellEnd"/>
      <w:r w:rsidRPr="00547FA5">
        <w:t xml:space="preserve"> ML/TF </w:t>
      </w:r>
      <w:proofErr w:type="spellStart"/>
      <w:r w:rsidRPr="00547FA5">
        <w:t>risks</w:t>
      </w:r>
      <w:proofErr w:type="spellEnd"/>
      <w:r w:rsidRPr="00547FA5">
        <w:t xml:space="preserve"> in </w:t>
      </w:r>
      <w:proofErr w:type="spellStart"/>
      <w:r w:rsidRPr="00547FA5">
        <w:t>crypto-asset</w:t>
      </w:r>
      <w:proofErr w:type="spellEnd"/>
      <w:r w:rsidRPr="00547FA5">
        <w:t xml:space="preserve"> services </w:t>
      </w:r>
      <w:proofErr w:type="spellStart"/>
      <w:r w:rsidRPr="00547FA5">
        <w:t>through</w:t>
      </w:r>
      <w:proofErr w:type="spellEnd"/>
      <w:r w:rsidRPr="00547FA5">
        <w:t xml:space="preserve"> </w:t>
      </w:r>
      <w:proofErr w:type="spellStart"/>
      <w:r w:rsidRPr="00547FA5">
        <w:t>supervision</w:t>
      </w:r>
      <w:proofErr w:type="spellEnd"/>
      <w:r w:rsidRPr="00547FA5">
        <w:t xml:space="preserve"> - </w:t>
      </w:r>
      <w:proofErr w:type="spellStart"/>
      <w:r w:rsidRPr="00547FA5">
        <w:t>Lessons</w:t>
      </w:r>
      <w:proofErr w:type="spellEnd"/>
      <w:r w:rsidRPr="00547FA5">
        <w:t xml:space="preserve"> </w:t>
      </w:r>
      <w:proofErr w:type="spellStart"/>
      <w:r w:rsidRPr="00547FA5">
        <w:t>learned</w:t>
      </w:r>
      <w:proofErr w:type="spellEnd"/>
      <w:r w:rsidRPr="00547FA5">
        <w:t xml:space="preserve"> from </w:t>
      </w:r>
      <w:proofErr w:type="spellStart"/>
      <w:r w:rsidRPr="00547FA5">
        <w:t>recent</w:t>
      </w:r>
      <w:proofErr w:type="spellEnd"/>
      <w:r w:rsidRPr="00547FA5">
        <w:t xml:space="preserve"> </w:t>
      </w:r>
      <w:proofErr w:type="spellStart"/>
      <w:r w:rsidRPr="00547FA5">
        <w:t>cases</w:t>
      </w:r>
      <w:proofErr w:type="spellEnd"/>
      <w:r w:rsidRPr="00547FA5">
        <w:t xml:space="preserve">” [Sprawozdanie w sprawie walki z praniem pieniędzy i finansowaniem terroryzmu w usługach związanych z </w:t>
      </w:r>
      <w:proofErr w:type="spellStart"/>
      <w:r w:rsidRPr="00547FA5">
        <w:t>kryptoaktywami</w:t>
      </w:r>
      <w:proofErr w:type="spellEnd"/>
      <w:r w:rsidRPr="00547FA5">
        <w:t xml:space="preserve"> poprzez nadzór – </w:t>
      </w:r>
      <w:r w:rsidRPr="00547FA5">
        <w:lastRenderedPageBreak/>
        <w:t>wnioski z ostatnich przypadków],</w:t>
      </w:r>
    </w:p>
    <w:p w14:paraId="235EFCB1" w14:textId="3F32106F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>uwzględniając numer czasopisma Międzynarodowego Funduszu Walutowego „Finance &amp; Development” z września 2025 r. zatytułowany „</w:t>
      </w:r>
      <w:proofErr w:type="spellStart"/>
      <w:r w:rsidRPr="00547FA5">
        <w:t>Stablecoins</w:t>
      </w:r>
      <w:proofErr w:type="spellEnd"/>
      <w:r w:rsidRPr="00547FA5">
        <w:t xml:space="preserve"> and the </w:t>
      </w:r>
      <w:proofErr w:type="spellStart"/>
      <w:r w:rsidRPr="00547FA5">
        <w:t>future</w:t>
      </w:r>
      <w:proofErr w:type="spellEnd"/>
      <w:r w:rsidRPr="00547FA5">
        <w:t xml:space="preserve"> of </w:t>
      </w:r>
      <w:proofErr w:type="spellStart"/>
      <w:r w:rsidRPr="00547FA5">
        <w:t>finance</w:t>
      </w:r>
      <w:proofErr w:type="spellEnd"/>
      <w:r w:rsidRPr="00547FA5">
        <w:t xml:space="preserve">” [Stabilne </w:t>
      </w:r>
      <w:proofErr w:type="spellStart"/>
      <w:r w:rsidRPr="00547FA5">
        <w:t>kryptowaluty</w:t>
      </w:r>
      <w:proofErr w:type="spellEnd"/>
      <w:r w:rsidRPr="00547FA5">
        <w:t xml:space="preserve"> a przyszłość finansów]</w:t>
      </w:r>
      <w:r w:rsidR="008C1F2D">
        <w:rPr>
          <w:rStyle w:val="FootnoteReference"/>
        </w:rPr>
        <w:footnoteReference w:id="1"/>
      </w:r>
      <w:r w:rsidRPr="00547FA5">
        <w:t>,</w:t>
      </w:r>
    </w:p>
    <w:p w14:paraId="0E10E46D" w14:textId="77777777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>uwzględniając sprawozdanie Międzynarodowej Organizacji Komisji Papierów Wartościowych z listopada 2025 r. pt. „</w:t>
      </w:r>
      <w:proofErr w:type="spellStart"/>
      <w:r w:rsidRPr="00547FA5">
        <w:t>Tokenisation</w:t>
      </w:r>
      <w:proofErr w:type="spellEnd"/>
      <w:r w:rsidRPr="00547FA5">
        <w:t xml:space="preserve"> of </w:t>
      </w:r>
      <w:proofErr w:type="spellStart"/>
      <w:r w:rsidRPr="00547FA5">
        <w:t>financial</w:t>
      </w:r>
      <w:proofErr w:type="spellEnd"/>
      <w:r w:rsidRPr="00547FA5">
        <w:t xml:space="preserve"> </w:t>
      </w:r>
      <w:proofErr w:type="spellStart"/>
      <w:r w:rsidRPr="00547FA5">
        <w:t>assets</w:t>
      </w:r>
      <w:proofErr w:type="spellEnd"/>
      <w:r w:rsidRPr="00547FA5">
        <w:t>” [</w:t>
      </w:r>
      <w:proofErr w:type="spellStart"/>
      <w:r w:rsidRPr="00547FA5">
        <w:t>Tokenizacja</w:t>
      </w:r>
      <w:proofErr w:type="spellEnd"/>
      <w:r w:rsidRPr="00547FA5">
        <w:t xml:space="preserve"> aktywów finansowych],</w:t>
      </w:r>
    </w:p>
    <w:p w14:paraId="3917EB93" w14:textId="77777777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>uwzględniając roczne sprawozdanie gospodarcze Banku Rozrachunków Międzynarodowych (BIS) z czerwca 2025 r.,</w:t>
      </w:r>
    </w:p>
    <w:p w14:paraId="65B52A8C" w14:textId="5D46AF85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sprawozdanie Rady Stabilności Finansowej z </w:t>
      </w:r>
      <w:r w:rsidR="008C1F2D">
        <w:t xml:space="preserve">dnia </w:t>
      </w:r>
      <w:r w:rsidRPr="00547FA5">
        <w:t>16 października 2025 r. zatytułowane „</w:t>
      </w:r>
      <w:proofErr w:type="spellStart"/>
      <w:r w:rsidRPr="00547FA5">
        <w:t>Thematic</w:t>
      </w:r>
      <w:proofErr w:type="spellEnd"/>
      <w:r w:rsidRPr="00547FA5">
        <w:t xml:space="preserve"> </w:t>
      </w:r>
      <w:proofErr w:type="spellStart"/>
      <w:r w:rsidRPr="00547FA5">
        <w:t>Review</w:t>
      </w:r>
      <w:proofErr w:type="spellEnd"/>
      <w:r w:rsidRPr="00547FA5">
        <w:t xml:space="preserve"> on FSB Global Regulatory Framework for </w:t>
      </w:r>
      <w:proofErr w:type="spellStart"/>
      <w:r w:rsidRPr="00547FA5">
        <w:t>Crypto-asset</w:t>
      </w:r>
      <w:proofErr w:type="spellEnd"/>
      <w:r w:rsidRPr="00547FA5">
        <w:t xml:space="preserve"> </w:t>
      </w:r>
      <w:proofErr w:type="spellStart"/>
      <w:r w:rsidRPr="00547FA5">
        <w:t>Activities</w:t>
      </w:r>
      <w:proofErr w:type="spellEnd"/>
      <w:r w:rsidRPr="00547FA5">
        <w:t xml:space="preserve">” [Przegląd tematyczny globalnych ram regulacyjnych Rady Stabilności Finansowej dotyczących działalności w zakresie </w:t>
      </w:r>
      <w:proofErr w:type="spellStart"/>
      <w:r w:rsidRPr="00547FA5">
        <w:t>kryptoaktywów</w:t>
      </w:r>
      <w:proofErr w:type="spellEnd"/>
      <w:r w:rsidRPr="00547FA5">
        <w:t>],</w:t>
      </w:r>
    </w:p>
    <w:p w14:paraId="722E3198" w14:textId="04AC0174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sprawozdanie Rady Stabilności Finansowej z </w:t>
      </w:r>
      <w:r w:rsidR="008C1F2D">
        <w:t xml:space="preserve">dnia </w:t>
      </w:r>
      <w:r w:rsidRPr="00547FA5">
        <w:t xml:space="preserve">22 października 2024 r. pt. „G20 </w:t>
      </w:r>
      <w:proofErr w:type="spellStart"/>
      <w:r w:rsidRPr="00547FA5">
        <w:t>crypto-asset</w:t>
      </w:r>
      <w:proofErr w:type="spellEnd"/>
      <w:r w:rsidRPr="00547FA5">
        <w:t xml:space="preserve"> policy </w:t>
      </w:r>
      <w:proofErr w:type="spellStart"/>
      <w:r w:rsidRPr="00547FA5">
        <w:t>implementation</w:t>
      </w:r>
      <w:proofErr w:type="spellEnd"/>
      <w:r w:rsidRPr="00547FA5">
        <w:t xml:space="preserve"> </w:t>
      </w:r>
      <w:proofErr w:type="spellStart"/>
      <w:r w:rsidRPr="00547FA5">
        <w:t>roadmap</w:t>
      </w:r>
      <w:proofErr w:type="spellEnd"/>
      <w:r w:rsidRPr="00547FA5">
        <w:t xml:space="preserve">” [Plan grupy G-20 dotyczący wdrażania polityki w dziedzinie </w:t>
      </w:r>
      <w:proofErr w:type="spellStart"/>
      <w:r w:rsidRPr="00547FA5">
        <w:t>kryptoaktywów</w:t>
      </w:r>
      <w:proofErr w:type="spellEnd"/>
      <w:r w:rsidRPr="00547FA5">
        <w:t>],</w:t>
      </w:r>
    </w:p>
    <w:p w14:paraId="71319445" w14:textId="46D4DBD1" w:rsidR="00E553E0" w:rsidRPr="008C1F2D" w:rsidRDefault="00E553E0" w:rsidP="00E553E0">
      <w:pPr>
        <w:pStyle w:val="NormalHanging"/>
        <w:rPr>
          <w:lang w:val="en-GB"/>
        </w:rPr>
      </w:pPr>
      <w:r w:rsidRPr="00547FA5">
        <w:t>–</w:t>
      </w:r>
      <w:r w:rsidRPr="00547FA5">
        <w:tab/>
        <w:t xml:space="preserve">uwzględniając sprawozdanie Rady Stabilności Finansowej z </w:t>
      </w:r>
      <w:r w:rsidR="008C1F2D">
        <w:t xml:space="preserve">dnia </w:t>
      </w:r>
      <w:r w:rsidRPr="00547FA5">
        <w:t xml:space="preserve">22 października 2024 r. pt. </w:t>
      </w:r>
      <w:r w:rsidRPr="008C1F2D">
        <w:rPr>
          <w:lang w:val="en-GB"/>
        </w:rPr>
        <w:t>„The financial stability implications of tokenisation” [</w:t>
      </w:r>
      <w:proofErr w:type="spellStart"/>
      <w:r w:rsidRPr="008C1F2D">
        <w:rPr>
          <w:lang w:val="en-GB"/>
        </w:rPr>
        <w:t>Wpływ</w:t>
      </w:r>
      <w:proofErr w:type="spellEnd"/>
      <w:r w:rsidRPr="008C1F2D">
        <w:rPr>
          <w:lang w:val="en-GB"/>
        </w:rPr>
        <w:t xml:space="preserve"> </w:t>
      </w:r>
      <w:proofErr w:type="spellStart"/>
      <w:r w:rsidRPr="008C1F2D">
        <w:rPr>
          <w:lang w:val="en-GB"/>
        </w:rPr>
        <w:t>tokenizacji</w:t>
      </w:r>
      <w:proofErr w:type="spellEnd"/>
      <w:r w:rsidRPr="008C1F2D">
        <w:rPr>
          <w:lang w:val="en-GB"/>
        </w:rPr>
        <w:t xml:space="preserve"> </w:t>
      </w:r>
      <w:proofErr w:type="spellStart"/>
      <w:r w:rsidRPr="008C1F2D">
        <w:rPr>
          <w:lang w:val="en-GB"/>
        </w:rPr>
        <w:t>na</w:t>
      </w:r>
      <w:proofErr w:type="spellEnd"/>
      <w:r w:rsidRPr="008C1F2D">
        <w:rPr>
          <w:lang w:val="en-GB"/>
        </w:rPr>
        <w:t xml:space="preserve"> </w:t>
      </w:r>
      <w:proofErr w:type="spellStart"/>
      <w:r w:rsidRPr="008C1F2D">
        <w:rPr>
          <w:lang w:val="en-GB"/>
        </w:rPr>
        <w:t>stabilność</w:t>
      </w:r>
      <w:proofErr w:type="spellEnd"/>
      <w:r w:rsidRPr="008C1F2D">
        <w:rPr>
          <w:lang w:val="en-GB"/>
        </w:rPr>
        <w:t xml:space="preserve"> </w:t>
      </w:r>
      <w:proofErr w:type="spellStart"/>
      <w:r w:rsidRPr="008C1F2D">
        <w:rPr>
          <w:lang w:val="en-GB"/>
        </w:rPr>
        <w:t>finansową</w:t>
      </w:r>
      <w:proofErr w:type="spellEnd"/>
      <w:r w:rsidRPr="008C1F2D">
        <w:rPr>
          <w:lang w:val="en-GB"/>
        </w:rPr>
        <w:t>],</w:t>
      </w:r>
    </w:p>
    <w:p w14:paraId="1612053E" w14:textId="521461D4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dokument konsultacyjny Banku Anglii z </w:t>
      </w:r>
      <w:r w:rsidR="008C1F2D">
        <w:t xml:space="preserve">dnia </w:t>
      </w:r>
      <w:r w:rsidRPr="00547FA5">
        <w:t>10 listopada 2025 r. pt. „</w:t>
      </w:r>
      <w:proofErr w:type="spellStart"/>
      <w:r w:rsidRPr="00547FA5">
        <w:t>Proposed</w:t>
      </w:r>
      <w:proofErr w:type="spellEnd"/>
      <w:r w:rsidRPr="00547FA5">
        <w:t xml:space="preserve"> regulatory regime for sterling-</w:t>
      </w:r>
      <w:proofErr w:type="spellStart"/>
      <w:r w:rsidRPr="00547FA5">
        <w:t>denominated</w:t>
      </w:r>
      <w:proofErr w:type="spellEnd"/>
      <w:r w:rsidRPr="00547FA5">
        <w:t xml:space="preserve"> </w:t>
      </w:r>
      <w:proofErr w:type="spellStart"/>
      <w:r w:rsidRPr="00547FA5">
        <w:t>systemic</w:t>
      </w:r>
      <w:proofErr w:type="spellEnd"/>
      <w:r w:rsidRPr="00547FA5">
        <w:t xml:space="preserve"> </w:t>
      </w:r>
      <w:proofErr w:type="spellStart"/>
      <w:r w:rsidRPr="00547FA5">
        <w:t>stablecoin</w:t>
      </w:r>
      <w:proofErr w:type="spellEnd"/>
      <w:r w:rsidRPr="00547FA5">
        <w:t xml:space="preserve">” [Proponowany system regulujący stabilne </w:t>
      </w:r>
      <w:proofErr w:type="spellStart"/>
      <w:r w:rsidRPr="00547FA5">
        <w:t>kryptowaluty</w:t>
      </w:r>
      <w:proofErr w:type="spellEnd"/>
      <w:r w:rsidRPr="00547FA5">
        <w:t xml:space="preserve"> systemowe denominowane w funtach szterlingach],</w:t>
      </w:r>
    </w:p>
    <w:p w14:paraId="4C5FDDD6" w14:textId="77777777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briefing Działu ds. Kontroli Zarządzania Gospodarczego i UGW z listopada 2025 r. pt. „Digital </w:t>
      </w:r>
      <w:proofErr w:type="spellStart"/>
      <w:r w:rsidRPr="00547FA5">
        <w:t>assets</w:t>
      </w:r>
      <w:proofErr w:type="spellEnd"/>
      <w:r w:rsidRPr="00547FA5">
        <w:t xml:space="preserve">: EU regulatory </w:t>
      </w:r>
      <w:proofErr w:type="spellStart"/>
      <w:r w:rsidRPr="00547FA5">
        <w:t>framework</w:t>
      </w:r>
      <w:proofErr w:type="spellEnd"/>
      <w:r w:rsidRPr="00547FA5">
        <w:t xml:space="preserve">, market </w:t>
      </w:r>
      <w:proofErr w:type="spellStart"/>
      <w:r w:rsidRPr="00547FA5">
        <w:t>uptake</w:t>
      </w:r>
      <w:proofErr w:type="spellEnd"/>
      <w:r w:rsidRPr="00547FA5">
        <w:t xml:space="preserve">, </w:t>
      </w:r>
      <w:proofErr w:type="spellStart"/>
      <w:r w:rsidRPr="00547FA5">
        <w:t>risks</w:t>
      </w:r>
      <w:proofErr w:type="spellEnd"/>
      <w:r w:rsidRPr="00547FA5">
        <w:t xml:space="preserve"> and </w:t>
      </w:r>
      <w:proofErr w:type="spellStart"/>
      <w:r w:rsidRPr="00547FA5">
        <w:t>challenges</w:t>
      </w:r>
      <w:proofErr w:type="spellEnd"/>
      <w:r w:rsidRPr="00547FA5">
        <w:t>” [Aktywa cyfrowe – ramy regulacyjne UE, absorpcja przez rynek, zagrożenia i wyzwania],</w:t>
      </w:r>
    </w:p>
    <w:p w14:paraId="14CE2B11" w14:textId="64E9CC21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 xml:space="preserve">uwzględniając dokument programowy Organizacji Współpracy Gospodarczej i Rozwoju (OECD) z </w:t>
      </w:r>
      <w:r w:rsidR="008C1F2D">
        <w:t xml:space="preserve">dnia </w:t>
      </w:r>
      <w:r w:rsidRPr="00547FA5">
        <w:t>9 stycznia 2025 r. pt. „</w:t>
      </w:r>
      <w:proofErr w:type="spellStart"/>
      <w:r w:rsidRPr="00547FA5">
        <w:t>Tokenisation</w:t>
      </w:r>
      <w:proofErr w:type="spellEnd"/>
      <w:r w:rsidRPr="00547FA5">
        <w:t xml:space="preserve"> of </w:t>
      </w:r>
      <w:proofErr w:type="spellStart"/>
      <w:r w:rsidRPr="00547FA5">
        <w:t>assets</w:t>
      </w:r>
      <w:proofErr w:type="spellEnd"/>
      <w:r w:rsidRPr="00547FA5">
        <w:t xml:space="preserve"> and </w:t>
      </w:r>
      <w:proofErr w:type="spellStart"/>
      <w:r w:rsidRPr="00547FA5">
        <w:t>distributed</w:t>
      </w:r>
      <w:proofErr w:type="spellEnd"/>
      <w:r w:rsidRPr="00547FA5">
        <w:t xml:space="preserve"> </w:t>
      </w:r>
      <w:proofErr w:type="spellStart"/>
      <w:r w:rsidRPr="00547FA5">
        <w:t>ledger</w:t>
      </w:r>
      <w:proofErr w:type="spellEnd"/>
      <w:r w:rsidRPr="00547FA5">
        <w:t xml:space="preserve"> </w:t>
      </w:r>
      <w:proofErr w:type="spellStart"/>
      <w:r w:rsidRPr="00547FA5">
        <w:t>technologies</w:t>
      </w:r>
      <w:proofErr w:type="spellEnd"/>
      <w:r w:rsidRPr="00547FA5">
        <w:t xml:space="preserve"> in </w:t>
      </w:r>
      <w:proofErr w:type="spellStart"/>
      <w:r w:rsidRPr="00547FA5">
        <w:t>financial</w:t>
      </w:r>
      <w:proofErr w:type="spellEnd"/>
      <w:r w:rsidRPr="00547FA5">
        <w:t xml:space="preserve"> </w:t>
      </w:r>
      <w:proofErr w:type="spellStart"/>
      <w:r w:rsidRPr="00547FA5">
        <w:t>markets</w:t>
      </w:r>
      <w:proofErr w:type="spellEnd"/>
      <w:r w:rsidRPr="00547FA5">
        <w:t xml:space="preserve"> – </w:t>
      </w:r>
      <w:proofErr w:type="spellStart"/>
      <w:r w:rsidRPr="00547FA5">
        <w:t>Potential</w:t>
      </w:r>
      <w:proofErr w:type="spellEnd"/>
      <w:r w:rsidRPr="00547FA5">
        <w:t xml:space="preserve"> </w:t>
      </w:r>
      <w:proofErr w:type="spellStart"/>
      <w:r w:rsidRPr="00547FA5">
        <w:t>impediments</w:t>
      </w:r>
      <w:proofErr w:type="spellEnd"/>
      <w:r w:rsidRPr="00547FA5">
        <w:t xml:space="preserve"> to market development and policy </w:t>
      </w:r>
      <w:proofErr w:type="spellStart"/>
      <w:r w:rsidRPr="00547FA5">
        <w:t>implications</w:t>
      </w:r>
      <w:proofErr w:type="spellEnd"/>
      <w:r w:rsidRPr="00547FA5">
        <w:t>” [</w:t>
      </w:r>
      <w:proofErr w:type="spellStart"/>
      <w:r w:rsidRPr="00547FA5">
        <w:t>Tokenizacja</w:t>
      </w:r>
      <w:proofErr w:type="spellEnd"/>
      <w:r w:rsidRPr="00547FA5">
        <w:t xml:space="preserve"> aktywów i technologie rozproszonego rejestru na rynkach finansowych – potencjalne przeszkody dla rozwoju rynku i skutki polityczne]</w:t>
      </w:r>
      <w:r w:rsidR="008C1F2D">
        <w:rPr>
          <w:rStyle w:val="FootnoteReference"/>
        </w:rPr>
        <w:footnoteReference w:id="2"/>
      </w:r>
      <w:r w:rsidRPr="00547FA5">
        <w:t>,</w:t>
      </w:r>
    </w:p>
    <w:p w14:paraId="4456FA3A" w14:textId="77777777" w:rsidR="00E553E0" w:rsidRPr="00547FA5" w:rsidRDefault="00E553E0" w:rsidP="00E553E0">
      <w:pPr>
        <w:pStyle w:val="NormalHanging"/>
      </w:pPr>
      <w:r w:rsidRPr="00547FA5">
        <w:t>–</w:t>
      </w:r>
      <w:r w:rsidRPr="00547FA5">
        <w:tab/>
        <w:t>uwzględniając art. 55 Regulaminu,</w:t>
      </w:r>
    </w:p>
    <w:p w14:paraId="57CA4EBF" w14:textId="77777777" w:rsidR="00E553E0" w:rsidRPr="00547FA5" w:rsidRDefault="00E553E0" w:rsidP="00E553E0">
      <w:pPr>
        <w:pStyle w:val="NormalHanging"/>
      </w:pPr>
      <w:r w:rsidRPr="00547FA5">
        <w:lastRenderedPageBreak/>
        <w:t>–</w:t>
      </w:r>
      <w:r w:rsidRPr="00547FA5">
        <w:tab/>
        <w:t>uwzględniając sprawozdanie Komisji Gospodarczej i Monetarnej (A10-0186/2026),</w:t>
      </w:r>
    </w:p>
    <w:p w14:paraId="073BE0C3" w14:textId="77777777" w:rsidR="00E553E0" w:rsidRPr="00547FA5" w:rsidRDefault="00E553E0" w:rsidP="00E553E0">
      <w:pPr>
        <w:pStyle w:val="NormalHanging"/>
      </w:pPr>
      <w:r w:rsidRPr="00547FA5">
        <w:t>A.</w:t>
      </w:r>
      <w:r w:rsidRPr="00547FA5">
        <w:tab/>
        <w:t xml:space="preserve">mając na uwadze, że według badania oczekiwań konsumentów przeprowadzonego przez EBC w listopadzie 2024 r. średnio 9,7 % ankietowanych lub osób z ich gospodarstwa domowego posiada </w:t>
      </w:r>
      <w:proofErr w:type="spellStart"/>
      <w:r w:rsidRPr="00547FA5">
        <w:t>kryptoaktywa</w:t>
      </w:r>
      <w:proofErr w:type="spellEnd"/>
      <w:r w:rsidRPr="00547FA5">
        <w:t xml:space="preserve">, z czego 54 % posiadanych </w:t>
      </w:r>
      <w:proofErr w:type="spellStart"/>
      <w:r w:rsidRPr="00547FA5">
        <w:t>kryptoaktywów</w:t>
      </w:r>
      <w:proofErr w:type="spellEnd"/>
      <w:r w:rsidRPr="00547FA5">
        <w:t xml:space="preserve"> o wartości poniżej 1000 EUR, a 91 % posiadanych </w:t>
      </w:r>
      <w:proofErr w:type="spellStart"/>
      <w:r w:rsidRPr="00547FA5">
        <w:t>kryptoaktywów</w:t>
      </w:r>
      <w:proofErr w:type="spellEnd"/>
      <w:r w:rsidRPr="00547FA5">
        <w:t xml:space="preserve"> o wartości poniżej 20 000 EUR;</w:t>
      </w:r>
    </w:p>
    <w:p w14:paraId="1F2A577B" w14:textId="77777777" w:rsidR="00E553E0" w:rsidRPr="00547FA5" w:rsidRDefault="00E553E0" w:rsidP="00E553E0">
      <w:pPr>
        <w:pStyle w:val="NormalHanging"/>
      </w:pPr>
      <w:r w:rsidRPr="00547FA5">
        <w:t>B.</w:t>
      </w:r>
      <w:r w:rsidRPr="00547FA5">
        <w:tab/>
        <w:t xml:space="preserve">mając na uwadze, że zgodnie z prywatnymi źródłami danych na dzień 10 lutego 2026 r. całkowita kapitalizacja rynkowa </w:t>
      </w:r>
      <w:proofErr w:type="spellStart"/>
      <w:r w:rsidRPr="00547FA5">
        <w:t>kryptoaktywów</w:t>
      </w:r>
      <w:proofErr w:type="spellEnd"/>
      <w:r w:rsidRPr="00547FA5">
        <w:t xml:space="preserve"> na świecie wynosiła 2,03 bln EUR, w czym udział stabilnych </w:t>
      </w:r>
      <w:proofErr w:type="spellStart"/>
      <w:r w:rsidRPr="00547FA5">
        <w:t>kryptowalut</w:t>
      </w:r>
      <w:proofErr w:type="spellEnd"/>
      <w:r w:rsidRPr="00547FA5">
        <w:t xml:space="preserve"> to 12,9 %, czyli 261 mld EUR; mając na uwadze, że zgodnie z dokumentem roboczym EBC nr 3199 oczekiwania rynkowe wskazują na silny wzrost emisji stabilnych </w:t>
      </w:r>
      <w:proofErr w:type="spellStart"/>
      <w:r w:rsidRPr="00547FA5">
        <w:t>kryptowalut</w:t>
      </w:r>
      <w:proofErr w:type="spellEnd"/>
      <w:r w:rsidRPr="00547FA5">
        <w:t>;</w:t>
      </w:r>
    </w:p>
    <w:p w14:paraId="366ADDD4" w14:textId="77777777" w:rsidR="00E553E0" w:rsidRPr="00547FA5" w:rsidRDefault="00E553E0" w:rsidP="00E553E0">
      <w:pPr>
        <w:pStyle w:val="NormalHanging"/>
      </w:pPr>
      <w:r w:rsidRPr="00547FA5">
        <w:t>C.</w:t>
      </w:r>
      <w:r w:rsidRPr="00547FA5">
        <w:tab/>
        <w:t xml:space="preserve">mając na uwadze, że zgodnie z niezharmonizowanymi prywatnymi źródłami danych w lutym 2026 r. aktywa </w:t>
      </w:r>
      <w:proofErr w:type="spellStart"/>
      <w:r w:rsidRPr="00547FA5">
        <w:t>tokenizowane</w:t>
      </w:r>
      <w:proofErr w:type="spellEnd"/>
      <w:r w:rsidRPr="00547FA5">
        <w:t xml:space="preserve"> stanowiły około 1 % globalnych aktywów cyfrowych, lecz odsetek ten szybko rośnie;</w:t>
      </w:r>
    </w:p>
    <w:p w14:paraId="3CCCE72E" w14:textId="77777777" w:rsidR="00E553E0" w:rsidRPr="00547FA5" w:rsidRDefault="00E553E0" w:rsidP="00E553E0">
      <w:pPr>
        <w:pStyle w:val="NormalHanging"/>
      </w:pPr>
      <w:r w:rsidRPr="00547FA5">
        <w:t>D.</w:t>
      </w:r>
      <w:r w:rsidRPr="00547FA5">
        <w:tab/>
        <w:t xml:space="preserve">mając na uwadze, że zgodnie z prywatnymi źródłami danych w 2025 r. było ponad 1,6 mln zatrudnionych specjalistów z dziedziny </w:t>
      </w:r>
      <w:proofErr w:type="spellStart"/>
      <w:r w:rsidRPr="00547FA5">
        <w:t>kryptoaktywów</w:t>
      </w:r>
      <w:proofErr w:type="spellEnd"/>
      <w:r w:rsidRPr="00547FA5">
        <w:t>, z czego duży, lecz malejący odsetek w UE;</w:t>
      </w:r>
    </w:p>
    <w:p w14:paraId="1BCDAF66" w14:textId="3CD93A27" w:rsidR="00E553E0" w:rsidRPr="00547FA5" w:rsidRDefault="00E553E0" w:rsidP="00E553E0">
      <w:pPr>
        <w:pStyle w:val="NormalHanging"/>
      </w:pPr>
      <w:r w:rsidRPr="00547FA5">
        <w:t>E.</w:t>
      </w:r>
      <w:r w:rsidRPr="00547FA5">
        <w:tab/>
        <w:t>mając na uwadze, że w art. 2 pkt 1 rozporządzenia (UE) 2022/858</w:t>
      </w:r>
      <w:r w:rsidR="008C1F2D">
        <w:rPr>
          <w:rStyle w:val="FootnoteReference"/>
        </w:rPr>
        <w:footnoteReference w:id="3"/>
      </w:r>
      <w:r w:rsidRPr="00547FA5">
        <w:t xml:space="preserve"> w sprawie systemu pilotażowego dotyczącego technologii cyfrowego rejestru „technologię rozproszonego rejestru” lub „DLT” zdefiniowano jako „technologię umożliwiającą funkcjonowanie i korzystanie z rozproszonych rejestrów”; mając na uwadze, że w art. 2 pkt 2 „rozproszony rejestr” zdefiniowano jako „repozytorium informacji, w ramach którego prowadzony jest rejestr transakcji i który jest udostępniany w obrębie zbioru węzłów sieci DLT i synchronizowany między węzłami sieci DLT, z wykorzystaniem mechanizmu konsensusu”;</w:t>
      </w:r>
    </w:p>
    <w:p w14:paraId="3CCE8DCF" w14:textId="2F223328" w:rsidR="00E553E0" w:rsidRPr="00547FA5" w:rsidRDefault="00E553E0" w:rsidP="00E553E0">
      <w:pPr>
        <w:pStyle w:val="NormalHanging"/>
      </w:pPr>
      <w:r w:rsidRPr="00547FA5">
        <w:t>F.</w:t>
      </w:r>
      <w:r w:rsidRPr="00547FA5">
        <w:tab/>
        <w:t xml:space="preserve">mając na uwadze, że w rozporządzeniu (UE) 2023/1114 w sprawie rynków </w:t>
      </w:r>
      <w:proofErr w:type="spellStart"/>
      <w:r w:rsidRPr="00547FA5">
        <w:t>kryptoaktywów</w:t>
      </w:r>
      <w:proofErr w:type="spellEnd"/>
      <w:r w:rsidR="008C1F2D">
        <w:rPr>
          <w:rStyle w:val="FootnoteReference"/>
        </w:rPr>
        <w:footnoteReference w:id="4"/>
      </w:r>
      <w:r w:rsidRPr="00547FA5">
        <w:t xml:space="preserve"> (</w:t>
      </w:r>
      <w:proofErr w:type="spellStart"/>
      <w:r w:rsidRPr="00547FA5">
        <w:t>MiCAR</w:t>
      </w:r>
      <w:proofErr w:type="spellEnd"/>
      <w:r w:rsidRPr="00547FA5">
        <w:t xml:space="preserve">) ustanowiono zharmonizowane ramy dla </w:t>
      </w:r>
      <w:proofErr w:type="spellStart"/>
      <w:r w:rsidRPr="00547FA5">
        <w:t>kryptoaktywów</w:t>
      </w:r>
      <w:proofErr w:type="spellEnd"/>
      <w:r w:rsidRPr="00547FA5">
        <w:t xml:space="preserve"> w UE, rozróżniając ich trzy główne kategorie, a mianowicie </w:t>
      </w:r>
      <w:proofErr w:type="spellStart"/>
      <w:r w:rsidRPr="00547FA5">
        <w:t>tokeny</w:t>
      </w:r>
      <w:proofErr w:type="spellEnd"/>
      <w:r w:rsidRPr="00547FA5">
        <w:t xml:space="preserve"> będące pieniądzem elektronicznym, których wartość ma być stabilna dzięki powiązaniu ich z jedną walutą urzędową, </w:t>
      </w:r>
      <w:proofErr w:type="spellStart"/>
      <w:r w:rsidRPr="00547FA5">
        <w:t>tokeny</w:t>
      </w:r>
      <w:proofErr w:type="spellEnd"/>
      <w:r w:rsidRPr="00547FA5">
        <w:t xml:space="preserve"> powiązane z aktywami, których wartość ma być stabilna dzięki powiązaniu ich z inną wartością lub prawem lub ich kombinacją, w tym z co najmniej jedną walutą urzędową, oraz inne </w:t>
      </w:r>
      <w:proofErr w:type="spellStart"/>
      <w:r w:rsidRPr="00547FA5">
        <w:t>kryptoaktywa</w:t>
      </w:r>
      <w:proofErr w:type="spellEnd"/>
      <w:r w:rsidRPr="00547FA5">
        <w:t>, będące cyfrowym odzwierciedleniem wartości lub prawa, które można przenosić i przechowywać elektronicznie za pomocą rozproszonego rejestru lub podobnej technologii i które nie należą do pozostałych kategorii;</w:t>
      </w:r>
    </w:p>
    <w:p w14:paraId="5B23090D" w14:textId="77777777" w:rsidR="00E553E0" w:rsidRPr="00547FA5" w:rsidRDefault="00E553E0" w:rsidP="00E553E0">
      <w:pPr>
        <w:pStyle w:val="NormalHanging"/>
      </w:pPr>
      <w:r w:rsidRPr="00547FA5">
        <w:lastRenderedPageBreak/>
        <w:t>G.</w:t>
      </w:r>
      <w:r w:rsidRPr="00547FA5">
        <w:tab/>
        <w:t xml:space="preserve">mając na uwadze, że z zakresu stosowania </w:t>
      </w:r>
      <w:proofErr w:type="spellStart"/>
      <w:r w:rsidRPr="00547FA5">
        <w:t>MiCAR</w:t>
      </w:r>
      <w:proofErr w:type="spellEnd"/>
      <w:r w:rsidRPr="00547FA5">
        <w:t xml:space="preserve"> wyłączono, zgodnie z jego art. 2 ust. 4, </w:t>
      </w:r>
      <w:proofErr w:type="spellStart"/>
      <w:r w:rsidRPr="00547FA5">
        <w:t>kryptoaktywa</w:t>
      </w:r>
      <w:proofErr w:type="spellEnd"/>
      <w:r w:rsidRPr="00547FA5">
        <w:t xml:space="preserve"> kwalifikujące się jako instrumenty finansowe, depozyty, środki pieniężne, pozycje sekurytyzacyjne, produkty ubezpieczeniowe lub emerytalne objęte obowiązującym prawem UE, dzięki czemu takie </w:t>
      </w:r>
      <w:proofErr w:type="spellStart"/>
      <w:r w:rsidRPr="00547FA5">
        <w:t>kryptoaktywa</w:t>
      </w:r>
      <w:proofErr w:type="spellEnd"/>
      <w:r w:rsidRPr="00547FA5">
        <w:t xml:space="preserve"> nadal podlegają odpowiednim sektorowym ramom prawnym, co odzwierciedla oparty na produktach model nadzoru przewidziany w unijnych przepisach dotyczących usług finansowych;</w:t>
      </w:r>
    </w:p>
    <w:p w14:paraId="6A1F232B" w14:textId="77777777" w:rsidR="00E553E0" w:rsidRPr="00547FA5" w:rsidRDefault="00E553E0" w:rsidP="00E553E0">
      <w:pPr>
        <w:pStyle w:val="NormalHanging"/>
      </w:pPr>
      <w:r w:rsidRPr="00547FA5">
        <w:t>H.</w:t>
      </w:r>
      <w:r w:rsidRPr="00547FA5">
        <w:tab/>
        <w:t xml:space="preserve">mając na uwadze, że nowa administracja USA jest znacznie bardziej otwarta na </w:t>
      </w:r>
      <w:proofErr w:type="spellStart"/>
      <w:r w:rsidRPr="00547FA5">
        <w:t>kryptoaktywa</w:t>
      </w:r>
      <w:proofErr w:type="spellEnd"/>
      <w:r w:rsidRPr="00547FA5">
        <w:t xml:space="preserve">, co doprowadziło do przyjęcia kluczowych przepisów i łagodniejszego podejścia organów nadzorczych do egzekwowania prawa; mając na uwadze, że w Stanach Zjednoczonych podejście regulacyjne dopiero się rodzi, a amerykańscy decydenci i organy regulacyjne na ogół używają terminu „aktywa cyfrowe”, powszechnie rozumianego jako zbiór obejmujący kryptograficzne cyfrowe odzwierciedlenia wartości lub praw zabezpieczone w rozproszonym rejestrze, w tym </w:t>
      </w:r>
      <w:proofErr w:type="spellStart"/>
      <w:r w:rsidRPr="00547FA5">
        <w:t>kryptowaluty</w:t>
      </w:r>
      <w:proofErr w:type="spellEnd"/>
      <w:r w:rsidRPr="00547FA5">
        <w:t xml:space="preserve">, stabilne </w:t>
      </w:r>
      <w:proofErr w:type="spellStart"/>
      <w:r w:rsidRPr="00547FA5">
        <w:t>kryptowaluty</w:t>
      </w:r>
      <w:proofErr w:type="spellEnd"/>
      <w:r w:rsidRPr="00547FA5">
        <w:t xml:space="preserve"> i niektóre instrumenty </w:t>
      </w:r>
      <w:proofErr w:type="spellStart"/>
      <w:r w:rsidRPr="00547FA5">
        <w:t>tokenizowane</w:t>
      </w:r>
      <w:proofErr w:type="spellEnd"/>
      <w:r w:rsidRPr="00547FA5">
        <w:t>;</w:t>
      </w:r>
    </w:p>
    <w:p w14:paraId="47951498" w14:textId="77777777" w:rsidR="00E553E0" w:rsidRPr="00547FA5" w:rsidRDefault="00E553E0" w:rsidP="00E553E0">
      <w:pPr>
        <w:pStyle w:val="Normal12a"/>
      </w:pPr>
      <w:r w:rsidRPr="00547FA5">
        <w:rPr>
          <w:b/>
          <w:i/>
        </w:rPr>
        <w:t>Ogólny kontekst</w:t>
      </w:r>
    </w:p>
    <w:p w14:paraId="3D43DB3E" w14:textId="77777777" w:rsidR="00E553E0" w:rsidRPr="00547FA5" w:rsidRDefault="00E553E0" w:rsidP="00E553E0">
      <w:pPr>
        <w:pStyle w:val="NormalHanging12a"/>
      </w:pPr>
      <w:r w:rsidRPr="00547FA5">
        <w:t>1.</w:t>
      </w:r>
      <w:r w:rsidRPr="00547FA5">
        <w:tab/>
        <w:t>popiera długoterminowy cel, jakim jest systemowe, oparte na działaniach i neutralne technologicznie podejście do ram regulacyjnych UE dotyczących usług finansowych;</w:t>
      </w:r>
    </w:p>
    <w:p w14:paraId="6F3EB30F" w14:textId="77777777" w:rsidR="00E553E0" w:rsidRPr="00547FA5" w:rsidRDefault="00E553E0" w:rsidP="00E553E0">
      <w:pPr>
        <w:pStyle w:val="NormalHanging12a"/>
      </w:pPr>
      <w:r w:rsidRPr="00547FA5">
        <w:t>2.</w:t>
      </w:r>
      <w:r w:rsidRPr="00547FA5">
        <w:tab/>
        <w:t xml:space="preserve">podkreśla, że DLT i </w:t>
      </w:r>
      <w:proofErr w:type="spellStart"/>
      <w:r w:rsidRPr="00547FA5">
        <w:t>tokenizacja</w:t>
      </w:r>
      <w:proofErr w:type="spellEnd"/>
      <w:r w:rsidRPr="00547FA5">
        <w:t xml:space="preserve"> aktywów mogą wspierać cele unii oszczędności i inwestycji poprzez ułatwianie inwestycji transgranicznych, zmniejszanie fragmentacji rynku oraz umożliwianie tworzenia bardziej wydajnej i </w:t>
      </w:r>
      <w:proofErr w:type="spellStart"/>
      <w:r w:rsidRPr="00547FA5">
        <w:t>inkluzywnej</w:t>
      </w:r>
      <w:proofErr w:type="spellEnd"/>
      <w:r w:rsidRPr="00547FA5">
        <w:t xml:space="preserve"> infrastruktury rynku kapitałowego w całej UE; podkreśla kluczową rolę interoperacyjności;</w:t>
      </w:r>
    </w:p>
    <w:p w14:paraId="536848F9" w14:textId="77777777" w:rsidR="00E553E0" w:rsidRPr="00547FA5" w:rsidRDefault="00E553E0" w:rsidP="00E553E0">
      <w:pPr>
        <w:pStyle w:val="NormalHanging12a"/>
      </w:pPr>
      <w:r w:rsidRPr="00547FA5">
        <w:t>3.</w:t>
      </w:r>
      <w:r w:rsidRPr="00547FA5">
        <w:tab/>
        <w:t xml:space="preserve">podkreśla, że pojawienie się nowych technologii w finansach rodzi nowe wyzwania w kontekście ram regulacyjnych i nadzorczych; zwraca uwagę na różnorodność aktywów cyfrowych i uznaje, że związane z nimi ryzyko oraz potencjał biznesowy różnią się w zależności od kategorii; potwierdza swoje zaangażowanie w ukierunkowany przegląd ram regulacyjnych UE w celu stworzenia solidnych rynków kapitałowych i infrastruktury płatniczej UE opartych na aktywach cyfrowych; wzywa Komisję, aby oceniła, czy konieczne i wykonalne jest uregulowanie udzielania i zaciągania pożyczek w </w:t>
      </w:r>
      <w:proofErr w:type="spellStart"/>
      <w:r w:rsidRPr="00547FA5">
        <w:t>kryptoaktywach</w:t>
      </w:r>
      <w:proofErr w:type="spellEnd"/>
      <w:r w:rsidRPr="00547FA5">
        <w:t xml:space="preserve">, w tym </w:t>
      </w:r>
      <w:proofErr w:type="spellStart"/>
      <w:r w:rsidRPr="00547FA5">
        <w:t>stakingu</w:t>
      </w:r>
      <w:proofErr w:type="spellEnd"/>
      <w:r w:rsidRPr="00547FA5">
        <w:t xml:space="preserve">, niewymienialnych </w:t>
      </w:r>
      <w:proofErr w:type="spellStart"/>
      <w:r w:rsidRPr="00547FA5">
        <w:t>tokenów</w:t>
      </w:r>
      <w:proofErr w:type="spellEnd"/>
      <w:r w:rsidRPr="00547FA5">
        <w:t xml:space="preserve"> i zdecentralizowanych finansów, na mocy </w:t>
      </w:r>
      <w:proofErr w:type="spellStart"/>
      <w:r w:rsidRPr="00547FA5">
        <w:t>MiCAR</w:t>
      </w:r>
      <w:proofErr w:type="spellEnd"/>
      <w:r w:rsidRPr="00547FA5">
        <w:t>;</w:t>
      </w:r>
    </w:p>
    <w:p w14:paraId="62C4627B" w14:textId="77777777" w:rsidR="00E553E0" w:rsidRPr="00547FA5" w:rsidRDefault="00E553E0" w:rsidP="00E553E0">
      <w:pPr>
        <w:pStyle w:val="NormalHanging12a"/>
      </w:pPr>
      <w:r w:rsidRPr="00547FA5">
        <w:t>4.</w:t>
      </w:r>
      <w:r w:rsidRPr="00547FA5">
        <w:tab/>
        <w:t>podkreśla potencjał kryptograficznie zabezpieczonych rozproszonych rejestrów i podobnych technologii pod względem innowacji i dołączalności w odniesieniu do infrastruktury usług finansowych, zarówno w samej UE, jak i z perspektywy globalnej roli UE; podkreśla, że przewidywalne, sprzyjające innowacjom otoczenie regulacyjne będzie miało zasadnicze znaczenie dla zapewnienia, by inwestycje i rozwój technologiczny pozostały w UE, oraz dla wspierania konkurencyjności i zaufania do infrastruktury finansowej denominowanej w euro;</w:t>
      </w:r>
    </w:p>
    <w:p w14:paraId="2302E359" w14:textId="77777777" w:rsidR="00E553E0" w:rsidRPr="00547FA5" w:rsidRDefault="00E553E0" w:rsidP="00E553E0">
      <w:pPr>
        <w:pStyle w:val="Normal12a"/>
      </w:pPr>
      <w:proofErr w:type="spellStart"/>
      <w:r w:rsidRPr="00547FA5">
        <w:rPr>
          <w:b/>
          <w:i/>
        </w:rPr>
        <w:t>Kryptoaktywa</w:t>
      </w:r>
      <w:proofErr w:type="spellEnd"/>
    </w:p>
    <w:p w14:paraId="40D89EEE" w14:textId="1A64C0F5" w:rsidR="00E553E0" w:rsidRPr="00547FA5" w:rsidRDefault="00E553E0" w:rsidP="00E553E0">
      <w:pPr>
        <w:pStyle w:val="NormalHanging12a"/>
      </w:pPr>
      <w:r w:rsidRPr="00547FA5">
        <w:t>5.</w:t>
      </w:r>
      <w:r w:rsidRPr="00547FA5">
        <w:tab/>
        <w:t xml:space="preserve">uznaje, że UE była jedną z pierwszych jurysdykcji, które przyjęły i wdrożyły specjalny system dotyczący </w:t>
      </w:r>
      <w:proofErr w:type="spellStart"/>
      <w:r w:rsidRPr="00547FA5">
        <w:t>kryptoaktywów</w:t>
      </w:r>
      <w:proofErr w:type="spellEnd"/>
      <w:r w:rsidRPr="00547FA5">
        <w:t xml:space="preserve"> w ramach </w:t>
      </w:r>
      <w:proofErr w:type="spellStart"/>
      <w:r w:rsidRPr="00547FA5">
        <w:t>MiCAR</w:t>
      </w:r>
      <w:proofErr w:type="spellEnd"/>
      <w:r w:rsidRPr="00547FA5">
        <w:t xml:space="preserve"> oraz zastosowały technologie rozproszonego rejestru w sektorze finansowym; wzywa Komisję, aby w ścisłej współpracy z EUNB, ESMA, Urzędem ds. Przeciwdziałania Praniu Pieniędzy i Finansowaniu Terroryzmu (AMLA) i właściwymi organami krajowymi zapewniła </w:t>
      </w:r>
      <w:r w:rsidRPr="00547FA5">
        <w:lastRenderedPageBreak/>
        <w:t xml:space="preserve">skuteczne egzekwowanie </w:t>
      </w:r>
      <w:proofErr w:type="spellStart"/>
      <w:r w:rsidRPr="00547FA5">
        <w:t>MiCAR</w:t>
      </w:r>
      <w:proofErr w:type="spellEnd"/>
      <w:r w:rsidRPr="00547FA5">
        <w:t xml:space="preserve">; wzywa państwa członkowskie, aby powstrzymały się od wprowadzania dodatkowych wymogów i zobowiązań wykraczających poza ramy </w:t>
      </w:r>
      <w:proofErr w:type="spellStart"/>
      <w:r w:rsidRPr="00547FA5">
        <w:t>MiCAR</w:t>
      </w:r>
      <w:proofErr w:type="spellEnd"/>
      <w:r w:rsidRPr="00547FA5">
        <w:t xml:space="preserve"> lub rozporządzenia w sprawie transferu środków pieniężnych</w:t>
      </w:r>
      <w:r w:rsidR="008C1F2D">
        <w:rPr>
          <w:rStyle w:val="FootnoteReference"/>
        </w:rPr>
        <w:footnoteReference w:id="5"/>
      </w:r>
      <w:r w:rsidRPr="00547FA5">
        <w:t>;</w:t>
      </w:r>
    </w:p>
    <w:p w14:paraId="5155E2E2" w14:textId="77777777" w:rsidR="00E553E0" w:rsidRPr="00547FA5" w:rsidRDefault="00E553E0" w:rsidP="00E553E0">
      <w:pPr>
        <w:pStyle w:val="NormalHanging12a"/>
      </w:pPr>
      <w:r w:rsidRPr="00547FA5">
        <w:t>6.</w:t>
      </w:r>
      <w:r w:rsidRPr="00547FA5">
        <w:tab/>
        <w:t xml:space="preserve">podkreśla wagę wzmocnienia zdolności w zakresie danych, w </w:t>
      </w:r>
      <w:proofErr w:type="gramStart"/>
      <w:r w:rsidRPr="00547FA5">
        <w:t>szczególności</w:t>
      </w:r>
      <w:proofErr w:type="gramEnd"/>
      <w:r w:rsidRPr="00547FA5">
        <w:t xml:space="preserve"> jeśli chodzi o lewarowanie w sektorze </w:t>
      </w:r>
      <w:proofErr w:type="spellStart"/>
      <w:r w:rsidRPr="00547FA5">
        <w:t>kryptowalut</w:t>
      </w:r>
      <w:proofErr w:type="spellEnd"/>
      <w:r w:rsidRPr="00547FA5">
        <w:t xml:space="preserve"> i o wzajemne powiązania z sektorem instytucji finansowych niebędących bankami; wzywa Komisję do dalszego monitorowania wzajemnych powiązań między </w:t>
      </w:r>
      <w:proofErr w:type="spellStart"/>
      <w:r w:rsidRPr="00547FA5">
        <w:t>kryptoaktywami</w:t>
      </w:r>
      <w:proofErr w:type="spellEnd"/>
      <w:r w:rsidRPr="00547FA5">
        <w:t xml:space="preserve"> a systemem finansowym; zauważa, że niezabezpieczone </w:t>
      </w:r>
      <w:proofErr w:type="spellStart"/>
      <w:r w:rsidRPr="00547FA5">
        <w:t>kryptoaktywa</w:t>
      </w:r>
      <w:proofErr w:type="spellEnd"/>
      <w:r w:rsidRPr="00547FA5">
        <w:t xml:space="preserve"> mogą być podatne na dodatkowe ryzyko i zmienność;</w:t>
      </w:r>
    </w:p>
    <w:p w14:paraId="66EDCA72" w14:textId="77777777" w:rsidR="00E553E0" w:rsidRPr="00547FA5" w:rsidRDefault="00E553E0" w:rsidP="00E553E0">
      <w:pPr>
        <w:pStyle w:val="NormalHanging12a"/>
      </w:pPr>
      <w:r w:rsidRPr="00547FA5">
        <w:t>7.</w:t>
      </w:r>
      <w:r w:rsidRPr="00547FA5">
        <w:tab/>
        <w:t xml:space="preserve">wzywa EUNB, EMSA, AMLA, Europejski Urząd Nadzoru Ubezpieczeń i Pracowniczych Programów Emerytalnych, właściwe organy krajowe, EBC i ERRS do wzmocnienia dialogu nadzorczego na temat dużych grup wielofunkcyjnych; podkreśla potrzebę dostosowania ram polityki </w:t>
      </w:r>
      <w:proofErr w:type="spellStart"/>
      <w:r w:rsidRPr="00547FA5">
        <w:t>MiCAR</w:t>
      </w:r>
      <w:proofErr w:type="spellEnd"/>
      <w:r w:rsidRPr="00547FA5">
        <w:t xml:space="preserve"> względem dużych grup wielofunkcyjnych niebędących bankami;</w:t>
      </w:r>
    </w:p>
    <w:p w14:paraId="4B7C6928" w14:textId="77777777" w:rsidR="00E553E0" w:rsidRPr="00547FA5" w:rsidRDefault="00E553E0" w:rsidP="00E553E0">
      <w:pPr>
        <w:pStyle w:val="NormalHanging12a"/>
      </w:pPr>
      <w:r w:rsidRPr="00547FA5">
        <w:t>8.</w:t>
      </w:r>
      <w:r w:rsidRPr="00547FA5">
        <w:tab/>
        <w:t xml:space="preserve">uznaje, że technologie rozproszonego rejestru wprowadzają nowe kwestie technologiczne i operacyjne dla organów nadzoru finansowego, w tym kwestie związane z bezpieczeństwem inteligentnych umów, zarządzaniem sieciami zdecentralizowanymi, </w:t>
      </w:r>
      <w:proofErr w:type="spellStart"/>
      <w:r w:rsidRPr="00547FA5">
        <w:t>cyberodpornością</w:t>
      </w:r>
      <w:proofErr w:type="spellEnd"/>
      <w:r w:rsidRPr="00547FA5">
        <w:t xml:space="preserve"> i zarządzaniem ryzykiem operacyjnym; wzywa organy nadzoru do rozwijania odpowiedniej wiedzy technicznej, aby skutecznie rozumieć i monitorować te powstające infrastruktury rynkowe;</w:t>
      </w:r>
    </w:p>
    <w:p w14:paraId="7EDAF307" w14:textId="77777777" w:rsidR="00E553E0" w:rsidRPr="00547FA5" w:rsidRDefault="00E553E0" w:rsidP="00E553E0">
      <w:pPr>
        <w:pStyle w:val="NormalHanging12a"/>
      </w:pPr>
      <w:r w:rsidRPr="00547FA5">
        <w:t>9.</w:t>
      </w:r>
      <w:r w:rsidRPr="00547FA5">
        <w:tab/>
        <w:t xml:space="preserve">wyraża zaniepokojenie rolą, jaką </w:t>
      </w:r>
      <w:proofErr w:type="spellStart"/>
      <w:r w:rsidRPr="00547FA5">
        <w:t>kryptoaktywa</w:t>
      </w:r>
      <w:proofErr w:type="spellEnd"/>
      <w:r w:rsidRPr="00547FA5">
        <w:t xml:space="preserve"> odgrywają w obchodzeniu przepisów i sankcji służących przeciwdziałaniu praniu pieniędzy i finansowaniu terroryzmu; podkreśla, jak ważne jest wzmocnienie narzędzi nadzorczych, egzekwowania i standardów zgodności w celu przeciwdziałania praniu pieniędzy i finansowaniu terroryzmu, w tym skutecznej zasady „znaj swojego klienta” i monitorowania płatności; podkreśla, że ważne jest, aby organy dochodzeniowe wykorzystywały technologię </w:t>
      </w:r>
      <w:proofErr w:type="spellStart"/>
      <w:r w:rsidRPr="00547FA5">
        <w:t>kryptoaktywów</w:t>
      </w:r>
      <w:proofErr w:type="spellEnd"/>
      <w:r w:rsidRPr="00547FA5">
        <w:t xml:space="preserve"> do zniechęcania do popełniania przestępstw związanych z </w:t>
      </w:r>
      <w:proofErr w:type="spellStart"/>
      <w:r w:rsidRPr="00547FA5">
        <w:t>kryptoaktywami</w:t>
      </w:r>
      <w:proofErr w:type="spellEnd"/>
      <w:r w:rsidRPr="00547FA5">
        <w:t xml:space="preserve"> oraz współpracowały ze sobą w zakresie blokowania wykrytych lub zgłoszonych nielegalnych transakcji;</w:t>
      </w:r>
    </w:p>
    <w:p w14:paraId="30AA4908" w14:textId="77777777" w:rsidR="00E553E0" w:rsidRPr="00547FA5" w:rsidRDefault="00E553E0" w:rsidP="00E553E0">
      <w:pPr>
        <w:pStyle w:val="NormalHanging12a"/>
      </w:pPr>
      <w:r w:rsidRPr="00547FA5">
        <w:t>10.</w:t>
      </w:r>
      <w:r w:rsidRPr="00547FA5">
        <w:tab/>
        <w:t xml:space="preserve">zwraca uwagę na pojawienie się produktów hybrydowych łączących cechy </w:t>
      </w:r>
      <w:proofErr w:type="spellStart"/>
      <w:r w:rsidRPr="00547FA5">
        <w:t>kryptoaktywów</w:t>
      </w:r>
      <w:proofErr w:type="spellEnd"/>
      <w:r w:rsidRPr="00547FA5">
        <w:t xml:space="preserve"> i tradycyjnych instrumentów finansowych, które może powodować niepewność prawa;</w:t>
      </w:r>
    </w:p>
    <w:p w14:paraId="0FC08A8E" w14:textId="77777777" w:rsidR="00E553E0" w:rsidRPr="00547FA5" w:rsidRDefault="00E553E0" w:rsidP="00E553E0">
      <w:pPr>
        <w:pStyle w:val="Normal12a"/>
      </w:pPr>
      <w:proofErr w:type="spellStart"/>
      <w:r w:rsidRPr="00547FA5">
        <w:rPr>
          <w:b/>
          <w:i/>
        </w:rPr>
        <w:t>Tokenizacja</w:t>
      </w:r>
      <w:proofErr w:type="spellEnd"/>
      <w:r w:rsidRPr="00547FA5">
        <w:rPr>
          <w:b/>
          <w:i/>
        </w:rPr>
        <w:t xml:space="preserve"> instrumentów finansowych</w:t>
      </w:r>
    </w:p>
    <w:p w14:paraId="68902A79" w14:textId="77777777" w:rsidR="00E553E0" w:rsidRPr="00547FA5" w:rsidRDefault="00E553E0" w:rsidP="00E553E0">
      <w:pPr>
        <w:pStyle w:val="NormalHanging12a"/>
      </w:pPr>
      <w:r w:rsidRPr="00547FA5">
        <w:t>11.</w:t>
      </w:r>
      <w:r w:rsidRPr="00547FA5">
        <w:tab/>
        <w:t>zauważa, że w motywie 3 rozporządzenia (UE) 2022/858 „</w:t>
      </w:r>
      <w:proofErr w:type="spellStart"/>
      <w:r w:rsidRPr="00547FA5">
        <w:t>tokenizację</w:t>
      </w:r>
      <w:proofErr w:type="spellEnd"/>
      <w:r w:rsidRPr="00547FA5">
        <w:t xml:space="preserve">” instrumentów finansowych zdefiniowano jako cyfrowe odzwierciedlenie instrumentów finansowych w rozproszonych rejestrach lub emisję tradycyjnych klas aktywów w formie </w:t>
      </w:r>
      <w:proofErr w:type="spellStart"/>
      <w:r w:rsidRPr="00547FA5">
        <w:t>tokenów</w:t>
      </w:r>
      <w:proofErr w:type="spellEnd"/>
      <w:r w:rsidRPr="00547FA5">
        <w:t xml:space="preserve"> w celu umożliwienia ich emisji, przechowywania i przenoszenia w rozproszonym rejestrze;</w:t>
      </w:r>
    </w:p>
    <w:p w14:paraId="7DBA4955" w14:textId="77777777" w:rsidR="00E553E0" w:rsidRPr="00547FA5" w:rsidRDefault="00E553E0" w:rsidP="00E553E0">
      <w:pPr>
        <w:pStyle w:val="NormalHanging12a"/>
      </w:pPr>
      <w:r w:rsidRPr="00547FA5">
        <w:t>12.</w:t>
      </w:r>
      <w:r w:rsidRPr="00547FA5">
        <w:tab/>
        <w:t xml:space="preserve">podkreśla, że </w:t>
      </w:r>
      <w:proofErr w:type="spellStart"/>
      <w:r w:rsidRPr="00547FA5">
        <w:t>tokenizacja</w:t>
      </w:r>
      <w:proofErr w:type="spellEnd"/>
      <w:r w:rsidRPr="00547FA5">
        <w:t xml:space="preserve"> aktywów finansowych sama w sobie nie zmienia charakteru prawnego ani podstawowych cech ekonomicznych tych aktywów; podkreśla, że </w:t>
      </w:r>
      <w:proofErr w:type="spellStart"/>
      <w:r w:rsidRPr="00547FA5">
        <w:lastRenderedPageBreak/>
        <w:t>tokenizowane</w:t>
      </w:r>
      <w:proofErr w:type="spellEnd"/>
      <w:r w:rsidRPr="00547FA5">
        <w:t xml:space="preserve"> instrumenty finansowe muszą przyznawać prawa równoważne z prawami związanymi z tradycyjnymi papierami wartościowymi, aby zapobiegać arbitrażowi regulacyjnemu i zapewnić ochronę inwestorów;</w:t>
      </w:r>
    </w:p>
    <w:p w14:paraId="6E9C38DD" w14:textId="77777777" w:rsidR="00E553E0" w:rsidRPr="00547FA5" w:rsidRDefault="00E553E0" w:rsidP="00E553E0">
      <w:pPr>
        <w:pStyle w:val="NormalHanging12a"/>
      </w:pPr>
      <w:r w:rsidRPr="00547FA5">
        <w:t>13.</w:t>
      </w:r>
      <w:r w:rsidRPr="00547FA5">
        <w:tab/>
        <w:t xml:space="preserve">z zadowoleniem przyjmuje potencjalne korzyści płynące z </w:t>
      </w:r>
      <w:proofErr w:type="spellStart"/>
      <w:r w:rsidRPr="00547FA5">
        <w:t>tokenizacji</w:t>
      </w:r>
      <w:proofErr w:type="spellEnd"/>
      <w:r w:rsidRPr="00547FA5">
        <w:t xml:space="preserve"> dla obrotu aktywami finansowymi, takie jak większa efektywność i przejrzystość, mniejsze ryzyko kontrahenta i koszty operacyjne, inteligentne zawieranie umów i większa płynność dzięki własności częściowej, zauważając jednocześnie, że należy monitorować zagrożenia, na jakie jest podatna;</w:t>
      </w:r>
    </w:p>
    <w:p w14:paraId="7A3E6134" w14:textId="77777777" w:rsidR="00E553E0" w:rsidRPr="00547FA5" w:rsidRDefault="00E553E0" w:rsidP="00E553E0">
      <w:pPr>
        <w:pStyle w:val="NormalHanging12a"/>
      </w:pPr>
      <w:r w:rsidRPr="00547FA5">
        <w:t>14.</w:t>
      </w:r>
      <w:r w:rsidRPr="00547FA5">
        <w:tab/>
        <w:t xml:space="preserve">wzywa Komisję, aby ułatwiała </w:t>
      </w:r>
      <w:proofErr w:type="spellStart"/>
      <w:r w:rsidRPr="00547FA5">
        <w:t>tokenizację</w:t>
      </w:r>
      <w:proofErr w:type="spellEnd"/>
      <w:r w:rsidRPr="00547FA5">
        <w:t xml:space="preserve"> w sektorze usług finansowych i zachęcała do niej, kładąc nacisk na interoperacyjność i zapobiegając fragmentacji poprzez utrzymanie standardów na całym jednolitym rynku i zapewnienie infrastruktury;</w:t>
      </w:r>
    </w:p>
    <w:p w14:paraId="46240FE3" w14:textId="77777777" w:rsidR="00E553E0" w:rsidRPr="00547FA5" w:rsidRDefault="00E553E0" w:rsidP="00E553E0">
      <w:pPr>
        <w:pStyle w:val="NormalHanging12a"/>
      </w:pPr>
      <w:r w:rsidRPr="00547FA5">
        <w:t>15.</w:t>
      </w:r>
      <w:r w:rsidRPr="00547FA5">
        <w:tab/>
        <w:t xml:space="preserve">docenia wysiłki EBC na rzecz zapewnienia rozwiązań, w tym infrastruktury oferującej opcję cyfrowej waluty banku centralnego (CBDC) w ujęciu hurtowym, która umożliwia rozrachunek składnika gotówkowego i składnika aktywów we wspólnym rejestrze, w uzupełnieniu do </w:t>
      </w:r>
      <w:proofErr w:type="spellStart"/>
      <w:r w:rsidRPr="00547FA5">
        <w:t>tokenizowanych</w:t>
      </w:r>
      <w:proofErr w:type="spellEnd"/>
      <w:r w:rsidRPr="00547FA5">
        <w:t xml:space="preserve"> depozytów banków komercyjnych i stabilnych </w:t>
      </w:r>
      <w:proofErr w:type="spellStart"/>
      <w:r w:rsidRPr="00547FA5">
        <w:t>kryptowalut</w:t>
      </w:r>
      <w:proofErr w:type="spellEnd"/>
      <w:r w:rsidRPr="00547FA5">
        <w:t>;</w:t>
      </w:r>
    </w:p>
    <w:p w14:paraId="70824503" w14:textId="77777777" w:rsidR="00E553E0" w:rsidRPr="00547FA5" w:rsidRDefault="00E553E0" w:rsidP="00E553E0">
      <w:pPr>
        <w:pStyle w:val="NormalHanging12a"/>
      </w:pPr>
      <w:r w:rsidRPr="00547FA5">
        <w:t>16.</w:t>
      </w:r>
      <w:r w:rsidRPr="00547FA5">
        <w:tab/>
        <w:t xml:space="preserve">podkreśla potencjał globalnej łączności europejskiego rynku </w:t>
      </w:r>
      <w:proofErr w:type="spellStart"/>
      <w:r w:rsidRPr="00547FA5">
        <w:t>tokenów</w:t>
      </w:r>
      <w:proofErr w:type="spellEnd"/>
      <w:r w:rsidRPr="00547FA5">
        <w:t>; podkreśla znaczenie międzynarodowej współpracy w celu zharmonizowania kryteriów, zasad i standardów klasyfikacji; wspiera działania BIS w ramach inicjatyw współpracy w zakresie płatności transgranicznych;</w:t>
      </w:r>
    </w:p>
    <w:p w14:paraId="509E8437" w14:textId="77777777" w:rsidR="00E553E0" w:rsidRPr="00547FA5" w:rsidRDefault="00E553E0" w:rsidP="00E553E0">
      <w:pPr>
        <w:pStyle w:val="NormalHanging12a"/>
      </w:pPr>
      <w:r w:rsidRPr="00547FA5">
        <w:t>17.</w:t>
      </w:r>
      <w:r w:rsidRPr="00547FA5">
        <w:tab/>
        <w:t>z zadowoleniem przyjmuje toczące się dyskusje na temat systemu pilotażowego DLT w ramach pakietu dotyczącego integracji rynków oraz nadzoru;</w:t>
      </w:r>
    </w:p>
    <w:p w14:paraId="6C432332" w14:textId="77777777" w:rsidR="00E553E0" w:rsidRPr="00547FA5" w:rsidRDefault="00E553E0" w:rsidP="00E553E0">
      <w:pPr>
        <w:pStyle w:val="Normal12a"/>
      </w:pPr>
      <w:r w:rsidRPr="00547FA5">
        <w:rPr>
          <w:b/>
          <w:i/>
        </w:rPr>
        <w:t xml:space="preserve">Stabilne </w:t>
      </w:r>
      <w:proofErr w:type="spellStart"/>
      <w:r w:rsidRPr="00547FA5">
        <w:rPr>
          <w:b/>
          <w:i/>
        </w:rPr>
        <w:t>kryptowaluty</w:t>
      </w:r>
      <w:proofErr w:type="spellEnd"/>
    </w:p>
    <w:p w14:paraId="66AA209C" w14:textId="77777777" w:rsidR="00E553E0" w:rsidRPr="00547FA5" w:rsidRDefault="00E553E0" w:rsidP="00E553E0">
      <w:pPr>
        <w:pStyle w:val="NormalHanging12a"/>
      </w:pPr>
      <w:r w:rsidRPr="00547FA5">
        <w:t>18.</w:t>
      </w:r>
      <w:r w:rsidRPr="00547FA5">
        <w:tab/>
        <w:t xml:space="preserve">zauważa, że zgodnie z ramami prawnymi </w:t>
      </w:r>
      <w:proofErr w:type="spellStart"/>
      <w:r w:rsidRPr="00547FA5">
        <w:t>MiCAR</w:t>
      </w:r>
      <w:proofErr w:type="spellEnd"/>
      <w:r w:rsidRPr="00547FA5">
        <w:t xml:space="preserve"> stabilne </w:t>
      </w:r>
      <w:proofErr w:type="spellStart"/>
      <w:r w:rsidRPr="00547FA5">
        <w:t>kryptowaluty</w:t>
      </w:r>
      <w:proofErr w:type="spellEnd"/>
      <w:r w:rsidRPr="00547FA5">
        <w:t xml:space="preserve"> mieszczą się w dwóch kategoriach, takich jak </w:t>
      </w:r>
      <w:proofErr w:type="spellStart"/>
      <w:r w:rsidRPr="00547FA5">
        <w:t>tokeny</w:t>
      </w:r>
      <w:proofErr w:type="spellEnd"/>
      <w:r w:rsidRPr="00547FA5">
        <w:t xml:space="preserve"> powiązane z aktywami i </w:t>
      </w:r>
      <w:proofErr w:type="spellStart"/>
      <w:r w:rsidRPr="00547FA5">
        <w:t>tokeny</w:t>
      </w:r>
      <w:proofErr w:type="spellEnd"/>
      <w:r w:rsidRPr="00547FA5">
        <w:t xml:space="preserve"> będące pieniądzem elektronicznym (e-pieniądzem);</w:t>
      </w:r>
    </w:p>
    <w:p w14:paraId="27B1ECCC" w14:textId="77777777" w:rsidR="00E553E0" w:rsidRDefault="00E553E0" w:rsidP="00E553E0">
      <w:pPr>
        <w:pStyle w:val="NormalHanging12a"/>
      </w:pPr>
      <w:r w:rsidRPr="00547FA5">
        <w:t>19.</w:t>
      </w:r>
      <w:r w:rsidRPr="00547FA5">
        <w:tab/>
        <w:t xml:space="preserve">zauważa, że stabilne </w:t>
      </w:r>
      <w:proofErr w:type="spellStart"/>
      <w:r w:rsidRPr="00547FA5">
        <w:t>kryptowaluty</w:t>
      </w:r>
      <w:proofErr w:type="spellEnd"/>
      <w:r w:rsidRPr="00547FA5">
        <w:t xml:space="preserve"> są formą tworzenia prywatnych pieniędzy oraz że ich funkcja gospodarcza wykazuje podobieństwa do sztywnych kursów walutowych, funduszy rynku pieniężnego i wąskich banków; podkreśla jednak, że </w:t>
      </w:r>
      <w:proofErr w:type="spellStart"/>
      <w:r w:rsidRPr="00547FA5">
        <w:t>MiCAR</w:t>
      </w:r>
      <w:proofErr w:type="spellEnd"/>
      <w:r w:rsidRPr="00547FA5">
        <w:t xml:space="preserve"> zakazuje emitentom </w:t>
      </w:r>
      <w:proofErr w:type="spellStart"/>
      <w:r w:rsidRPr="00547FA5">
        <w:t>tokenów</w:t>
      </w:r>
      <w:proofErr w:type="spellEnd"/>
      <w:r w:rsidRPr="00547FA5">
        <w:t xml:space="preserve"> będących pieniądzem elektronicznym i dostawcom usług w zakresie </w:t>
      </w:r>
      <w:proofErr w:type="spellStart"/>
      <w:r w:rsidRPr="00547FA5">
        <w:t>kryptoaktywów</w:t>
      </w:r>
      <w:proofErr w:type="spellEnd"/>
      <w:r w:rsidRPr="00547FA5">
        <w:t xml:space="preserve"> bezpośredniego lub pośredniego oferowania odsetek w odniesieniu do </w:t>
      </w:r>
      <w:proofErr w:type="spellStart"/>
      <w:r w:rsidRPr="00547FA5">
        <w:t>tokenów</w:t>
      </w:r>
      <w:proofErr w:type="spellEnd"/>
      <w:r w:rsidRPr="00547FA5">
        <w:t xml:space="preserve"> będących pieniądzem elektronicznym oraz że stabilne </w:t>
      </w:r>
      <w:proofErr w:type="spellStart"/>
      <w:r w:rsidRPr="00547FA5">
        <w:t>kryptowaluty</w:t>
      </w:r>
      <w:proofErr w:type="spellEnd"/>
      <w:r w:rsidRPr="00547FA5">
        <w:t xml:space="preserve"> nie mają bezpośredniego dostępu do banków centralnych, a ich posiadacze nie są objęci systemami gwarancji depozytów; zwraca uwagę na związane ze stabilnymi </w:t>
      </w:r>
      <w:proofErr w:type="spellStart"/>
      <w:r w:rsidRPr="00547FA5">
        <w:t>kryptowalutami</w:t>
      </w:r>
      <w:proofErr w:type="spellEnd"/>
      <w:r w:rsidRPr="00547FA5">
        <w:t xml:space="preserve"> ryzyko dewaluacji lub uwolnienia kursu i przepływy funduszy z pominięciem pośrednictwa bankowego;</w:t>
      </w:r>
    </w:p>
    <w:p w14:paraId="72A2FFAA" w14:textId="7CD3A0DA" w:rsidR="00FD43E2" w:rsidRPr="00FD43E2" w:rsidRDefault="00FD43E2" w:rsidP="00E553E0">
      <w:pPr>
        <w:pStyle w:val="NormalHanging12a"/>
        <w:rPr>
          <w:bCs/>
          <w:iCs/>
        </w:rPr>
      </w:pPr>
      <w:r w:rsidRPr="00FD43E2">
        <w:rPr>
          <w:bCs/>
          <w:iCs/>
        </w:rPr>
        <w:t>20</w:t>
      </w:r>
      <w:r w:rsidRPr="00FD43E2">
        <w:rPr>
          <w:bCs/>
          <w:iCs/>
        </w:rPr>
        <w:t>.</w:t>
      </w:r>
      <w:r w:rsidRPr="00FD43E2">
        <w:rPr>
          <w:bCs/>
          <w:iCs/>
        </w:rPr>
        <w:tab/>
        <w:t xml:space="preserve">z zaniepokojeniem odnotowuje ciągłą szybką ekspansję i dominację stabilnych </w:t>
      </w:r>
      <w:proofErr w:type="spellStart"/>
      <w:r w:rsidRPr="00FD43E2">
        <w:rPr>
          <w:bCs/>
          <w:iCs/>
        </w:rPr>
        <w:t>kryptowalut</w:t>
      </w:r>
      <w:proofErr w:type="spellEnd"/>
      <w:r w:rsidRPr="00FD43E2">
        <w:rPr>
          <w:bCs/>
          <w:iCs/>
        </w:rPr>
        <w:t xml:space="preserve"> denominowanych w dolarach amerykańskich, co może osłabić suwerenność monetarną UE, zwiększyć ryzyko dla stabilności finansowej, osłabić mechanizm transmisji polityki pieniężnej i wzmocnić zewnętrzne zależności w zakresie płatności;</w:t>
      </w:r>
    </w:p>
    <w:p w14:paraId="6FD605B4" w14:textId="00450775" w:rsidR="00E553E0" w:rsidRPr="00547FA5" w:rsidRDefault="00FD43E2" w:rsidP="00E553E0">
      <w:pPr>
        <w:pStyle w:val="NormalHanging12a"/>
      </w:pPr>
      <w:r>
        <w:lastRenderedPageBreak/>
        <w:t>21</w:t>
      </w:r>
      <w:r w:rsidR="00E553E0" w:rsidRPr="00547FA5">
        <w:t>.</w:t>
      </w:r>
      <w:r w:rsidR="00E553E0" w:rsidRPr="00547FA5">
        <w:tab/>
        <w:t xml:space="preserve">z zadowoleniem przyjmuje pojawienie się w </w:t>
      </w:r>
      <w:proofErr w:type="spellStart"/>
      <w:r w:rsidR="00E553E0" w:rsidRPr="00547FA5">
        <w:t>MiCAR</w:t>
      </w:r>
      <w:proofErr w:type="spellEnd"/>
      <w:r w:rsidR="00E553E0" w:rsidRPr="00547FA5">
        <w:t xml:space="preserve"> </w:t>
      </w:r>
      <w:proofErr w:type="spellStart"/>
      <w:r w:rsidR="00E553E0" w:rsidRPr="00547FA5">
        <w:t>tokenów</w:t>
      </w:r>
      <w:proofErr w:type="spellEnd"/>
      <w:r w:rsidR="00E553E0" w:rsidRPr="00547FA5">
        <w:t xml:space="preserve"> będących e-pieniądzem denominowanych w euro i zachęca do ich rozwoju w celu wspierania innowacji płatniczych w UE, konkurencyjności rynków finansowych UE i międzynarodowej roli euro, w tym poprzez szybsze i tańsze płatności transgraniczne, w uzupełnieniu do </w:t>
      </w:r>
      <w:proofErr w:type="spellStart"/>
      <w:r w:rsidR="00E553E0" w:rsidRPr="00547FA5">
        <w:t>tokenizowanych</w:t>
      </w:r>
      <w:proofErr w:type="spellEnd"/>
      <w:r w:rsidR="00E553E0" w:rsidRPr="00547FA5">
        <w:t xml:space="preserve"> depozytów i hurtowej CBDC; podkreśla znaczenie zharmonizowanych ram dotyczących ryzyka utraty płynności i zarządzania kryzysowego, w tym mechanizmów sekwencyjnego wykupu i wymogów dotyczących segregacji rezerw; zauważa, że EBC utrzymuje, iż stabilne </w:t>
      </w:r>
      <w:proofErr w:type="spellStart"/>
      <w:r w:rsidR="00E553E0" w:rsidRPr="00547FA5">
        <w:t>kryptowaluty</w:t>
      </w:r>
      <w:proofErr w:type="spellEnd"/>
      <w:r w:rsidR="00E553E0" w:rsidRPr="00547FA5">
        <w:t xml:space="preserve"> denominowane w walutach innych niż euro mogą stanowić zagrożenie dla polityki pieniężnej, jeżeli ich stosowanie stanie się powszechne; ostrzega przed nadużywaniem klauzuli „odwrotnego pozyskiwania”;</w:t>
      </w:r>
    </w:p>
    <w:p w14:paraId="00A5C20E" w14:textId="5BFB106C" w:rsidR="00E553E0" w:rsidRPr="00547FA5" w:rsidRDefault="00FD43E2" w:rsidP="00E553E0">
      <w:pPr>
        <w:pStyle w:val="NormalHanging12a"/>
      </w:pPr>
      <w:r>
        <w:t>22</w:t>
      </w:r>
      <w:r w:rsidR="00E553E0" w:rsidRPr="00547FA5">
        <w:t>.</w:t>
      </w:r>
      <w:r w:rsidR="00E553E0" w:rsidRPr="00547FA5">
        <w:tab/>
        <w:t xml:space="preserve">uznaje potrzebę zapewnienia pewności prawa w systemie prawnym UE w odniesieniu do możliwości wielokrotnej emisji stabilnych </w:t>
      </w:r>
      <w:proofErr w:type="spellStart"/>
      <w:r w:rsidR="00E553E0" w:rsidRPr="00547FA5">
        <w:t>kryptowalut</w:t>
      </w:r>
      <w:proofErr w:type="spellEnd"/>
      <w:r w:rsidR="00E553E0" w:rsidRPr="00547FA5">
        <w:t xml:space="preserve"> przez podmiot z UE i podmiot spoza UE, w przypadku gdyby stabilne </w:t>
      </w:r>
      <w:proofErr w:type="spellStart"/>
      <w:r w:rsidR="00E553E0" w:rsidRPr="00547FA5">
        <w:t>kryptowaluty</w:t>
      </w:r>
      <w:proofErr w:type="spellEnd"/>
      <w:r w:rsidR="00E553E0" w:rsidRPr="00547FA5">
        <w:t xml:space="preserve"> cyfrowe emitowane przez oba podmioty były w pełni zamienne i niemożliwe do odróżnienia; przypomina, że ERRS ostrzegła przed wielokrotną emisją jako potencjalną drogą do zaistnienia efektu domina; podkreśla potrzebę zapewnienia, aby funkcjonowanie takich systemów w UE opierało się na pewności prawa i solidnych ramach regulacyjnych zapewniających silne zabezpieczenia ostrożnościowe, solidne ustalenia dotyczące współpracy i wzmocnione protokoły zarządzania kryzysowego; podkreśla, jak ważne jest promowanie międzynarodowej koordynacji w zakresie regulacji i nadzoru nad globalnymi stabilnymi </w:t>
      </w:r>
      <w:proofErr w:type="spellStart"/>
      <w:r w:rsidR="00E553E0" w:rsidRPr="00547FA5">
        <w:t>kryptowalutami</w:t>
      </w:r>
      <w:proofErr w:type="spellEnd"/>
      <w:r w:rsidR="00E553E0" w:rsidRPr="00547FA5">
        <w:t xml:space="preserve"> w celu opracowania międzynarodowych standardów;</w:t>
      </w:r>
    </w:p>
    <w:p w14:paraId="721249B5" w14:textId="1780FF6C" w:rsidR="00E553E0" w:rsidRPr="00547FA5" w:rsidRDefault="00FD43E2" w:rsidP="00E553E0">
      <w:pPr>
        <w:pStyle w:val="NormalHanging12a"/>
      </w:pPr>
      <w:r>
        <w:t>23</w:t>
      </w:r>
      <w:r w:rsidR="00E553E0" w:rsidRPr="00547FA5">
        <w:t>.</w:t>
      </w:r>
      <w:r w:rsidR="00E553E0" w:rsidRPr="00547FA5">
        <w:tab/>
        <w:t>z zadowoleniem przyjmuje tymczasowe porozumienie w sprawie wniosków dotyczących dyrektywy</w:t>
      </w:r>
      <w:r w:rsidR="008C1F2D">
        <w:rPr>
          <w:rStyle w:val="FootnoteReference"/>
        </w:rPr>
        <w:footnoteReference w:id="6"/>
      </w:r>
      <w:r w:rsidR="00E553E0" w:rsidRPr="00547FA5">
        <w:t xml:space="preserve"> i rozporządzenia</w:t>
      </w:r>
      <w:r w:rsidR="008C1F2D">
        <w:rPr>
          <w:rStyle w:val="FootnoteReference"/>
        </w:rPr>
        <w:footnoteReference w:id="7"/>
      </w:r>
      <w:r w:rsidR="00E553E0" w:rsidRPr="00547FA5">
        <w:t xml:space="preserve"> w sprawie usług płatniczych oraz uproszczone rozwiązanie w zakresie udzielania zezwoleń dla dostawców usług w zakresie </w:t>
      </w:r>
      <w:proofErr w:type="spellStart"/>
      <w:r w:rsidR="00E553E0" w:rsidRPr="00547FA5">
        <w:t>kryptoaktywów</w:t>
      </w:r>
      <w:proofErr w:type="spellEnd"/>
      <w:r w:rsidR="00E553E0" w:rsidRPr="00547FA5">
        <w:t xml:space="preserve">, którzy uzyskali już zezwolenie na mocy </w:t>
      </w:r>
      <w:proofErr w:type="spellStart"/>
      <w:r w:rsidR="00E553E0" w:rsidRPr="00547FA5">
        <w:t>MiCAR</w:t>
      </w:r>
      <w:proofErr w:type="spellEnd"/>
      <w:r w:rsidR="00E553E0" w:rsidRPr="00547FA5">
        <w:t>, tak aby uniknąć niepotrzebnego nakładania się regulacji, co podlegałoby uproszczonej procedurze, przy zachowaniu odpowiednich mechanizmów kontroli ryzyka i świadczeniu wyłącznie usług określonych we wniosku;</w:t>
      </w:r>
    </w:p>
    <w:p w14:paraId="42A28E8E" w14:textId="77777777" w:rsidR="00E553E0" w:rsidRPr="00547FA5" w:rsidRDefault="00E553E0" w:rsidP="00E553E0">
      <w:pPr>
        <w:pStyle w:val="Normal12a"/>
      </w:pPr>
      <w:r w:rsidRPr="00547FA5">
        <w:rPr>
          <w:b/>
          <w:i/>
        </w:rPr>
        <w:t>Kwestie przekrojowe</w:t>
      </w:r>
    </w:p>
    <w:p w14:paraId="7143AEE1" w14:textId="6EDD9E9D" w:rsidR="00E553E0" w:rsidRPr="00547FA5" w:rsidRDefault="00FD43E2" w:rsidP="00E553E0">
      <w:pPr>
        <w:pStyle w:val="NormalHanging12a"/>
      </w:pPr>
      <w:r>
        <w:t>24</w:t>
      </w:r>
      <w:r w:rsidR="00E553E0" w:rsidRPr="00547FA5">
        <w:t>.</w:t>
      </w:r>
      <w:r w:rsidR="00E553E0" w:rsidRPr="00547FA5">
        <w:tab/>
        <w:t xml:space="preserve">podkreśla, że interoperacyjność ma kluczowe znaczenie dla finansów cyfrowych, ponieważ wymagają one na przykład tożsamości mobilnej i weryfikowalnych danych uwierzytelniających jako elementów wspomagających międzysieciową infrastrukturę rynkową; podkreśla, że systemy oparte na identyfikatorze podmiotu prawnego / weryfikowalnym rodzaju identyfikatora podmiotu prawnego należy oceniać jako narzędzia klasy infrastrukturalnej; wzywa Komisję do współpracy z europejskimi i międzynarodowymi organami normalizacyjnymi w celu opracowania wspólnych </w:t>
      </w:r>
      <w:r w:rsidR="00E553E0" w:rsidRPr="00547FA5">
        <w:lastRenderedPageBreak/>
        <w:t>standardów technicznych i protokołów dotyczących aktywów cyfrowych, inteligentnych umów i tożsamości cyfrowych;</w:t>
      </w:r>
    </w:p>
    <w:p w14:paraId="4C98F103" w14:textId="504814AF" w:rsidR="00E553E0" w:rsidRPr="00547FA5" w:rsidRDefault="00FD43E2" w:rsidP="00E553E0">
      <w:pPr>
        <w:pStyle w:val="NormalHanging12a"/>
      </w:pPr>
      <w:r>
        <w:t>25</w:t>
      </w:r>
      <w:r w:rsidR="00E553E0" w:rsidRPr="00547FA5">
        <w:t>.</w:t>
      </w:r>
      <w:r w:rsidR="00E553E0" w:rsidRPr="00547FA5">
        <w:tab/>
        <w:t>z zadowoleniem przyjmuje toczące się dyskusje nad cyfrowym euro, w tym przygotowania do jego wykorzystania zarówno w sektorze detalicznym, jak i hurtowym, oraz popiera realizowane obecnie projekty DLT w ramach ścieżki krótkoterminowej (</w:t>
      </w:r>
      <w:proofErr w:type="spellStart"/>
      <w:r w:rsidR="00E553E0" w:rsidRPr="00547FA5">
        <w:t>Pontes</w:t>
      </w:r>
      <w:proofErr w:type="spellEnd"/>
      <w:r w:rsidR="00E553E0" w:rsidRPr="00547FA5">
        <w:t>) i długoterminowej (</w:t>
      </w:r>
      <w:proofErr w:type="spellStart"/>
      <w:r w:rsidR="00E553E0" w:rsidRPr="00547FA5">
        <w:t>Appia</w:t>
      </w:r>
      <w:proofErr w:type="spellEnd"/>
      <w:r w:rsidR="00E553E0" w:rsidRPr="00547FA5">
        <w:t>) dotyczące rozrachunku pieniądza banku centralnego w ujęciu hurtowym; apeluje do Komisji i EBC o zapewnienie, aby przyszłe rozwiązania w zakresie cyfrowego euro były zaprojektowane w sposób sprzyjający interoperacyjności z infrastrukturą DLT i gwarantujący komplementarność z gotówką;</w:t>
      </w:r>
    </w:p>
    <w:p w14:paraId="2262E2EC" w14:textId="03C20AE0" w:rsidR="00E553E0" w:rsidRPr="00547FA5" w:rsidRDefault="00FD43E2" w:rsidP="00E553E0">
      <w:pPr>
        <w:pStyle w:val="NormalHanging12a"/>
      </w:pPr>
      <w:r>
        <w:t>26</w:t>
      </w:r>
      <w:r w:rsidR="00E553E0" w:rsidRPr="00547FA5">
        <w:t>.</w:t>
      </w:r>
      <w:r w:rsidR="00E553E0" w:rsidRPr="00547FA5">
        <w:tab/>
        <w:t>ubolewa nad zależnością UE od dostawców usług w zakresie infrastruktury DLT spoza UE; podkreśla, że należy z ostrożnością monitorować sposób traktowania aktywów cyfrowych przez administrację USA;</w:t>
      </w:r>
    </w:p>
    <w:p w14:paraId="46A8419D" w14:textId="2BD8C4AB" w:rsidR="00E553E0" w:rsidRPr="00547FA5" w:rsidRDefault="00FD43E2" w:rsidP="00E553E0">
      <w:pPr>
        <w:pStyle w:val="NormalHanging12a"/>
      </w:pPr>
      <w:r>
        <w:t>27</w:t>
      </w:r>
      <w:r w:rsidR="00E553E0" w:rsidRPr="00547FA5">
        <w:t>.</w:t>
      </w:r>
      <w:r w:rsidR="00E553E0" w:rsidRPr="00547FA5">
        <w:tab/>
        <w:t xml:space="preserve">odnotowuje toczące się dyskusje na temat nadzoru nad dostawcami usług w zakresie </w:t>
      </w:r>
      <w:proofErr w:type="spellStart"/>
      <w:r w:rsidR="00E553E0" w:rsidRPr="00547FA5">
        <w:t>kryptoaktywów</w:t>
      </w:r>
      <w:proofErr w:type="spellEnd"/>
      <w:r w:rsidR="00E553E0" w:rsidRPr="00547FA5">
        <w:t xml:space="preserve"> w odniesieniu do roli ESMA w ramach pakietu dotyczącego integracji rynków i nadzoru;</w:t>
      </w:r>
    </w:p>
    <w:p w14:paraId="3FEA019F" w14:textId="77777777" w:rsidR="00E553E0" w:rsidRPr="00547FA5" w:rsidRDefault="00E553E0" w:rsidP="00E553E0">
      <w:pPr>
        <w:pStyle w:val="NormalCenter12a"/>
      </w:pPr>
      <w:r w:rsidRPr="00547FA5">
        <w:t>°</w:t>
      </w:r>
    </w:p>
    <w:p w14:paraId="0F4D0595" w14:textId="77777777" w:rsidR="00E553E0" w:rsidRPr="00547FA5" w:rsidRDefault="00E553E0" w:rsidP="00E553E0">
      <w:pPr>
        <w:pStyle w:val="NormalCenter12a"/>
      </w:pPr>
      <w:r w:rsidRPr="00547FA5">
        <w:t>°</w:t>
      </w:r>
      <w:r w:rsidRPr="00547FA5">
        <w:tab/>
        <w:t>°</w:t>
      </w:r>
    </w:p>
    <w:p w14:paraId="18DBF049" w14:textId="498BF318" w:rsidR="00547FA5" w:rsidRPr="00547FA5" w:rsidRDefault="00FD43E2" w:rsidP="00547FA5">
      <w:pPr>
        <w:pStyle w:val="NormalHanging12a"/>
      </w:pPr>
      <w:r>
        <w:t>28</w:t>
      </w:r>
      <w:r w:rsidR="00E553E0" w:rsidRPr="00547FA5">
        <w:t>.</w:t>
      </w:r>
      <w:r w:rsidR="00E553E0" w:rsidRPr="00547FA5">
        <w:tab/>
        <w:t>zobowiązuje swoją przewodniczącą do przekazania niniejszej rezolucji Radzie i Komisji.</w:t>
      </w:r>
    </w:p>
    <w:p w14:paraId="659E51B5" w14:textId="5C23DC4C" w:rsidR="00E365E1" w:rsidRPr="00547FA5" w:rsidRDefault="00E365E1" w:rsidP="00F83D79"/>
    <w:sectPr w:rsidR="00E365E1" w:rsidRPr="00547FA5" w:rsidSect="00547F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7B009" w14:textId="77777777" w:rsidR="00F83D79" w:rsidRPr="00547FA5" w:rsidRDefault="00F83D79">
      <w:r w:rsidRPr="00547FA5">
        <w:separator/>
      </w:r>
    </w:p>
  </w:endnote>
  <w:endnote w:type="continuationSeparator" w:id="0">
    <w:p w14:paraId="246B392E" w14:textId="77777777" w:rsidR="00F83D79" w:rsidRPr="00547FA5" w:rsidRDefault="00F83D79">
      <w:r w:rsidRPr="00547F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1DC5" w14:textId="77777777" w:rsidR="00064002" w:rsidRPr="00547F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1C34" w14:textId="77777777" w:rsidR="00064002" w:rsidRPr="00547F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50FA8" w14:textId="77777777" w:rsidR="00064002" w:rsidRPr="00547F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64FF1" w14:textId="77777777" w:rsidR="00F83D79" w:rsidRPr="00547FA5" w:rsidRDefault="00F83D79">
      <w:r w:rsidRPr="00547FA5">
        <w:separator/>
      </w:r>
    </w:p>
  </w:footnote>
  <w:footnote w:type="continuationSeparator" w:id="0">
    <w:p w14:paraId="4FA5B859" w14:textId="77777777" w:rsidR="00F83D79" w:rsidRPr="00547FA5" w:rsidRDefault="00F83D79">
      <w:r w:rsidRPr="00547FA5">
        <w:continuationSeparator/>
      </w:r>
    </w:p>
  </w:footnote>
  <w:footnote w:id="1">
    <w:p w14:paraId="172D480E" w14:textId="5B5DC143" w:rsidR="008C1F2D" w:rsidRPr="00547FA5" w:rsidRDefault="008C1F2D" w:rsidP="00547FA5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47FA5">
        <w:rPr>
          <w:sz w:val="24"/>
          <w:lang w:val="pl-PL"/>
        </w:rPr>
        <w:t xml:space="preserve"> </w:t>
      </w:r>
      <w:r w:rsidRPr="00547FA5">
        <w:rPr>
          <w:sz w:val="24"/>
          <w:lang w:val="pl-PL"/>
        </w:rPr>
        <w:tab/>
        <w:t>Międzynarodowy Fundusz Walutowy, „</w:t>
      </w:r>
      <w:proofErr w:type="spellStart"/>
      <w:r w:rsidRPr="00547FA5">
        <w:rPr>
          <w:sz w:val="24"/>
          <w:lang w:val="pl-PL"/>
        </w:rPr>
        <w:t>Stablecoins</w:t>
      </w:r>
      <w:proofErr w:type="spellEnd"/>
      <w:r w:rsidRPr="00547FA5">
        <w:rPr>
          <w:sz w:val="24"/>
          <w:lang w:val="pl-PL"/>
        </w:rPr>
        <w:t xml:space="preserve"> and the </w:t>
      </w:r>
      <w:proofErr w:type="spellStart"/>
      <w:r w:rsidRPr="00547FA5">
        <w:rPr>
          <w:sz w:val="24"/>
          <w:lang w:val="pl-PL"/>
        </w:rPr>
        <w:t>future</w:t>
      </w:r>
      <w:proofErr w:type="spellEnd"/>
      <w:r w:rsidRPr="00547FA5">
        <w:rPr>
          <w:sz w:val="24"/>
          <w:lang w:val="pl-PL"/>
        </w:rPr>
        <w:t xml:space="preserve"> of </w:t>
      </w:r>
      <w:proofErr w:type="spellStart"/>
      <w:r w:rsidRPr="00547FA5">
        <w:rPr>
          <w:sz w:val="24"/>
          <w:lang w:val="pl-PL"/>
        </w:rPr>
        <w:t>finance</w:t>
      </w:r>
      <w:proofErr w:type="spellEnd"/>
      <w:r w:rsidRPr="00547FA5">
        <w:rPr>
          <w:sz w:val="24"/>
          <w:lang w:val="pl-PL"/>
        </w:rPr>
        <w:t xml:space="preserve">” [Stabilne </w:t>
      </w:r>
      <w:proofErr w:type="spellStart"/>
      <w:r w:rsidRPr="00547FA5">
        <w:rPr>
          <w:sz w:val="24"/>
          <w:lang w:val="pl-PL"/>
        </w:rPr>
        <w:t>kryptowaluty</w:t>
      </w:r>
      <w:proofErr w:type="spellEnd"/>
      <w:r w:rsidRPr="00547FA5">
        <w:rPr>
          <w:sz w:val="24"/>
          <w:lang w:val="pl-PL"/>
        </w:rPr>
        <w:t xml:space="preserve"> a przyszłość finansów], </w:t>
      </w:r>
      <w:r w:rsidRPr="00547FA5">
        <w:rPr>
          <w:i/>
          <w:sz w:val="24"/>
          <w:lang w:val="pl-PL"/>
        </w:rPr>
        <w:t>Finance &amp; Development</w:t>
      </w:r>
      <w:r w:rsidRPr="00547FA5">
        <w:rPr>
          <w:sz w:val="24"/>
          <w:lang w:val="pl-PL"/>
        </w:rPr>
        <w:t xml:space="preserve">, tom 62, wydanie 3, 3 września 2025 r., Międzynarodowy Fundusz Walutowy, Waszyngton, </w:t>
      </w:r>
      <w:hyperlink r:id="rId1" w:tgtFrame="https://doi.org/10.5089/9798400297649.022" w:history="1">
        <w:r w:rsidRPr="00547FA5">
          <w:rPr>
            <w:rStyle w:val="Hyperlink"/>
            <w:sz w:val="24"/>
            <w:lang w:val="pl-PL"/>
          </w:rPr>
          <w:t>https://doi.org/10.5089/9798400297649.022</w:t>
        </w:r>
      </w:hyperlink>
      <w:r w:rsidRPr="00547FA5">
        <w:rPr>
          <w:sz w:val="24"/>
          <w:lang w:val="pl-PL"/>
        </w:rPr>
        <w:t>.</w:t>
      </w:r>
    </w:p>
  </w:footnote>
  <w:footnote w:id="2">
    <w:p w14:paraId="1AAC73F9" w14:textId="23EEF3C7" w:rsidR="008C1F2D" w:rsidRPr="00547FA5" w:rsidRDefault="008C1F2D" w:rsidP="00547FA5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47FA5">
        <w:rPr>
          <w:sz w:val="24"/>
          <w:lang w:val="pl-PL"/>
        </w:rPr>
        <w:t xml:space="preserve"> </w:t>
      </w:r>
      <w:r w:rsidRPr="00547FA5">
        <w:rPr>
          <w:sz w:val="24"/>
          <w:lang w:val="pl-PL"/>
        </w:rPr>
        <w:tab/>
        <w:t>Dokumenty programowe OECD dotyczące biznesu i finansów, nr 75.</w:t>
      </w:r>
    </w:p>
  </w:footnote>
  <w:footnote w:id="3">
    <w:p w14:paraId="124D5C43" w14:textId="201ADB23" w:rsidR="008C1F2D" w:rsidRPr="00547FA5" w:rsidRDefault="008C1F2D" w:rsidP="00547FA5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47FA5">
        <w:rPr>
          <w:sz w:val="24"/>
          <w:lang w:val="pl-PL"/>
        </w:rPr>
        <w:t xml:space="preserve"> </w:t>
      </w:r>
      <w:r w:rsidRPr="00547FA5">
        <w:rPr>
          <w:sz w:val="24"/>
          <w:lang w:val="pl-PL"/>
        </w:rPr>
        <w:tab/>
        <w:t xml:space="preserve">Rozporządzenie Parlamentu Europejskiego i Rady (UE) 2022/858 z dnia 30 maja 2022 r. w sprawie systemu pilotażowego na potrzeby infrastruktur rynkowych opartych na technologii rozproszonego rejestru, a także zmiany rozporządzeń (UE) nr 600/2014 i (UE) nr 909/2014 oraz dyrektywy 2014/65/UE (Dz.U. L 151 z 2.6.2022, s. 1, ELI: </w:t>
      </w:r>
      <w:hyperlink r:id="rId2" w:tgtFrame="http://data.europa.eu/eli/reg/2022/858/oj" w:history="1">
        <w:r w:rsidRPr="00547FA5">
          <w:rPr>
            <w:rStyle w:val="Hyperlink"/>
            <w:sz w:val="24"/>
            <w:lang w:val="pl-PL"/>
          </w:rPr>
          <w:t>http://data.europa.eu/eli/reg/2022/858/oj)</w:t>
        </w:r>
      </w:hyperlink>
      <w:r w:rsidRPr="00547FA5">
        <w:rPr>
          <w:sz w:val="24"/>
          <w:lang w:val="pl-PL"/>
        </w:rPr>
        <w:t>.</w:t>
      </w:r>
    </w:p>
  </w:footnote>
  <w:footnote w:id="4">
    <w:p w14:paraId="278EDF88" w14:textId="0AF7B786" w:rsidR="008C1F2D" w:rsidRPr="00547FA5" w:rsidRDefault="008C1F2D" w:rsidP="00547FA5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47FA5">
        <w:rPr>
          <w:sz w:val="24"/>
          <w:lang w:val="pl-PL"/>
        </w:rPr>
        <w:t xml:space="preserve"> </w:t>
      </w:r>
      <w:r w:rsidRPr="00547FA5">
        <w:rPr>
          <w:sz w:val="24"/>
          <w:lang w:val="pl-PL"/>
        </w:rPr>
        <w:tab/>
        <w:t xml:space="preserve">Rozporządzenie Parlamentu Europejskiego i Rady (UE) 2023/1114 z dnia 31 maja 2023 r. w sprawie rynków </w:t>
      </w:r>
      <w:proofErr w:type="spellStart"/>
      <w:r w:rsidRPr="00547FA5">
        <w:rPr>
          <w:sz w:val="24"/>
          <w:lang w:val="pl-PL"/>
        </w:rPr>
        <w:t>kryptoaktywów</w:t>
      </w:r>
      <w:proofErr w:type="spellEnd"/>
      <w:r w:rsidRPr="00547FA5">
        <w:rPr>
          <w:sz w:val="24"/>
          <w:lang w:val="pl-PL"/>
        </w:rPr>
        <w:t xml:space="preserve"> oraz zmiany rozporządzeń (UE) nr 1093/2010 i (UE) nr 1095/2010 oraz dyrektyw 2013/36/UE i (UE) 2019/1937 (Dz.U. L 150 z 9.6.2023, s. 40, ELI: </w:t>
      </w:r>
      <w:hyperlink r:id="rId3" w:tgtFrame="http://data.europa.eu/eli/reg/2023/1114/oj" w:history="1">
        <w:r w:rsidRPr="00547FA5">
          <w:rPr>
            <w:rStyle w:val="Hyperlink"/>
            <w:sz w:val="24"/>
            <w:lang w:val="pl-PL"/>
          </w:rPr>
          <w:t>http://data.europa.eu/eli/reg/2023/1114/oj</w:t>
        </w:r>
      </w:hyperlink>
      <w:r w:rsidRPr="00547FA5">
        <w:rPr>
          <w:sz w:val="24"/>
          <w:lang w:val="pl-PL"/>
        </w:rPr>
        <w:t>).</w:t>
      </w:r>
    </w:p>
  </w:footnote>
  <w:footnote w:id="5">
    <w:p w14:paraId="7B7A3589" w14:textId="2EAEEB14" w:rsidR="008C1F2D" w:rsidRPr="00547FA5" w:rsidRDefault="008C1F2D" w:rsidP="00547FA5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47FA5">
        <w:rPr>
          <w:sz w:val="24"/>
          <w:lang w:val="pl-PL"/>
        </w:rPr>
        <w:t xml:space="preserve"> </w:t>
      </w:r>
      <w:r w:rsidRPr="00547FA5">
        <w:rPr>
          <w:sz w:val="24"/>
          <w:lang w:val="pl-PL"/>
        </w:rPr>
        <w:tab/>
        <w:t xml:space="preserve">Rozporządzenie Parlamentu Europejskiego i Rady (UE) 2023/1113 z dnia 31 maja 2023 r. w sprawie informacji towarzyszących transferom środków pieniężnych i niektórych </w:t>
      </w:r>
      <w:proofErr w:type="spellStart"/>
      <w:r w:rsidRPr="00547FA5">
        <w:rPr>
          <w:sz w:val="24"/>
          <w:lang w:val="pl-PL"/>
        </w:rPr>
        <w:t>kryptoaktywów</w:t>
      </w:r>
      <w:proofErr w:type="spellEnd"/>
      <w:r w:rsidRPr="00547FA5">
        <w:rPr>
          <w:sz w:val="24"/>
          <w:lang w:val="pl-PL"/>
        </w:rPr>
        <w:t xml:space="preserve"> oraz zmiany dyrektywy (UE) 2015/849 (Dz.U. L 150, s. 1, ELI: </w:t>
      </w:r>
      <w:hyperlink r:id="rId4" w:tgtFrame="http://data.europa.eu/eli/reg/2023/1113/oj" w:history="1">
        <w:r w:rsidRPr="00547FA5">
          <w:rPr>
            <w:rStyle w:val="Hyperlink"/>
            <w:sz w:val="24"/>
            <w:lang w:val="pl-PL"/>
          </w:rPr>
          <w:t>http://data.europa.eu/eli/reg/2023/1113/oj</w:t>
        </w:r>
      </w:hyperlink>
      <w:r w:rsidRPr="00547FA5">
        <w:rPr>
          <w:sz w:val="24"/>
          <w:lang w:val="pl-PL"/>
        </w:rPr>
        <w:t>).</w:t>
      </w:r>
    </w:p>
  </w:footnote>
  <w:footnote w:id="6">
    <w:p w14:paraId="06A5A80A" w14:textId="3A3CD764" w:rsidR="008C1F2D" w:rsidRPr="00547FA5" w:rsidRDefault="008C1F2D" w:rsidP="00547FA5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47FA5">
        <w:rPr>
          <w:sz w:val="24"/>
          <w:lang w:val="pl-PL"/>
        </w:rPr>
        <w:t xml:space="preserve"> </w:t>
      </w:r>
      <w:r w:rsidRPr="00547FA5">
        <w:rPr>
          <w:sz w:val="24"/>
          <w:lang w:val="pl-PL"/>
        </w:rPr>
        <w:tab/>
        <w:t>Wniosek Komisji z dnia 28 czerwca 2023 r. dotyczący dyrektywy Parlamentu Europejskiego i Rady w sprawie usług płatniczych i usług związanych z pieniądzem elektronicznym w ramach rynku wewnętrznego, zmieniającej dyrektywę 98/26/WE i uchylającej dyrektywy (UE) 2015/2366 i 2009/110/WE (COM(2023)0366).</w:t>
      </w:r>
    </w:p>
  </w:footnote>
  <w:footnote w:id="7">
    <w:p w14:paraId="26950BD2" w14:textId="57FEA2B1" w:rsidR="008C1F2D" w:rsidRPr="00547FA5" w:rsidRDefault="008C1F2D" w:rsidP="00547FA5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547FA5">
        <w:rPr>
          <w:sz w:val="24"/>
          <w:lang w:val="pl-PL"/>
        </w:rPr>
        <w:t xml:space="preserve"> </w:t>
      </w:r>
      <w:r w:rsidRPr="00547FA5">
        <w:rPr>
          <w:sz w:val="24"/>
          <w:lang w:val="pl-PL"/>
        </w:rPr>
        <w:tab/>
        <w:t>Wniosek Komisji z dnia 28 czerwca 2023 r. dotyczący rozporządzenia Parlamentu Europejskiego i Rady w sprawie usług płatniczych w ramach rynku wewnętrznego i zmieniającego rozporządzenie (UE) nr 1093/2010 (COM(2023)0367).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C96A" w14:textId="77777777" w:rsidR="00064002" w:rsidRPr="00547F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0D05" w14:textId="77777777" w:rsidR="00064002" w:rsidRPr="00547F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29F79" w14:textId="77777777" w:rsidR="00064002" w:rsidRPr="00547F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3502115">
    <w:abstractNumId w:val="9"/>
  </w:num>
  <w:num w:numId="2" w16cid:durableId="119886164">
    <w:abstractNumId w:val="9"/>
  </w:num>
  <w:num w:numId="3" w16cid:durableId="1719939294">
    <w:abstractNumId w:val="7"/>
  </w:num>
  <w:num w:numId="4" w16cid:durableId="1739939121">
    <w:abstractNumId w:val="7"/>
  </w:num>
  <w:num w:numId="5" w16cid:durableId="1108231539">
    <w:abstractNumId w:val="6"/>
  </w:num>
  <w:num w:numId="6" w16cid:durableId="2006200890">
    <w:abstractNumId w:val="6"/>
  </w:num>
  <w:num w:numId="7" w16cid:durableId="2108692467">
    <w:abstractNumId w:val="5"/>
  </w:num>
  <w:num w:numId="8" w16cid:durableId="817451942">
    <w:abstractNumId w:val="5"/>
  </w:num>
  <w:num w:numId="9" w16cid:durableId="377051165">
    <w:abstractNumId w:val="4"/>
  </w:num>
  <w:num w:numId="10" w16cid:durableId="623775327">
    <w:abstractNumId w:val="4"/>
  </w:num>
  <w:num w:numId="11" w16cid:durableId="1956326842">
    <w:abstractNumId w:val="8"/>
  </w:num>
  <w:num w:numId="12" w16cid:durableId="1991976071">
    <w:abstractNumId w:val="8"/>
  </w:num>
  <w:num w:numId="13" w16cid:durableId="350224494">
    <w:abstractNumId w:val="3"/>
  </w:num>
  <w:num w:numId="14" w16cid:durableId="1395666422">
    <w:abstractNumId w:val="3"/>
  </w:num>
  <w:num w:numId="15" w16cid:durableId="2131389934">
    <w:abstractNumId w:val="2"/>
  </w:num>
  <w:num w:numId="16" w16cid:durableId="1825312552">
    <w:abstractNumId w:val="2"/>
  </w:num>
  <w:num w:numId="17" w16cid:durableId="1826898125">
    <w:abstractNumId w:val="1"/>
  </w:num>
  <w:num w:numId="18" w16cid:durableId="1139612640">
    <w:abstractNumId w:val="1"/>
  </w:num>
  <w:num w:numId="19" w16cid:durableId="426390569">
    <w:abstractNumId w:val="0"/>
  </w:num>
  <w:num w:numId="20" w16cid:durableId="2064522928">
    <w:abstractNumId w:val="0"/>
  </w:num>
  <w:num w:numId="21" w16cid:durableId="742994947">
    <w:abstractNumId w:val="9"/>
  </w:num>
  <w:num w:numId="22" w16cid:durableId="1654218806">
    <w:abstractNumId w:val="7"/>
  </w:num>
  <w:num w:numId="23" w16cid:durableId="834996974">
    <w:abstractNumId w:val="6"/>
  </w:num>
  <w:num w:numId="24" w16cid:durableId="448085913">
    <w:abstractNumId w:val="5"/>
  </w:num>
  <w:num w:numId="25" w16cid:durableId="203564484">
    <w:abstractNumId w:val="4"/>
  </w:num>
  <w:num w:numId="26" w16cid:durableId="1764765624">
    <w:abstractNumId w:val="8"/>
  </w:num>
  <w:num w:numId="27" w16cid:durableId="1140805311">
    <w:abstractNumId w:val="3"/>
  </w:num>
  <w:num w:numId="28" w16cid:durableId="951471086">
    <w:abstractNumId w:val="2"/>
  </w:num>
  <w:num w:numId="29" w16cid:durableId="1091781775">
    <w:abstractNumId w:val="1"/>
  </w:num>
  <w:num w:numId="30" w16cid:durableId="780076704">
    <w:abstractNumId w:val="0"/>
  </w:num>
  <w:num w:numId="31" w16cid:durableId="397672728">
    <w:abstractNumId w:val="9"/>
  </w:num>
  <w:num w:numId="32" w16cid:durableId="997807573">
    <w:abstractNumId w:val="7"/>
  </w:num>
  <w:num w:numId="33" w16cid:durableId="1638104191">
    <w:abstractNumId w:val="6"/>
  </w:num>
  <w:num w:numId="34" w16cid:durableId="1811825135">
    <w:abstractNumId w:val="5"/>
  </w:num>
  <w:num w:numId="35" w16cid:durableId="2126268158">
    <w:abstractNumId w:val="4"/>
  </w:num>
  <w:num w:numId="36" w16cid:durableId="1518621393">
    <w:abstractNumId w:val="8"/>
  </w:num>
  <w:num w:numId="37" w16cid:durableId="2017029269">
    <w:abstractNumId w:val="3"/>
  </w:num>
  <w:num w:numId="38" w16cid:durableId="1349601131">
    <w:abstractNumId w:val="2"/>
  </w:num>
  <w:num w:numId="39" w16cid:durableId="1860001568">
    <w:abstractNumId w:val="1"/>
  </w:num>
  <w:num w:numId="40" w16cid:durableId="637342098">
    <w:abstractNumId w:val="0"/>
  </w:num>
  <w:num w:numId="41" w16cid:durableId="258103981">
    <w:abstractNumId w:val="10"/>
  </w:num>
  <w:num w:numId="42" w16cid:durableId="165022922">
    <w:abstractNumId w:val="10"/>
  </w:num>
  <w:num w:numId="43" w16cid:durableId="840042728">
    <w:abstractNumId w:val="10"/>
  </w:num>
  <w:num w:numId="44" w16cid:durableId="20451345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6"/>
    <w:docVar w:name="dvlangue" w:val="PL"/>
    <w:docVar w:name="dvnumam" w:val="0"/>
    <w:docVar w:name="dvpe" w:val="784.381"/>
    <w:docVar w:name="dvrapporteur" w:val="Sprawozdawca: "/>
    <w:docVar w:name="dvstar" w:val="??"/>
    <w:docVar w:name="dvtitre" w:val="Rezolucja Parlamentu Europejskiego z dnia  2026 r. w sprawie aktywów cyfrowych – wyzwania dla konkurencyjności i integralności systemu finansowego Unii Europejskiej(2025/2208(INI))"/>
  </w:docVars>
  <w:rsids>
    <w:rsidRoot w:val="00F83D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0AE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FA5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F2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3E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D79"/>
    <w:rsid w:val="00F87713"/>
    <w:rsid w:val="00FB4360"/>
    <w:rsid w:val="00FD0C70"/>
    <w:rsid w:val="00FD43E2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3095E"/>
  <w15:chartTrackingRefBased/>
  <w15:docId w15:val="{6FC4114B-85C1-4842-9AE8-F4462E02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553E0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553E0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553E0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553E0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553E0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553E0"/>
    <w:rPr>
      <w:color w:val="0000FF"/>
      <w:u w:val="single"/>
    </w:rPr>
  </w:style>
  <w:style w:type="paragraph" w:styleId="Revision">
    <w:name w:val="Revision"/>
    <w:hidden/>
    <w:uiPriority w:val="99"/>
    <w:semiHidden/>
    <w:rsid w:val="008C1F2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1114/oj" TargetMode="External"/><Relationship Id="rId2" Type="http://schemas.openxmlformats.org/officeDocument/2006/relationships/hyperlink" Target="http://data.europa.eu/eli/reg/2022/858/oj" TargetMode="External"/><Relationship Id="rId1" Type="http://schemas.openxmlformats.org/officeDocument/2006/relationships/hyperlink" Target="https://doi.org/10.5089/9798400297649.022" TargetMode="External"/><Relationship Id="rId4" Type="http://schemas.openxmlformats.org/officeDocument/2006/relationships/hyperlink" Target="http://data.europa.eu/eli/reg/2023/11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2417</Words>
  <Characters>17030</Characters>
  <Application>Microsoft Office Word</Application>
  <DocSecurity>0</DocSecurity>
  <Lines>141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2026-07-07T16:03:00Z</dcterms:created>
  <dcterms:modified xsi:type="dcterms:W3CDTF">2026-07-07T16:03:00Z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A10-0186/2026</vt:lpwstr>
  </property>
  <property fmtid="{D5CDD505-2E9C-101B-9397-08002B2CF9AE}" pid="4" name="&lt;Type&gt;">
    <vt:lpwstr>RR</vt:lpwstr>
  </property>
</Properties>
</file>