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C4B5B" w14:paraId="1062959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B3E7D2C" w14:textId="7CE1EED8" w:rsidR="00751A4A" w:rsidRPr="00FC4B5B" w:rsidRDefault="00860BDB" w:rsidP="0010095E">
            <w:pPr>
              <w:pStyle w:val="EPName"/>
            </w:pPr>
            <w:r w:rsidRPr="00FC4B5B">
              <w:t xml:space="preserve">Parlamento </w:t>
            </w:r>
            <w:proofErr w:type="gramStart"/>
            <w:r w:rsidRPr="00FC4B5B">
              <w:t>Europeu</w:t>
            </w:r>
            <w:proofErr w:type="gramEnd"/>
          </w:p>
          <w:p w14:paraId="3754DC2C" w14:textId="77777777" w:rsidR="00751A4A" w:rsidRPr="00FC4B5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C4B5B">
              <w:t>2024</w:t>
            </w:r>
            <w:r w:rsidR="00817416" w:rsidRPr="00FC4B5B">
              <w:t>-202</w:t>
            </w:r>
            <w:r w:rsidRPr="00FC4B5B">
              <w:t>9</w:t>
            </w:r>
          </w:p>
        </w:tc>
        <w:tc>
          <w:tcPr>
            <w:tcW w:w="2268" w:type="dxa"/>
            <w:shd w:val="clear" w:color="auto" w:fill="auto"/>
          </w:tcPr>
          <w:p w14:paraId="4D8F5FFF" w14:textId="77777777" w:rsidR="00751A4A" w:rsidRPr="00FC4B5B" w:rsidRDefault="00187494" w:rsidP="0010095E">
            <w:pPr>
              <w:pStyle w:val="EPLogo"/>
            </w:pPr>
            <w:r w:rsidRPr="00FC4B5B">
              <w:rPr>
                <w:noProof/>
                <w:lang w:eastAsia="ja-JP"/>
              </w:rPr>
              <w:drawing>
                <wp:inline distT="0" distB="0" distL="0" distR="0" wp14:anchorId="514F5D27" wp14:editId="6CB594A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10FD5F" w14:textId="77777777" w:rsidR="00D058B8" w:rsidRPr="00FC4B5B" w:rsidRDefault="00D058B8" w:rsidP="004C5D52">
      <w:pPr>
        <w:pStyle w:val="LineTop"/>
      </w:pPr>
    </w:p>
    <w:p w14:paraId="73D4FE99" w14:textId="1F1AA56A" w:rsidR="00680577" w:rsidRPr="00FC4B5B" w:rsidRDefault="00860BDB" w:rsidP="00680577">
      <w:pPr>
        <w:pStyle w:val="EPBodyTA1"/>
      </w:pPr>
      <w:r w:rsidRPr="00FC4B5B">
        <w:t>TEXTOS APROVADOS</w:t>
      </w:r>
    </w:p>
    <w:p w14:paraId="4D3832A9" w14:textId="77777777" w:rsidR="00D058B8" w:rsidRPr="00FC4B5B" w:rsidRDefault="00D058B8" w:rsidP="00D058B8">
      <w:pPr>
        <w:pStyle w:val="LineBottom"/>
      </w:pPr>
    </w:p>
    <w:p w14:paraId="0CBB9A0E" w14:textId="01403D2B" w:rsidR="00860BDB" w:rsidRPr="00FC4B5B" w:rsidRDefault="00860BDB" w:rsidP="00860BDB">
      <w:pPr>
        <w:pStyle w:val="ATHeading1"/>
      </w:pPr>
      <w:bookmarkStart w:id="0" w:name="TANumber"/>
      <w:r w:rsidRPr="00FC4B5B">
        <w:t>P10_</w:t>
      </w:r>
      <w:proofErr w:type="gramStart"/>
      <w:r w:rsidRPr="00FC4B5B">
        <w:t>TA(</w:t>
      </w:r>
      <w:proofErr w:type="gramEnd"/>
      <w:r w:rsidRPr="00FC4B5B">
        <w:t>2026)</w:t>
      </w:r>
      <w:bookmarkEnd w:id="0"/>
      <w:r w:rsidR="00A35B26" w:rsidRPr="00FC4B5B">
        <w:t>0251</w:t>
      </w:r>
    </w:p>
    <w:p w14:paraId="420781AF" w14:textId="1877537F" w:rsidR="00860BDB" w:rsidRPr="00FC4B5B" w:rsidRDefault="00860BDB" w:rsidP="00860BDB">
      <w:pPr>
        <w:pStyle w:val="ATHeading2"/>
      </w:pPr>
      <w:bookmarkStart w:id="1" w:name="title"/>
      <w:r w:rsidRPr="00FC4B5B">
        <w:t xml:space="preserve">Ativos digitais </w:t>
      </w:r>
      <w:r w:rsidR="004C1561" w:rsidRPr="00FC4B5B">
        <w:t xml:space="preserve">– </w:t>
      </w:r>
      <w:r w:rsidRPr="00FC4B5B">
        <w:t>desafios à competitividade e integridade do sistema financeiro da União Europeia</w:t>
      </w:r>
      <w:bookmarkEnd w:id="1"/>
    </w:p>
    <w:p w14:paraId="4919EB59" w14:textId="77777777" w:rsidR="00860BDB" w:rsidRPr="00FC4B5B" w:rsidRDefault="00860BDB" w:rsidP="00860BDB">
      <w:pPr>
        <w:rPr>
          <w:i/>
          <w:vanish/>
        </w:rPr>
      </w:pPr>
      <w:r w:rsidRPr="00FC4B5B">
        <w:rPr>
          <w:i/>
        </w:rPr>
        <w:fldChar w:fldCharType="begin"/>
      </w:r>
      <w:r w:rsidRPr="00FC4B5B">
        <w:rPr>
          <w:i/>
        </w:rPr>
        <w:instrText xml:space="preserve"> TC"(</w:instrText>
      </w:r>
      <w:bookmarkStart w:id="2" w:name="DocNumber"/>
      <w:r w:rsidRPr="00FC4B5B">
        <w:rPr>
          <w:i/>
        </w:rPr>
        <w:instrText>A10-0186/2026</w:instrText>
      </w:r>
      <w:bookmarkEnd w:id="2"/>
      <w:r w:rsidRPr="00FC4B5B">
        <w:rPr>
          <w:i/>
        </w:rPr>
        <w:instrText xml:space="preserve"> - Relator: </w:instrText>
      </w:r>
      <w:proofErr w:type="spellStart"/>
      <w:r w:rsidRPr="00FC4B5B">
        <w:rPr>
          <w:i/>
        </w:rPr>
        <w:instrText>Johan</w:instrText>
      </w:r>
      <w:proofErr w:type="spellEnd"/>
      <w:r w:rsidRPr="00FC4B5B">
        <w:rPr>
          <w:i/>
        </w:rPr>
        <w:instrText xml:space="preserve"> Van </w:instrText>
      </w:r>
      <w:proofErr w:type="spellStart"/>
      <w:r w:rsidRPr="00FC4B5B">
        <w:rPr>
          <w:i/>
        </w:rPr>
        <w:instrText>Overtveldt</w:instrText>
      </w:r>
      <w:proofErr w:type="spellEnd"/>
      <w:r w:rsidRPr="00FC4B5B">
        <w:rPr>
          <w:i/>
        </w:rPr>
        <w:instrText xml:space="preserve">)"\l3 \n&gt; \* MERGEFORMAT </w:instrText>
      </w:r>
      <w:r w:rsidRPr="00FC4B5B">
        <w:rPr>
          <w:i/>
        </w:rPr>
        <w:fldChar w:fldCharType="end"/>
      </w:r>
    </w:p>
    <w:p w14:paraId="7EB982C2" w14:textId="77777777" w:rsidR="00860BDB" w:rsidRPr="00FC4B5B" w:rsidRDefault="00860BDB" w:rsidP="00860BDB">
      <w:pPr>
        <w:rPr>
          <w:vanish/>
        </w:rPr>
      </w:pPr>
      <w:bookmarkStart w:id="3" w:name="Commission"/>
      <w:r w:rsidRPr="00FC4B5B">
        <w:rPr>
          <w:vanish/>
        </w:rPr>
        <w:t>Comissão dos Assuntos Económicos e Monetários</w:t>
      </w:r>
      <w:bookmarkEnd w:id="3"/>
    </w:p>
    <w:p w14:paraId="07821073" w14:textId="77777777" w:rsidR="00860BDB" w:rsidRPr="00FC4B5B" w:rsidRDefault="00860BDB" w:rsidP="00860BDB">
      <w:pPr>
        <w:rPr>
          <w:vanish/>
        </w:rPr>
      </w:pPr>
      <w:bookmarkStart w:id="4" w:name="PE"/>
      <w:r w:rsidRPr="00FC4B5B">
        <w:rPr>
          <w:vanish/>
        </w:rPr>
        <w:t>PE784.381</w:t>
      </w:r>
      <w:bookmarkEnd w:id="4"/>
    </w:p>
    <w:p w14:paraId="50E6B537" w14:textId="2915DF5B" w:rsidR="00860BDB" w:rsidRPr="00FC4B5B" w:rsidRDefault="00860BDB" w:rsidP="00860BDB">
      <w:pPr>
        <w:pStyle w:val="ATHeading3"/>
      </w:pPr>
      <w:bookmarkStart w:id="5" w:name="Sujet"/>
      <w:r w:rsidRPr="00FC4B5B">
        <w:t xml:space="preserve">Resolução do Parlamento Europeu, de </w:t>
      </w:r>
      <w:r w:rsidR="004C1561" w:rsidRPr="00FC4B5B">
        <w:t xml:space="preserve">7 </w:t>
      </w:r>
      <w:r w:rsidRPr="00FC4B5B">
        <w:t xml:space="preserve">de </w:t>
      </w:r>
      <w:r w:rsidR="004C1561" w:rsidRPr="00FC4B5B">
        <w:t xml:space="preserve">julho </w:t>
      </w:r>
      <w:r w:rsidRPr="00FC4B5B">
        <w:t xml:space="preserve">de 2026, sobre ativos digitais </w:t>
      </w:r>
      <w:r w:rsidR="004C1561" w:rsidRPr="00FC4B5B">
        <w:t xml:space="preserve">– </w:t>
      </w:r>
      <w:r w:rsidRPr="00FC4B5B">
        <w:t>desafios à competitividade e integridade do sistema financeiro da União Europeia</w:t>
      </w:r>
      <w:bookmarkEnd w:id="5"/>
      <w:r w:rsidRPr="00FC4B5B">
        <w:t xml:space="preserve"> </w:t>
      </w:r>
      <w:bookmarkStart w:id="6" w:name="References"/>
      <w:r w:rsidRPr="00FC4B5B">
        <w:t>(2025/2208(INI))</w:t>
      </w:r>
      <w:bookmarkEnd w:id="6"/>
    </w:p>
    <w:p w14:paraId="0E7CE76B" w14:textId="77777777" w:rsidR="00AB4682" w:rsidRPr="00FC4B5B" w:rsidRDefault="00AB4682" w:rsidP="00A35B26">
      <w:pPr>
        <w:pStyle w:val="Normal12"/>
        <w:spacing w:before="480"/>
        <w:rPr>
          <w:i/>
          <w:iCs/>
        </w:rPr>
      </w:pPr>
      <w:r w:rsidRPr="00FC4B5B">
        <w:rPr>
          <w:i/>
          <w:iCs/>
        </w:rPr>
        <w:t>O Parlamento Europeu,</w:t>
      </w:r>
    </w:p>
    <w:p w14:paraId="68C6A506" w14:textId="77777777" w:rsidR="00AB4682" w:rsidRPr="00FC4B5B" w:rsidRDefault="00AB4682" w:rsidP="00AB4682">
      <w:pPr>
        <w:pStyle w:val="NormalHanging"/>
      </w:pPr>
      <w:r w:rsidRPr="00FC4B5B">
        <w:t>–</w:t>
      </w:r>
      <w:r w:rsidRPr="00FC4B5B">
        <w:tab/>
        <w:t xml:space="preserve">Tendo em conta a Financial </w:t>
      </w:r>
      <w:proofErr w:type="spellStart"/>
      <w:r w:rsidRPr="00FC4B5B">
        <w:t>Stability</w:t>
      </w:r>
      <w:proofErr w:type="spellEnd"/>
      <w:r w:rsidRPr="00FC4B5B">
        <w:t xml:space="preserve"> </w:t>
      </w:r>
      <w:proofErr w:type="spellStart"/>
      <w:r w:rsidRPr="00FC4B5B">
        <w:t>Review</w:t>
      </w:r>
      <w:proofErr w:type="spellEnd"/>
      <w:r w:rsidRPr="00FC4B5B">
        <w:t xml:space="preserve"> [análise da estabilidade financeira] do Banco Central Europeu (BCE) de novembro de 2025,</w:t>
      </w:r>
    </w:p>
    <w:p w14:paraId="27B5B704" w14:textId="77777777" w:rsidR="00AB4682" w:rsidRPr="00FC4B5B" w:rsidRDefault="00AB4682" w:rsidP="00AB4682">
      <w:pPr>
        <w:pStyle w:val="NormalHanging"/>
      </w:pPr>
      <w:r w:rsidRPr="00FC4B5B">
        <w:t>–</w:t>
      </w:r>
      <w:r w:rsidRPr="00FC4B5B">
        <w:tab/>
        <w:t>Tendo em conta o documento de trabalho n.º 3199 do Banco Central Europeu (BCE), de 3 de março de 2026, intitulado «</w:t>
      </w:r>
      <w:proofErr w:type="spellStart"/>
      <w:r w:rsidRPr="00FC4B5B">
        <w:t>Stablecoins</w:t>
      </w:r>
      <w:proofErr w:type="spellEnd"/>
      <w:r w:rsidRPr="00FC4B5B">
        <w:t xml:space="preserve"> </w:t>
      </w:r>
      <w:proofErr w:type="spellStart"/>
      <w:r w:rsidRPr="00FC4B5B">
        <w:t>and</w:t>
      </w:r>
      <w:proofErr w:type="spellEnd"/>
      <w:r w:rsidRPr="00FC4B5B">
        <w:t xml:space="preserve"> </w:t>
      </w:r>
      <w:proofErr w:type="spellStart"/>
      <w:r w:rsidRPr="00FC4B5B">
        <w:t>monetary</w:t>
      </w:r>
      <w:proofErr w:type="spellEnd"/>
      <w:r w:rsidRPr="00FC4B5B">
        <w:t xml:space="preserve"> </w:t>
      </w:r>
      <w:proofErr w:type="spellStart"/>
      <w:r w:rsidRPr="00FC4B5B">
        <w:t>policy</w:t>
      </w:r>
      <w:proofErr w:type="spellEnd"/>
      <w:r w:rsidRPr="00FC4B5B">
        <w:t xml:space="preserve"> </w:t>
      </w:r>
      <w:proofErr w:type="spellStart"/>
      <w:r w:rsidRPr="00FC4B5B">
        <w:t>transmission</w:t>
      </w:r>
      <w:proofErr w:type="spellEnd"/>
      <w:r w:rsidRPr="00FC4B5B">
        <w:t>» [</w:t>
      </w:r>
      <w:proofErr w:type="spellStart"/>
      <w:r w:rsidRPr="00FC4B5B">
        <w:t>Criptomoedas</w:t>
      </w:r>
      <w:proofErr w:type="spellEnd"/>
      <w:r w:rsidRPr="00FC4B5B">
        <w:t xml:space="preserve"> estáveis e transmissão da política monetária],</w:t>
      </w:r>
    </w:p>
    <w:p w14:paraId="013AD425" w14:textId="77777777" w:rsidR="00AB4682" w:rsidRPr="00FC4B5B" w:rsidRDefault="00AB4682" w:rsidP="00AB4682">
      <w:pPr>
        <w:pStyle w:val="NormalHanging"/>
      </w:pPr>
      <w:r w:rsidRPr="00FC4B5B">
        <w:t>–</w:t>
      </w:r>
      <w:r w:rsidRPr="00FC4B5B">
        <w:tab/>
        <w:t xml:space="preserve">Tendo em conta a recomendação do Comité Europeu do Risco Sistémico (CERS), de 25 de setembro de 2025, relativa aos sistemas de </w:t>
      </w:r>
      <w:proofErr w:type="spellStart"/>
      <w:r w:rsidRPr="00FC4B5B">
        <w:t>criptomoedas</w:t>
      </w:r>
      <w:proofErr w:type="spellEnd"/>
      <w:r w:rsidRPr="00FC4B5B">
        <w:t xml:space="preserve"> estáveis com múltiplos emitentes de países terceiros,</w:t>
      </w:r>
    </w:p>
    <w:p w14:paraId="48E9520D" w14:textId="510D1947" w:rsidR="00AB4682" w:rsidRPr="00FC4B5B" w:rsidRDefault="00AB4682" w:rsidP="00AB4682">
      <w:pPr>
        <w:pStyle w:val="NormalHanging"/>
      </w:pPr>
      <w:r w:rsidRPr="00FC4B5B">
        <w:t>–</w:t>
      </w:r>
      <w:r w:rsidRPr="00FC4B5B">
        <w:tab/>
        <w:t>Tendo em conta o relatório do CERS, de outubro de 2025, intitulado «</w:t>
      </w:r>
      <w:proofErr w:type="spellStart"/>
      <w:r w:rsidRPr="00FC4B5B">
        <w:t>Crypto-assets</w:t>
      </w:r>
      <w:proofErr w:type="spellEnd"/>
      <w:r w:rsidRPr="00FC4B5B">
        <w:t xml:space="preserve"> </w:t>
      </w:r>
      <w:proofErr w:type="spellStart"/>
      <w:r w:rsidRPr="00FC4B5B">
        <w:t>and</w:t>
      </w:r>
      <w:proofErr w:type="spellEnd"/>
      <w:r w:rsidRPr="00FC4B5B">
        <w:t xml:space="preserve"> </w:t>
      </w:r>
      <w:proofErr w:type="spellStart"/>
      <w:r w:rsidRPr="00FC4B5B">
        <w:t>decentralised</w:t>
      </w:r>
      <w:proofErr w:type="spellEnd"/>
      <w:r w:rsidRPr="00FC4B5B">
        <w:t xml:space="preserve"> </w:t>
      </w:r>
      <w:proofErr w:type="spellStart"/>
      <w:r w:rsidRPr="00FC4B5B">
        <w:t>finance</w:t>
      </w:r>
      <w:proofErr w:type="spellEnd"/>
      <w:r w:rsidRPr="00FC4B5B">
        <w:t xml:space="preserve"> – </w:t>
      </w:r>
      <w:proofErr w:type="spellStart"/>
      <w:r w:rsidRPr="00FC4B5B">
        <w:t>Report</w:t>
      </w:r>
      <w:proofErr w:type="spellEnd"/>
      <w:r w:rsidRPr="00FC4B5B">
        <w:t xml:space="preserve"> </w:t>
      </w:r>
      <w:proofErr w:type="spellStart"/>
      <w:r w:rsidRPr="00FC4B5B">
        <w:t>on</w:t>
      </w:r>
      <w:proofErr w:type="spellEnd"/>
      <w:r w:rsidRPr="00FC4B5B">
        <w:t xml:space="preserve"> </w:t>
      </w:r>
      <w:proofErr w:type="spellStart"/>
      <w:r w:rsidRPr="00FC4B5B">
        <w:t>stablecoins</w:t>
      </w:r>
      <w:proofErr w:type="spellEnd"/>
      <w:r w:rsidRPr="00FC4B5B">
        <w:t xml:space="preserve">, </w:t>
      </w:r>
      <w:proofErr w:type="spellStart"/>
      <w:r w:rsidRPr="00FC4B5B">
        <w:t>crypto-investment</w:t>
      </w:r>
      <w:proofErr w:type="spellEnd"/>
      <w:r w:rsidRPr="00FC4B5B">
        <w:t xml:space="preserve"> </w:t>
      </w:r>
      <w:proofErr w:type="spellStart"/>
      <w:r w:rsidRPr="00FC4B5B">
        <w:t>products</w:t>
      </w:r>
      <w:proofErr w:type="spellEnd"/>
      <w:r w:rsidRPr="00FC4B5B">
        <w:t xml:space="preserve"> </w:t>
      </w:r>
      <w:proofErr w:type="spellStart"/>
      <w:r w:rsidRPr="00FC4B5B">
        <w:t>and</w:t>
      </w:r>
      <w:proofErr w:type="spellEnd"/>
      <w:r w:rsidRPr="00FC4B5B">
        <w:t xml:space="preserve"> </w:t>
      </w:r>
      <w:proofErr w:type="spellStart"/>
      <w:r w:rsidRPr="00FC4B5B">
        <w:t>multi-function</w:t>
      </w:r>
      <w:proofErr w:type="spellEnd"/>
      <w:r w:rsidRPr="00FC4B5B">
        <w:t xml:space="preserve"> </w:t>
      </w:r>
      <w:proofErr w:type="spellStart"/>
      <w:r w:rsidRPr="00FC4B5B">
        <w:t>groups</w:t>
      </w:r>
      <w:proofErr w:type="spellEnd"/>
      <w:r w:rsidRPr="00FC4B5B">
        <w:t xml:space="preserve">» [Criptoativos e finanças descentralizadas </w:t>
      </w:r>
      <w:r w:rsidR="004C1561" w:rsidRPr="00FC4B5B">
        <w:t xml:space="preserve">– </w:t>
      </w:r>
      <w:r w:rsidRPr="00FC4B5B">
        <w:t xml:space="preserve">Relatório sobre </w:t>
      </w:r>
      <w:proofErr w:type="spellStart"/>
      <w:r w:rsidRPr="00FC4B5B">
        <w:t>criptomoedas</w:t>
      </w:r>
      <w:proofErr w:type="spellEnd"/>
      <w:r w:rsidRPr="00FC4B5B">
        <w:t xml:space="preserve"> estáveis, produtos de </w:t>
      </w:r>
      <w:proofErr w:type="spellStart"/>
      <w:r w:rsidRPr="00FC4B5B">
        <w:t>criptoinvestimento</w:t>
      </w:r>
      <w:proofErr w:type="spellEnd"/>
      <w:r w:rsidRPr="00FC4B5B">
        <w:t xml:space="preserve"> e grupos multifuncionais],</w:t>
      </w:r>
    </w:p>
    <w:p w14:paraId="39FDA8EC" w14:textId="77777777" w:rsidR="00AB4682" w:rsidRPr="00FC4B5B" w:rsidRDefault="00AB4682" w:rsidP="00AB4682">
      <w:pPr>
        <w:pStyle w:val="NormalHanging"/>
      </w:pPr>
      <w:r w:rsidRPr="00FC4B5B">
        <w:t>–</w:t>
      </w:r>
      <w:r w:rsidRPr="00FC4B5B">
        <w:tab/>
        <w:t>Tendo em conta as orientações da Autoridade Europeia dos Valores Mobiliários e dos Mercados (ESMA), de 19 de março de 2025, sobre as condições e os critérios para a qualificação de criptoativos como instrumentos financeiros,</w:t>
      </w:r>
    </w:p>
    <w:p w14:paraId="53462FC3" w14:textId="7E8FA6C9" w:rsidR="00AB4682" w:rsidRPr="00FC4B5B" w:rsidRDefault="00AB4682" w:rsidP="00AB4682">
      <w:pPr>
        <w:pStyle w:val="NormalHanging"/>
      </w:pPr>
      <w:r w:rsidRPr="00FC4B5B">
        <w:t>–</w:t>
      </w:r>
      <w:r w:rsidRPr="00FC4B5B">
        <w:tab/>
        <w:t xml:space="preserve">Tendo em conta o relatório da Autoridade Bancária Europeia (EBA), de dezembro </w:t>
      </w:r>
      <w:r w:rsidR="004C1561" w:rsidRPr="00FC4B5B">
        <w:t>de </w:t>
      </w:r>
      <w:r w:rsidRPr="00FC4B5B">
        <w:t>2024, intitulado «</w:t>
      </w:r>
      <w:proofErr w:type="spellStart"/>
      <w:r w:rsidRPr="00FC4B5B">
        <w:t>Report</w:t>
      </w:r>
      <w:proofErr w:type="spellEnd"/>
      <w:r w:rsidRPr="00FC4B5B">
        <w:t xml:space="preserve"> </w:t>
      </w:r>
      <w:proofErr w:type="spellStart"/>
      <w:r w:rsidRPr="00FC4B5B">
        <w:t>on</w:t>
      </w:r>
      <w:proofErr w:type="spellEnd"/>
      <w:r w:rsidRPr="00FC4B5B">
        <w:t xml:space="preserve"> </w:t>
      </w:r>
      <w:proofErr w:type="spellStart"/>
      <w:r w:rsidRPr="00FC4B5B">
        <w:t>tokenised</w:t>
      </w:r>
      <w:proofErr w:type="spellEnd"/>
      <w:r w:rsidRPr="00FC4B5B">
        <w:t xml:space="preserve"> </w:t>
      </w:r>
      <w:proofErr w:type="spellStart"/>
      <w:r w:rsidRPr="00FC4B5B">
        <w:t>deposits</w:t>
      </w:r>
      <w:proofErr w:type="spellEnd"/>
      <w:r w:rsidRPr="00FC4B5B">
        <w:t xml:space="preserve">» [Relatório sobre depósitos </w:t>
      </w:r>
      <w:proofErr w:type="spellStart"/>
      <w:r w:rsidRPr="00FC4B5B">
        <w:t>tokenizados</w:t>
      </w:r>
      <w:proofErr w:type="spellEnd"/>
      <w:r w:rsidRPr="00FC4B5B">
        <w:t>],</w:t>
      </w:r>
    </w:p>
    <w:p w14:paraId="46A3375D" w14:textId="77777777" w:rsidR="00AB4682" w:rsidRPr="00FC4B5B" w:rsidRDefault="00AB4682" w:rsidP="00AB4682">
      <w:pPr>
        <w:pStyle w:val="NormalHanging"/>
      </w:pPr>
      <w:r w:rsidRPr="00FC4B5B">
        <w:t>–</w:t>
      </w:r>
      <w:r w:rsidRPr="00FC4B5B">
        <w:tab/>
        <w:t>Tendo em conta o relatório da EBA, de outubro de 2025, intitulado «</w:t>
      </w:r>
      <w:proofErr w:type="spellStart"/>
      <w:r w:rsidRPr="00FC4B5B">
        <w:t>Report</w:t>
      </w:r>
      <w:proofErr w:type="spellEnd"/>
      <w:r w:rsidRPr="00FC4B5B">
        <w:t xml:space="preserve"> </w:t>
      </w:r>
      <w:proofErr w:type="spellStart"/>
      <w:r w:rsidRPr="00FC4B5B">
        <w:t>on</w:t>
      </w:r>
      <w:proofErr w:type="spellEnd"/>
      <w:r w:rsidRPr="00FC4B5B">
        <w:t xml:space="preserve"> </w:t>
      </w:r>
      <w:proofErr w:type="spellStart"/>
      <w:r w:rsidRPr="00FC4B5B">
        <w:t>tackling</w:t>
      </w:r>
      <w:proofErr w:type="spellEnd"/>
      <w:r w:rsidRPr="00FC4B5B">
        <w:t xml:space="preserve"> ML/TF </w:t>
      </w:r>
      <w:proofErr w:type="spellStart"/>
      <w:r w:rsidRPr="00FC4B5B">
        <w:t>risks</w:t>
      </w:r>
      <w:proofErr w:type="spellEnd"/>
      <w:r w:rsidRPr="00FC4B5B">
        <w:t xml:space="preserve"> in </w:t>
      </w:r>
      <w:proofErr w:type="spellStart"/>
      <w:r w:rsidRPr="00FC4B5B">
        <w:t>crypto-asset</w:t>
      </w:r>
      <w:proofErr w:type="spellEnd"/>
      <w:r w:rsidRPr="00FC4B5B">
        <w:t xml:space="preserve"> </w:t>
      </w:r>
      <w:proofErr w:type="spellStart"/>
      <w:r w:rsidRPr="00FC4B5B">
        <w:t>services</w:t>
      </w:r>
      <w:proofErr w:type="spellEnd"/>
      <w:r w:rsidRPr="00FC4B5B">
        <w:t xml:space="preserve"> </w:t>
      </w:r>
      <w:proofErr w:type="spellStart"/>
      <w:r w:rsidRPr="00FC4B5B">
        <w:t>through</w:t>
      </w:r>
      <w:proofErr w:type="spellEnd"/>
      <w:r w:rsidRPr="00FC4B5B">
        <w:t xml:space="preserve"> </w:t>
      </w:r>
      <w:proofErr w:type="spellStart"/>
      <w:r w:rsidRPr="00FC4B5B">
        <w:t>supervision</w:t>
      </w:r>
      <w:proofErr w:type="spellEnd"/>
      <w:r w:rsidRPr="00FC4B5B">
        <w:t xml:space="preserve"> – </w:t>
      </w:r>
      <w:proofErr w:type="spellStart"/>
      <w:r w:rsidRPr="00FC4B5B">
        <w:t>Lessons</w:t>
      </w:r>
      <w:proofErr w:type="spellEnd"/>
      <w:r w:rsidRPr="00FC4B5B">
        <w:t xml:space="preserve"> </w:t>
      </w:r>
      <w:proofErr w:type="spellStart"/>
      <w:r w:rsidRPr="00FC4B5B">
        <w:t>learned</w:t>
      </w:r>
      <w:proofErr w:type="spellEnd"/>
      <w:r w:rsidRPr="00FC4B5B">
        <w:t xml:space="preserve"> </w:t>
      </w:r>
      <w:proofErr w:type="spellStart"/>
      <w:r w:rsidRPr="00FC4B5B">
        <w:t>from</w:t>
      </w:r>
      <w:proofErr w:type="spellEnd"/>
      <w:r w:rsidRPr="00FC4B5B">
        <w:t xml:space="preserve"> </w:t>
      </w:r>
      <w:proofErr w:type="spellStart"/>
      <w:r w:rsidRPr="00FC4B5B">
        <w:t>recent</w:t>
      </w:r>
      <w:proofErr w:type="spellEnd"/>
      <w:r w:rsidRPr="00FC4B5B">
        <w:t xml:space="preserve"> cases» [Relatório sobre a luta contra os riscos de branqueamento de capitais e de </w:t>
      </w:r>
      <w:r w:rsidRPr="00FC4B5B">
        <w:lastRenderedPageBreak/>
        <w:t>financiamento do terrorismo nos serviços de criptoativos através da supervisão – Ensinamentos retirados de casos recentes],</w:t>
      </w:r>
    </w:p>
    <w:p w14:paraId="7E8FB75C" w14:textId="68E544CE" w:rsidR="00AB4682" w:rsidRPr="00FC4B5B" w:rsidRDefault="00AB4682" w:rsidP="00AB4682">
      <w:pPr>
        <w:pStyle w:val="NormalHanging"/>
      </w:pPr>
      <w:r w:rsidRPr="00FC4B5B">
        <w:t>–</w:t>
      </w:r>
      <w:r w:rsidRPr="00FC4B5B">
        <w:tab/>
        <w:t xml:space="preserve">Tendo em conta a publicação </w:t>
      </w:r>
      <w:proofErr w:type="spellStart"/>
      <w:r w:rsidRPr="00FC4B5B">
        <w:t>Finance</w:t>
      </w:r>
      <w:proofErr w:type="spellEnd"/>
      <w:r w:rsidRPr="00FC4B5B">
        <w:t xml:space="preserve"> &amp; </w:t>
      </w:r>
      <w:proofErr w:type="spellStart"/>
      <w:r w:rsidRPr="00FC4B5B">
        <w:t>Development</w:t>
      </w:r>
      <w:proofErr w:type="spellEnd"/>
      <w:r w:rsidRPr="00FC4B5B">
        <w:t xml:space="preserve"> do Fundo Monetário Internacional, de setembro de 2025, intitulada «</w:t>
      </w:r>
      <w:proofErr w:type="spellStart"/>
      <w:r w:rsidRPr="00FC4B5B">
        <w:t>Stablecoins</w:t>
      </w:r>
      <w:proofErr w:type="spellEnd"/>
      <w:r w:rsidRPr="00FC4B5B">
        <w:t xml:space="preserve"> </w:t>
      </w:r>
      <w:proofErr w:type="spellStart"/>
      <w:r w:rsidRPr="00FC4B5B">
        <w:t>and</w:t>
      </w:r>
      <w:proofErr w:type="spellEnd"/>
      <w:r w:rsidRPr="00FC4B5B">
        <w:t xml:space="preserve"> </w:t>
      </w:r>
      <w:proofErr w:type="spellStart"/>
      <w:r w:rsidRPr="00FC4B5B">
        <w:t>the</w:t>
      </w:r>
      <w:proofErr w:type="spellEnd"/>
      <w:r w:rsidRPr="00FC4B5B">
        <w:t xml:space="preserve"> future </w:t>
      </w:r>
      <w:proofErr w:type="spellStart"/>
      <w:r w:rsidRPr="00FC4B5B">
        <w:t>of</w:t>
      </w:r>
      <w:proofErr w:type="spellEnd"/>
      <w:r w:rsidRPr="00FC4B5B">
        <w:t xml:space="preserve"> </w:t>
      </w:r>
      <w:proofErr w:type="spellStart"/>
      <w:r w:rsidRPr="00FC4B5B">
        <w:t>finance</w:t>
      </w:r>
      <w:proofErr w:type="spellEnd"/>
      <w:r w:rsidRPr="00FC4B5B">
        <w:t xml:space="preserve">» [As </w:t>
      </w:r>
      <w:proofErr w:type="spellStart"/>
      <w:r w:rsidRPr="00FC4B5B">
        <w:t>criptomoedas</w:t>
      </w:r>
      <w:proofErr w:type="spellEnd"/>
      <w:r w:rsidRPr="00FC4B5B">
        <w:t xml:space="preserve"> estáveis e o futuro do setor financeiro]</w:t>
      </w:r>
      <w:r w:rsidR="004C1561" w:rsidRPr="00FC4B5B">
        <w:rPr>
          <w:rStyle w:val="FootnoteReference"/>
        </w:rPr>
        <w:footnoteReference w:id="1"/>
      </w:r>
      <w:r w:rsidRPr="00FC4B5B">
        <w:t>,</w:t>
      </w:r>
    </w:p>
    <w:p w14:paraId="6A7A36AF" w14:textId="77777777" w:rsidR="00AB4682" w:rsidRPr="00FC4B5B" w:rsidRDefault="00AB4682" w:rsidP="00AB4682">
      <w:pPr>
        <w:pStyle w:val="NormalHanging"/>
      </w:pPr>
      <w:r w:rsidRPr="00FC4B5B">
        <w:t>–</w:t>
      </w:r>
      <w:r w:rsidRPr="00FC4B5B">
        <w:tab/>
        <w:t>Tendo em conta o relatório da Organização Internacional das Comissões de Valores Mobiliários, de novembro de 2025, intitulado «</w:t>
      </w:r>
      <w:proofErr w:type="spellStart"/>
      <w:r w:rsidRPr="00FC4B5B">
        <w:t>Tokenisation</w:t>
      </w:r>
      <w:proofErr w:type="spellEnd"/>
      <w:r w:rsidRPr="00FC4B5B">
        <w:t xml:space="preserve"> </w:t>
      </w:r>
      <w:proofErr w:type="spellStart"/>
      <w:r w:rsidRPr="00FC4B5B">
        <w:t>of</w:t>
      </w:r>
      <w:proofErr w:type="spellEnd"/>
      <w:r w:rsidRPr="00FC4B5B">
        <w:t xml:space="preserve"> financial </w:t>
      </w:r>
      <w:proofErr w:type="spellStart"/>
      <w:r w:rsidRPr="00FC4B5B">
        <w:t>assets</w:t>
      </w:r>
      <w:proofErr w:type="spellEnd"/>
      <w:r w:rsidRPr="00FC4B5B">
        <w:t>» [Tokenização de ativos financeiros],</w:t>
      </w:r>
    </w:p>
    <w:p w14:paraId="6D90D7ED" w14:textId="77777777" w:rsidR="00AB4682" w:rsidRPr="00FC4B5B" w:rsidRDefault="00AB4682" w:rsidP="00AB4682">
      <w:pPr>
        <w:pStyle w:val="NormalHanging"/>
      </w:pPr>
      <w:r w:rsidRPr="00FC4B5B">
        <w:t>–</w:t>
      </w:r>
      <w:r w:rsidRPr="00FC4B5B">
        <w:tab/>
        <w:t>Tendo em conta o relatório económico anual do Banco de Pagamentos Internacionais (BPI) de junho de 2025,</w:t>
      </w:r>
    </w:p>
    <w:p w14:paraId="68B87EB4" w14:textId="77777777" w:rsidR="00AB4682" w:rsidRPr="00FC4B5B" w:rsidRDefault="00AB4682" w:rsidP="00AB4682">
      <w:pPr>
        <w:pStyle w:val="NormalHanging"/>
      </w:pPr>
      <w:r w:rsidRPr="00FC4B5B">
        <w:t>–</w:t>
      </w:r>
      <w:r w:rsidRPr="00FC4B5B">
        <w:tab/>
        <w:t>Tendo em conta o relatório do Conselho de Estabilidade Financeira (CEF), de 16 de outubro de 2025, intitulado «</w:t>
      </w:r>
      <w:proofErr w:type="spellStart"/>
      <w:r w:rsidRPr="00FC4B5B">
        <w:t>Thematic</w:t>
      </w:r>
      <w:proofErr w:type="spellEnd"/>
      <w:r w:rsidRPr="00FC4B5B">
        <w:t xml:space="preserve"> </w:t>
      </w:r>
      <w:proofErr w:type="spellStart"/>
      <w:r w:rsidRPr="00FC4B5B">
        <w:t>Review</w:t>
      </w:r>
      <w:proofErr w:type="spellEnd"/>
      <w:r w:rsidRPr="00FC4B5B">
        <w:t xml:space="preserve"> </w:t>
      </w:r>
      <w:proofErr w:type="spellStart"/>
      <w:r w:rsidRPr="00FC4B5B">
        <w:t>on</w:t>
      </w:r>
      <w:proofErr w:type="spellEnd"/>
      <w:r w:rsidRPr="00FC4B5B">
        <w:t xml:space="preserve"> FSB Global </w:t>
      </w:r>
      <w:proofErr w:type="spellStart"/>
      <w:r w:rsidRPr="00FC4B5B">
        <w:t>Regulatory</w:t>
      </w:r>
      <w:proofErr w:type="spellEnd"/>
      <w:r w:rsidRPr="00FC4B5B">
        <w:t xml:space="preserve"> Framework for </w:t>
      </w:r>
      <w:proofErr w:type="spellStart"/>
      <w:r w:rsidRPr="00FC4B5B">
        <w:t>Crypto-asset</w:t>
      </w:r>
      <w:proofErr w:type="spellEnd"/>
      <w:r w:rsidRPr="00FC4B5B">
        <w:t xml:space="preserve"> </w:t>
      </w:r>
      <w:proofErr w:type="spellStart"/>
      <w:r w:rsidRPr="00FC4B5B">
        <w:t>Activities</w:t>
      </w:r>
      <w:proofErr w:type="spellEnd"/>
      <w:r w:rsidRPr="00FC4B5B">
        <w:t>» [Análise temática sobre o quadro regulamentar global do CEF para as atividades relacionadas com criptoativos],</w:t>
      </w:r>
    </w:p>
    <w:p w14:paraId="08E1B6E8" w14:textId="77777777" w:rsidR="00AB4682" w:rsidRPr="00FC4B5B" w:rsidRDefault="00AB4682" w:rsidP="00AB4682">
      <w:pPr>
        <w:pStyle w:val="NormalHanging"/>
      </w:pPr>
      <w:r w:rsidRPr="00FC4B5B">
        <w:t>–</w:t>
      </w:r>
      <w:r w:rsidRPr="00FC4B5B">
        <w:tab/>
        <w:t xml:space="preserve">Tendo em conta o Relatório de Situação do CEF, de 22 de outubro de 2024, intitulado «G20 </w:t>
      </w:r>
      <w:proofErr w:type="spellStart"/>
      <w:r w:rsidRPr="00FC4B5B">
        <w:t>crypto-asset</w:t>
      </w:r>
      <w:proofErr w:type="spellEnd"/>
      <w:r w:rsidRPr="00FC4B5B">
        <w:t xml:space="preserve"> </w:t>
      </w:r>
      <w:proofErr w:type="spellStart"/>
      <w:r w:rsidRPr="00FC4B5B">
        <w:t>policy</w:t>
      </w:r>
      <w:proofErr w:type="spellEnd"/>
      <w:r w:rsidRPr="00FC4B5B">
        <w:t xml:space="preserve"> </w:t>
      </w:r>
      <w:proofErr w:type="spellStart"/>
      <w:r w:rsidRPr="00FC4B5B">
        <w:t>implementation</w:t>
      </w:r>
      <w:proofErr w:type="spellEnd"/>
      <w:r w:rsidRPr="00FC4B5B">
        <w:t xml:space="preserve"> </w:t>
      </w:r>
      <w:proofErr w:type="spellStart"/>
      <w:r w:rsidRPr="00FC4B5B">
        <w:t>roadmap</w:t>
      </w:r>
      <w:proofErr w:type="spellEnd"/>
      <w:r w:rsidRPr="00FC4B5B">
        <w:t>» [Roteiro do G20 para a execução da política relativa aos criptoativos],</w:t>
      </w:r>
    </w:p>
    <w:p w14:paraId="56328AE4" w14:textId="77777777" w:rsidR="00AB4682" w:rsidRPr="00FC4B5B" w:rsidRDefault="00AB4682" w:rsidP="00AB4682">
      <w:pPr>
        <w:pStyle w:val="NormalHanging"/>
      </w:pPr>
      <w:r w:rsidRPr="00FC4B5B">
        <w:t>–</w:t>
      </w:r>
      <w:r w:rsidRPr="00FC4B5B">
        <w:tab/>
        <w:t>Tendo em conta o Relatório de Situação do CEF, de 22 de outubro de 2024, intitulado «</w:t>
      </w:r>
      <w:proofErr w:type="spellStart"/>
      <w:r w:rsidRPr="00FC4B5B">
        <w:t>The</w:t>
      </w:r>
      <w:proofErr w:type="spellEnd"/>
      <w:r w:rsidRPr="00FC4B5B">
        <w:t xml:space="preserve"> financial </w:t>
      </w:r>
      <w:proofErr w:type="spellStart"/>
      <w:r w:rsidRPr="00FC4B5B">
        <w:t>stability</w:t>
      </w:r>
      <w:proofErr w:type="spellEnd"/>
      <w:r w:rsidRPr="00FC4B5B">
        <w:t xml:space="preserve"> </w:t>
      </w:r>
      <w:proofErr w:type="spellStart"/>
      <w:r w:rsidRPr="00FC4B5B">
        <w:t>implications</w:t>
      </w:r>
      <w:proofErr w:type="spellEnd"/>
      <w:r w:rsidRPr="00FC4B5B">
        <w:t xml:space="preserve"> </w:t>
      </w:r>
      <w:proofErr w:type="spellStart"/>
      <w:r w:rsidRPr="00FC4B5B">
        <w:t>of</w:t>
      </w:r>
      <w:proofErr w:type="spellEnd"/>
      <w:r w:rsidRPr="00FC4B5B">
        <w:t xml:space="preserve"> </w:t>
      </w:r>
      <w:proofErr w:type="spellStart"/>
      <w:r w:rsidRPr="00FC4B5B">
        <w:t>tokenisation</w:t>
      </w:r>
      <w:proofErr w:type="spellEnd"/>
      <w:r w:rsidRPr="00FC4B5B">
        <w:t>» [As implicações da tokenização na estabilidade financeira],</w:t>
      </w:r>
    </w:p>
    <w:p w14:paraId="6C0737E6" w14:textId="160FD9E6" w:rsidR="00AB4682" w:rsidRPr="00FC4B5B" w:rsidRDefault="00AB4682" w:rsidP="00AB4682">
      <w:pPr>
        <w:pStyle w:val="NormalHanging"/>
      </w:pPr>
      <w:r w:rsidRPr="00FC4B5B">
        <w:t>–</w:t>
      </w:r>
      <w:r w:rsidRPr="00FC4B5B">
        <w:tab/>
        <w:t xml:space="preserve">Tendo em conta o documento de consulta do Banco de Inglaterra, de 10 de novembro </w:t>
      </w:r>
      <w:r w:rsidR="004C1561" w:rsidRPr="00FC4B5B">
        <w:t>de </w:t>
      </w:r>
      <w:r w:rsidRPr="00FC4B5B">
        <w:t>2025, intitulado «</w:t>
      </w:r>
      <w:proofErr w:type="spellStart"/>
      <w:r w:rsidRPr="00FC4B5B">
        <w:t>Proposed</w:t>
      </w:r>
      <w:proofErr w:type="spellEnd"/>
      <w:r w:rsidRPr="00FC4B5B">
        <w:t xml:space="preserve"> </w:t>
      </w:r>
      <w:proofErr w:type="spellStart"/>
      <w:r w:rsidRPr="00FC4B5B">
        <w:t>regulatory</w:t>
      </w:r>
      <w:proofErr w:type="spellEnd"/>
      <w:r w:rsidRPr="00FC4B5B">
        <w:t xml:space="preserve"> regime for </w:t>
      </w:r>
      <w:proofErr w:type="spellStart"/>
      <w:r w:rsidRPr="00FC4B5B">
        <w:t>sterling-denominated</w:t>
      </w:r>
      <w:proofErr w:type="spellEnd"/>
      <w:r w:rsidRPr="00FC4B5B">
        <w:t xml:space="preserve"> </w:t>
      </w:r>
      <w:proofErr w:type="spellStart"/>
      <w:r w:rsidRPr="00FC4B5B">
        <w:t>systemic</w:t>
      </w:r>
      <w:proofErr w:type="spellEnd"/>
      <w:r w:rsidRPr="00FC4B5B">
        <w:t xml:space="preserve"> </w:t>
      </w:r>
      <w:proofErr w:type="spellStart"/>
      <w:r w:rsidRPr="00FC4B5B">
        <w:t>stablecoins</w:t>
      </w:r>
      <w:proofErr w:type="spellEnd"/>
      <w:r w:rsidRPr="00FC4B5B">
        <w:t xml:space="preserve">» [Proposta de regime regulador para as </w:t>
      </w:r>
      <w:proofErr w:type="spellStart"/>
      <w:r w:rsidRPr="00FC4B5B">
        <w:t>criptomoedas</w:t>
      </w:r>
      <w:proofErr w:type="spellEnd"/>
      <w:r w:rsidRPr="00FC4B5B">
        <w:t xml:space="preserve"> estáveis sistémicas denominadas em libras esterlinas],</w:t>
      </w:r>
    </w:p>
    <w:p w14:paraId="6BF8620C" w14:textId="77777777" w:rsidR="00AB4682" w:rsidRPr="00FC4B5B" w:rsidRDefault="00AB4682" w:rsidP="00AB4682">
      <w:pPr>
        <w:pStyle w:val="NormalHanging"/>
      </w:pPr>
      <w:r w:rsidRPr="00FC4B5B">
        <w:t>–</w:t>
      </w:r>
      <w:r w:rsidRPr="00FC4B5B">
        <w:tab/>
        <w:t xml:space="preserve">Tendo em conta a nota informativa da Unidade de Controlo da Governação Económica e da UEM, de novembro de 2025, intitulada «Digital </w:t>
      </w:r>
      <w:proofErr w:type="spellStart"/>
      <w:r w:rsidRPr="00FC4B5B">
        <w:t>assets</w:t>
      </w:r>
      <w:proofErr w:type="spellEnd"/>
      <w:r w:rsidRPr="00FC4B5B">
        <w:t xml:space="preserve">: EU </w:t>
      </w:r>
      <w:proofErr w:type="spellStart"/>
      <w:r w:rsidRPr="00FC4B5B">
        <w:t>regulatory</w:t>
      </w:r>
      <w:proofErr w:type="spellEnd"/>
      <w:r w:rsidRPr="00FC4B5B">
        <w:t xml:space="preserve"> </w:t>
      </w:r>
      <w:proofErr w:type="spellStart"/>
      <w:r w:rsidRPr="00FC4B5B">
        <w:t>framework</w:t>
      </w:r>
      <w:proofErr w:type="spellEnd"/>
      <w:r w:rsidRPr="00FC4B5B">
        <w:t xml:space="preserve">, </w:t>
      </w:r>
      <w:proofErr w:type="spellStart"/>
      <w:r w:rsidRPr="00FC4B5B">
        <w:t>market</w:t>
      </w:r>
      <w:proofErr w:type="spellEnd"/>
      <w:r w:rsidRPr="00FC4B5B">
        <w:t xml:space="preserve"> </w:t>
      </w:r>
      <w:proofErr w:type="spellStart"/>
      <w:r w:rsidRPr="00FC4B5B">
        <w:t>uptake</w:t>
      </w:r>
      <w:proofErr w:type="spellEnd"/>
      <w:r w:rsidRPr="00FC4B5B">
        <w:t xml:space="preserve">, </w:t>
      </w:r>
      <w:proofErr w:type="spellStart"/>
      <w:r w:rsidRPr="00FC4B5B">
        <w:t>risks</w:t>
      </w:r>
      <w:proofErr w:type="spellEnd"/>
      <w:r w:rsidRPr="00FC4B5B">
        <w:t xml:space="preserve"> </w:t>
      </w:r>
      <w:proofErr w:type="spellStart"/>
      <w:r w:rsidRPr="00FC4B5B">
        <w:t>and</w:t>
      </w:r>
      <w:proofErr w:type="spellEnd"/>
      <w:r w:rsidRPr="00FC4B5B">
        <w:t xml:space="preserve"> </w:t>
      </w:r>
      <w:proofErr w:type="spellStart"/>
      <w:r w:rsidRPr="00FC4B5B">
        <w:t>challenges</w:t>
      </w:r>
      <w:proofErr w:type="spellEnd"/>
      <w:r w:rsidRPr="00FC4B5B">
        <w:t>» [Quadro regulamentar da UE, aceitação pelo mercado, riscos e desafios],</w:t>
      </w:r>
    </w:p>
    <w:p w14:paraId="32D64AFD" w14:textId="0BDDBCDE" w:rsidR="00AB4682" w:rsidRPr="00FC4B5B" w:rsidRDefault="00AB4682" w:rsidP="00AB4682">
      <w:pPr>
        <w:pStyle w:val="NormalHanging"/>
      </w:pPr>
      <w:r w:rsidRPr="00FC4B5B">
        <w:t>–</w:t>
      </w:r>
      <w:r w:rsidRPr="00FC4B5B">
        <w:tab/>
        <w:t>Tendo em conta o documento de orientação da Organização de Cooperação e de Desenvolvimento Económicos (OCDE), de 9 de janeiro de 2025, intitulado «</w:t>
      </w:r>
      <w:proofErr w:type="spellStart"/>
      <w:r w:rsidRPr="00FC4B5B">
        <w:t>tTokenisation</w:t>
      </w:r>
      <w:proofErr w:type="spellEnd"/>
      <w:r w:rsidRPr="00FC4B5B">
        <w:t xml:space="preserve"> </w:t>
      </w:r>
      <w:proofErr w:type="spellStart"/>
      <w:r w:rsidRPr="00FC4B5B">
        <w:t>of</w:t>
      </w:r>
      <w:proofErr w:type="spellEnd"/>
      <w:r w:rsidRPr="00FC4B5B">
        <w:t xml:space="preserve"> </w:t>
      </w:r>
      <w:proofErr w:type="spellStart"/>
      <w:r w:rsidRPr="00FC4B5B">
        <w:t>assets</w:t>
      </w:r>
      <w:proofErr w:type="spellEnd"/>
      <w:r w:rsidRPr="00FC4B5B">
        <w:t xml:space="preserve"> </w:t>
      </w:r>
      <w:proofErr w:type="spellStart"/>
      <w:r w:rsidRPr="00FC4B5B">
        <w:t>and</w:t>
      </w:r>
      <w:proofErr w:type="spellEnd"/>
      <w:r w:rsidRPr="00FC4B5B">
        <w:t xml:space="preserve"> </w:t>
      </w:r>
      <w:proofErr w:type="spellStart"/>
      <w:r w:rsidRPr="00FC4B5B">
        <w:t>distributed</w:t>
      </w:r>
      <w:proofErr w:type="spellEnd"/>
      <w:r w:rsidRPr="00FC4B5B">
        <w:t xml:space="preserve"> </w:t>
      </w:r>
      <w:proofErr w:type="spellStart"/>
      <w:r w:rsidRPr="00FC4B5B">
        <w:t>ledger</w:t>
      </w:r>
      <w:proofErr w:type="spellEnd"/>
      <w:r w:rsidRPr="00FC4B5B">
        <w:t xml:space="preserve"> </w:t>
      </w:r>
      <w:proofErr w:type="spellStart"/>
      <w:r w:rsidRPr="00FC4B5B">
        <w:t>technologies</w:t>
      </w:r>
      <w:proofErr w:type="spellEnd"/>
      <w:r w:rsidRPr="00FC4B5B">
        <w:t xml:space="preserve"> in financial </w:t>
      </w:r>
      <w:proofErr w:type="spellStart"/>
      <w:r w:rsidRPr="00FC4B5B">
        <w:t>markets</w:t>
      </w:r>
      <w:proofErr w:type="spellEnd"/>
      <w:r w:rsidRPr="00FC4B5B">
        <w:t xml:space="preserve"> – </w:t>
      </w:r>
      <w:proofErr w:type="spellStart"/>
      <w:r w:rsidRPr="00FC4B5B">
        <w:t>Potential</w:t>
      </w:r>
      <w:proofErr w:type="spellEnd"/>
      <w:r w:rsidRPr="00FC4B5B">
        <w:t xml:space="preserve"> </w:t>
      </w:r>
      <w:proofErr w:type="spellStart"/>
      <w:r w:rsidRPr="00FC4B5B">
        <w:t>impediments</w:t>
      </w:r>
      <w:proofErr w:type="spellEnd"/>
      <w:r w:rsidRPr="00FC4B5B">
        <w:t xml:space="preserve"> to </w:t>
      </w:r>
      <w:proofErr w:type="spellStart"/>
      <w:r w:rsidRPr="00FC4B5B">
        <w:t>market</w:t>
      </w:r>
      <w:proofErr w:type="spellEnd"/>
      <w:r w:rsidRPr="00FC4B5B">
        <w:t xml:space="preserve"> </w:t>
      </w:r>
      <w:proofErr w:type="spellStart"/>
      <w:r w:rsidRPr="00FC4B5B">
        <w:t>development</w:t>
      </w:r>
      <w:proofErr w:type="spellEnd"/>
      <w:r w:rsidRPr="00FC4B5B">
        <w:t xml:space="preserve"> </w:t>
      </w:r>
      <w:proofErr w:type="spellStart"/>
      <w:r w:rsidRPr="00FC4B5B">
        <w:t>and</w:t>
      </w:r>
      <w:proofErr w:type="spellEnd"/>
      <w:r w:rsidRPr="00FC4B5B">
        <w:t xml:space="preserve"> </w:t>
      </w:r>
      <w:proofErr w:type="spellStart"/>
      <w:r w:rsidRPr="00FC4B5B">
        <w:t>policy</w:t>
      </w:r>
      <w:proofErr w:type="spellEnd"/>
      <w:r w:rsidRPr="00FC4B5B">
        <w:t xml:space="preserve"> </w:t>
      </w:r>
      <w:proofErr w:type="spellStart"/>
      <w:r w:rsidRPr="00FC4B5B">
        <w:t>implications</w:t>
      </w:r>
      <w:proofErr w:type="spellEnd"/>
      <w:r w:rsidRPr="00FC4B5B">
        <w:t>» [Tokenização de ativos e tecnologias de registo distribuído nos mercados financeiros – Potenciais obstáculos ao desenvolvimento do mercado e implicações políticas]</w:t>
      </w:r>
      <w:r w:rsidR="004C1561" w:rsidRPr="00FC4B5B">
        <w:rPr>
          <w:rStyle w:val="FootnoteReference"/>
        </w:rPr>
        <w:footnoteReference w:id="2"/>
      </w:r>
      <w:r w:rsidRPr="00FC4B5B">
        <w:t>,</w:t>
      </w:r>
    </w:p>
    <w:p w14:paraId="6207A3A6" w14:textId="77777777" w:rsidR="00AB4682" w:rsidRPr="00FC4B5B" w:rsidRDefault="00AB4682" w:rsidP="00AB4682">
      <w:pPr>
        <w:pStyle w:val="NormalHanging"/>
      </w:pPr>
      <w:r w:rsidRPr="00FC4B5B">
        <w:t>–</w:t>
      </w:r>
      <w:r w:rsidRPr="00FC4B5B">
        <w:tab/>
        <w:t>Tendo em conta o artigo 55.º do seu Regimento,</w:t>
      </w:r>
    </w:p>
    <w:p w14:paraId="5A1E0C0B" w14:textId="7927165B" w:rsidR="00AB4682" w:rsidRPr="00FC4B5B" w:rsidRDefault="00AB4682" w:rsidP="00AB4682">
      <w:pPr>
        <w:pStyle w:val="NormalHanging"/>
      </w:pPr>
      <w:r w:rsidRPr="00FC4B5B">
        <w:t>–</w:t>
      </w:r>
      <w:r w:rsidRPr="00FC4B5B">
        <w:tab/>
        <w:t xml:space="preserve">Tendo em conta o relatório da Comissão dos Assuntos Económicos e Monetários </w:t>
      </w:r>
      <w:r w:rsidRPr="00FC4B5B">
        <w:lastRenderedPageBreak/>
        <w:t>(A10</w:t>
      </w:r>
      <w:r w:rsidR="004C1561" w:rsidRPr="00FC4B5B">
        <w:noBreakHyphen/>
      </w:r>
      <w:r w:rsidRPr="00FC4B5B">
        <w:t>0186/2026),</w:t>
      </w:r>
    </w:p>
    <w:p w14:paraId="4DC0DBAF" w14:textId="77777777" w:rsidR="00AB4682" w:rsidRPr="00FC4B5B" w:rsidRDefault="00AB4682" w:rsidP="00AB4682">
      <w:pPr>
        <w:pStyle w:val="NormalHanging"/>
      </w:pPr>
      <w:r w:rsidRPr="00FC4B5B">
        <w:t>A.</w:t>
      </w:r>
      <w:r w:rsidRPr="00FC4B5B">
        <w:tab/>
        <w:t>Considerando que, de acordo com o inquérito do BCE às expectativas dos consumidores de novembro de 2024, uma média de 9,7 % dos inquiridos, ou de alguém no seu agregado familiar, detinha criptoativos, dos quais 54 % declararam participações de valor inferior a 1 000 EUR e 91 % de valor inferior a 20 000 EUR;</w:t>
      </w:r>
    </w:p>
    <w:p w14:paraId="7AB8B2AB" w14:textId="6B919E09" w:rsidR="00AB4682" w:rsidRPr="00FC4B5B" w:rsidRDefault="00AB4682" w:rsidP="00AB4682">
      <w:pPr>
        <w:pStyle w:val="NormalHanging"/>
      </w:pPr>
      <w:r w:rsidRPr="00FC4B5B">
        <w:t>B.</w:t>
      </w:r>
      <w:r w:rsidRPr="00FC4B5B">
        <w:tab/>
        <w:t xml:space="preserve">Considerando que a capitalização bolsista mundial total dos criptoativos ascendia a 2,03 biliões de EUR em 10 de fevereiro de 2026, com uma quota de mercado de 12,9 %, ou seja, 261 mil milhões de EUR para as </w:t>
      </w:r>
      <w:proofErr w:type="spellStart"/>
      <w:r w:rsidRPr="00FC4B5B">
        <w:t>criptomoedas</w:t>
      </w:r>
      <w:proofErr w:type="spellEnd"/>
      <w:r w:rsidRPr="00FC4B5B">
        <w:t xml:space="preserve"> estáveis, com base em fontes de dados privadas</w:t>
      </w:r>
      <w:r w:rsidR="002C2244" w:rsidRPr="00FC4B5B">
        <w:t>; considerando que</w:t>
      </w:r>
      <w:r w:rsidRPr="00FC4B5B">
        <w:t xml:space="preserve">, segundo o documento de trabalho n.º 3199 do BCE, as expectativas do mercado apontam para um crescimento robusto da emissão de </w:t>
      </w:r>
      <w:proofErr w:type="spellStart"/>
      <w:r w:rsidRPr="00FC4B5B">
        <w:t>criptomoedas</w:t>
      </w:r>
      <w:proofErr w:type="spellEnd"/>
      <w:r w:rsidRPr="00FC4B5B">
        <w:t xml:space="preserve"> estáveis;</w:t>
      </w:r>
    </w:p>
    <w:p w14:paraId="1AAB521E" w14:textId="77777777" w:rsidR="00AB4682" w:rsidRPr="00FC4B5B" w:rsidRDefault="00AB4682" w:rsidP="00AB4682">
      <w:pPr>
        <w:pStyle w:val="NormalHanging"/>
      </w:pPr>
      <w:r w:rsidRPr="00FC4B5B">
        <w:t>C.</w:t>
      </w:r>
      <w:r w:rsidRPr="00FC4B5B">
        <w:tab/>
        <w:t xml:space="preserve">Considerando que, em fevereiro de 2026, os ativos </w:t>
      </w:r>
      <w:proofErr w:type="spellStart"/>
      <w:r w:rsidRPr="00FC4B5B">
        <w:t>tokenizados</w:t>
      </w:r>
      <w:proofErr w:type="spellEnd"/>
      <w:r w:rsidRPr="00FC4B5B">
        <w:t xml:space="preserve"> representavam cerca de 1 % dos ativos digitais mundiais, uma percentagem que está em rápido crescimento, com base em fontes de dados privadas não harmonizadas;</w:t>
      </w:r>
    </w:p>
    <w:p w14:paraId="397A1673" w14:textId="77777777" w:rsidR="00AB4682" w:rsidRPr="00FC4B5B" w:rsidRDefault="00AB4682" w:rsidP="00AB4682">
      <w:pPr>
        <w:pStyle w:val="NormalHanging"/>
      </w:pPr>
      <w:r w:rsidRPr="00FC4B5B">
        <w:t>D.</w:t>
      </w:r>
      <w:r w:rsidRPr="00FC4B5B">
        <w:tab/>
        <w:t>Considerando que, em 2025, a mão de obra mundial no setor dos criptoativos era superior a 1,6 milhões de profissionais, dos quais a UE acolhe uma parte substancial, mas em declínio, com base em fontes de dados privadas;</w:t>
      </w:r>
    </w:p>
    <w:p w14:paraId="1BBC138B" w14:textId="4C68BE93" w:rsidR="00AB4682" w:rsidRPr="00FC4B5B" w:rsidRDefault="00AB4682" w:rsidP="00AB4682">
      <w:pPr>
        <w:pStyle w:val="NormalHanging"/>
      </w:pPr>
      <w:r w:rsidRPr="00FC4B5B">
        <w:t>E.</w:t>
      </w:r>
      <w:r w:rsidRPr="00FC4B5B">
        <w:tab/>
        <w:t>Considerando que o artigo 2.º, ponto 1, do Regulamento (UE) 2022/858</w:t>
      </w:r>
      <w:r w:rsidR="004C1561" w:rsidRPr="00FC4B5B">
        <w:rPr>
          <w:rStyle w:val="FootnoteReference"/>
        </w:rPr>
        <w:footnoteReference w:id="3"/>
      </w:r>
      <w:r w:rsidRPr="00FC4B5B">
        <w:t xml:space="preserve"> relativo a um regime-piloto para a tecnologia de registo distribuído define «tecnologia de registo distribuído» ou «DLT» como «uma tecnologia que permite o funcionamento e a utilização de registos distribuídos»</w:t>
      </w:r>
      <w:r w:rsidR="002C2244" w:rsidRPr="00FC4B5B">
        <w:t>; considerando que</w:t>
      </w:r>
      <w:r w:rsidRPr="00FC4B5B">
        <w:t xml:space="preserve"> o artigo 2.º, ponto 2, define um «registo distribuído» como um «repositório de informações que mantém registos das transações e é partilhado através de um conjunto de nós da rede DLT e se encontra sincronizado entre os nós da rede DLT utilizando um mecanismo de consenso»;</w:t>
      </w:r>
    </w:p>
    <w:p w14:paraId="19468634" w14:textId="06731CBF" w:rsidR="00AB4682" w:rsidRPr="00FC4B5B" w:rsidRDefault="00AB4682" w:rsidP="00AB4682">
      <w:pPr>
        <w:pStyle w:val="NormalHanging"/>
      </w:pPr>
      <w:r w:rsidRPr="00FC4B5B">
        <w:t>F.</w:t>
      </w:r>
      <w:r w:rsidRPr="00FC4B5B">
        <w:tab/>
        <w:t>Considerando que o Regulamento (UE) 2023/1114 relativo aos mercados de criptoativos</w:t>
      </w:r>
      <w:r w:rsidR="004C1561" w:rsidRPr="00FC4B5B">
        <w:rPr>
          <w:rStyle w:val="FootnoteReference"/>
        </w:rPr>
        <w:footnoteReference w:id="4"/>
      </w:r>
      <w:r w:rsidRPr="00FC4B5B">
        <w:t xml:space="preserve"> (Regulamento </w:t>
      </w:r>
      <w:proofErr w:type="spellStart"/>
      <w:r w:rsidRPr="00FC4B5B">
        <w:t>MiCA</w:t>
      </w:r>
      <w:proofErr w:type="spellEnd"/>
      <w:r w:rsidRPr="00FC4B5B">
        <w:t xml:space="preserve">) estabelece um quadro harmonizado na UE para os criptoativos mediante a distinção de três categorias principais, a saber, as </w:t>
      </w:r>
      <w:proofErr w:type="spellStart"/>
      <w:r w:rsidRPr="00FC4B5B">
        <w:t>criptofichas</w:t>
      </w:r>
      <w:proofErr w:type="spellEnd"/>
      <w:r w:rsidRPr="00FC4B5B">
        <w:t xml:space="preserve"> de moeda eletrónica, que procuram estabilizar o seu valor por referência a uma única moeda oficial, as </w:t>
      </w:r>
      <w:proofErr w:type="spellStart"/>
      <w:r w:rsidRPr="00FC4B5B">
        <w:t>criptofichas</w:t>
      </w:r>
      <w:proofErr w:type="spellEnd"/>
      <w:r w:rsidRPr="00FC4B5B">
        <w:t xml:space="preserve"> referenciadas a ativos, que visam manter um valor estável por referência a outro valor ou direito, ou a uma combinação de ambos, incluindo uma ou mais moedas oficiais, e outros criptoativos, ou seja, representações digitais de um valor ou de um direito que possam ser transferidas e armazenadas eletronicamente por meio de um registo distribuído ou tecnologia semelhante, e que não se enquadram nas outras categorias;</w:t>
      </w:r>
    </w:p>
    <w:p w14:paraId="4197300A" w14:textId="77777777" w:rsidR="00AB4682" w:rsidRPr="00FC4B5B" w:rsidRDefault="00AB4682" w:rsidP="00AB4682">
      <w:pPr>
        <w:pStyle w:val="NormalHanging"/>
      </w:pPr>
      <w:r w:rsidRPr="00FC4B5B">
        <w:t>G.</w:t>
      </w:r>
      <w:r w:rsidRPr="00FC4B5B">
        <w:tab/>
        <w:t xml:space="preserve">Considerando que, nos termos do seu artigo 2.º, n.º 4, o Regulamento </w:t>
      </w:r>
      <w:proofErr w:type="spellStart"/>
      <w:r w:rsidRPr="00FC4B5B">
        <w:t>MiCA</w:t>
      </w:r>
      <w:proofErr w:type="spellEnd"/>
      <w:r w:rsidRPr="00FC4B5B">
        <w:t xml:space="preserve"> exclui do </w:t>
      </w:r>
      <w:r w:rsidRPr="00FC4B5B">
        <w:lastRenderedPageBreak/>
        <w:t>seu âmbito de aplicação os criptoativos que entrem nas categorias de instrumentos financeiros, depósitos, fundos, titularizações e produtos de seguros ou de pensões ao abrigo da atual legislação da UE, assegurando, como tal, que esses criptoativos continuem sujeitos aos quadros legislativos setoriais pertinentes e refletindo o modelo de supervisão baseado nos produtos previsto pela legislação da UE relativa aos serviços financeiros;</w:t>
      </w:r>
    </w:p>
    <w:p w14:paraId="601ABD7B" w14:textId="6963D841" w:rsidR="00AB4682" w:rsidRPr="00FC4B5B" w:rsidRDefault="00AB4682" w:rsidP="00AB4682">
      <w:pPr>
        <w:pStyle w:val="NormalHanging"/>
      </w:pPr>
      <w:r w:rsidRPr="00FC4B5B">
        <w:t>H.</w:t>
      </w:r>
      <w:r w:rsidRPr="00FC4B5B">
        <w:tab/>
        <w:t>Considerando que a nova Administração dos EUA se mostra significativamente mais aberta aos criptoativos, o que levou à adoção de legislação fundamental e a uma abordagem mais flexível por parte das autoridades de supervisão no que diz respeito à aplicação da lei</w:t>
      </w:r>
      <w:r w:rsidR="002C2244" w:rsidRPr="00FC4B5B">
        <w:t>; considerando que</w:t>
      </w:r>
      <w:r w:rsidRPr="00FC4B5B">
        <w:t xml:space="preserve">, nos Estados Unidos, a elaboração da abordagem reguladora continua em curso e que, geralmente, os decisores políticos e os reguladores dos EUA optam antes pela designação «ativos digitais», comummente entendidos como abrangendo representações digitais criptográficas de valor ou direitos garantidos num registo distribuído, designadamente </w:t>
      </w:r>
      <w:proofErr w:type="spellStart"/>
      <w:r w:rsidRPr="00FC4B5B">
        <w:t>criptomoedas</w:t>
      </w:r>
      <w:proofErr w:type="spellEnd"/>
      <w:r w:rsidRPr="00FC4B5B">
        <w:t xml:space="preserve">, </w:t>
      </w:r>
      <w:proofErr w:type="spellStart"/>
      <w:r w:rsidRPr="00FC4B5B">
        <w:t>criptomoedas</w:t>
      </w:r>
      <w:proofErr w:type="spellEnd"/>
      <w:r w:rsidRPr="00FC4B5B">
        <w:t xml:space="preserve"> estáveis e determinados instrumentos </w:t>
      </w:r>
      <w:proofErr w:type="spellStart"/>
      <w:r w:rsidRPr="00FC4B5B">
        <w:t>tokenizados</w:t>
      </w:r>
      <w:proofErr w:type="spellEnd"/>
      <w:r w:rsidRPr="00FC4B5B">
        <w:t>;</w:t>
      </w:r>
    </w:p>
    <w:p w14:paraId="7CE40D51" w14:textId="77777777" w:rsidR="00AB4682" w:rsidRPr="00FC4B5B" w:rsidRDefault="00AB4682" w:rsidP="00AB4682">
      <w:pPr>
        <w:pStyle w:val="Normal12a"/>
      </w:pPr>
      <w:r w:rsidRPr="00FC4B5B">
        <w:rPr>
          <w:b/>
          <w:i/>
        </w:rPr>
        <w:t>Panorâmica</w:t>
      </w:r>
    </w:p>
    <w:p w14:paraId="53DFE35F" w14:textId="77777777" w:rsidR="00AB4682" w:rsidRPr="00FC4B5B" w:rsidRDefault="00AB4682" w:rsidP="00AB4682">
      <w:pPr>
        <w:pStyle w:val="NormalHanging12a"/>
      </w:pPr>
      <w:r w:rsidRPr="00FC4B5B">
        <w:t>1.</w:t>
      </w:r>
      <w:r w:rsidRPr="00FC4B5B">
        <w:tab/>
        <w:t>Apoia o objetivo a longo prazo de estabelecer um quadro regulador da UE para os serviços financeiros que siga uma abordagem sistémica baseada em atividades e tecnologicamente neutra;</w:t>
      </w:r>
    </w:p>
    <w:p w14:paraId="4F229298" w14:textId="77777777" w:rsidR="00AB4682" w:rsidRPr="00FC4B5B" w:rsidRDefault="00AB4682" w:rsidP="00AB4682">
      <w:pPr>
        <w:pStyle w:val="NormalHanging12a"/>
      </w:pPr>
      <w:r w:rsidRPr="00FC4B5B">
        <w:t>2.</w:t>
      </w:r>
      <w:r w:rsidRPr="00FC4B5B">
        <w:tab/>
        <w:t>Sublinha que as DLT e a tokenização de ativos têm potencial para apoiar os objetivos da União da Poupança e dos Investimentos, facilitando o investimento transfronteiriço, reduzindo a fragmentação do mercado e permitindo infraestruturas mais eficientes e inclusivas do mercado de capitais em toda a União; realça o papel fundamental da interoperabilidade;</w:t>
      </w:r>
    </w:p>
    <w:p w14:paraId="7C5EBE50" w14:textId="77777777" w:rsidR="00AB4682" w:rsidRPr="00FC4B5B" w:rsidRDefault="00AB4682" w:rsidP="00AB4682">
      <w:pPr>
        <w:pStyle w:val="NormalHanging12a"/>
      </w:pPr>
      <w:r w:rsidRPr="00FC4B5B">
        <w:t>3.</w:t>
      </w:r>
      <w:r w:rsidRPr="00FC4B5B">
        <w:tab/>
        <w:t xml:space="preserve">Destaca que o surgimento de novas tecnologias no domínio das finanças acarreta novos desafios para o quadro regulador e de supervisão; assinala a diversidade dos ativos digitais e reconhece que os riscos associados e o potencial de negócio diferem de uma categoria para outra; afirma o seu compromisso com a revisão específica dos quadros regulamentares da UE, a fim de desenvolver mercados de capitais e infraestruturas de pagamentos da UE sólidos e compatíveis com os ativos digitais; exorta a Comissão a avaliar a necessidade e a viabilidade de regulamentar a concessão e a contração de empréstimos de criptoativos, incluindo o bloqueio de </w:t>
      </w:r>
      <w:proofErr w:type="spellStart"/>
      <w:r w:rsidRPr="00FC4B5B">
        <w:t>criptomoedas</w:t>
      </w:r>
      <w:proofErr w:type="spellEnd"/>
      <w:r w:rsidRPr="00FC4B5B">
        <w:t xml:space="preserve">, as </w:t>
      </w:r>
      <w:proofErr w:type="spellStart"/>
      <w:r w:rsidRPr="00FC4B5B">
        <w:t>criptofichas</w:t>
      </w:r>
      <w:proofErr w:type="spellEnd"/>
      <w:r w:rsidRPr="00FC4B5B">
        <w:t xml:space="preserve"> não fungíveis e as finanças descentralizadas, ao abrigo do Regulamento </w:t>
      </w:r>
      <w:proofErr w:type="spellStart"/>
      <w:r w:rsidRPr="00FC4B5B">
        <w:t>MiCA</w:t>
      </w:r>
      <w:proofErr w:type="spellEnd"/>
      <w:r w:rsidRPr="00FC4B5B">
        <w:t>;</w:t>
      </w:r>
    </w:p>
    <w:p w14:paraId="59B7EEE2" w14:textId="77777777" w:rsidR="00AB4682" w:rsidRPr="00FC4B5B" w:rsidRDefault="00AB4682" w:rsidP="00AB4682">
      <w:pPr>
        <w:pStyle w:val="NormalHanging12a"/>
      </w:pPr>
      <w:r w:rsidRPr="00FC4B5B">
        <w:t>4.</w:t>
      </w:r>
      <w:r w:rsidRPr="00FC4B5B">
        <w:tab/>
        <w:t>Sublinha as potenciais capacidades de inovação e conectividade dos registos distribuídos criptograficamente seguros e de tecnologias semelhantes para as infraestruturas de serviços financeiros, tanto na UE como para o papel da UE no plano mundial; salienta que um quadro regulamentar previsível e favorável à inovação será essencial para garantir que o investimento e o desenvolvimento tecnológico permaneçam na União, bem como para promover a competitividade e reforçar a confiança nas infraestruturas financeiras denominadas em euros;</w:t>
      </w:r>
    </w:p>
    <w:p w14:paraId="00543CA1" w14:textId="77777777" w:rsidR="00AB4682" w:rsidRPr="00FC4B5B" w:rsidRDefault="00AB4682" w:rsidP="00AB4682">
      <w:pPr>
        <w:pStyle w:val="Normal12a"/>
      </w:pPr>
      <w:r w:rsidRPr="00FC4B5B">
        <w:rPr>
          <w:b/>
          <w:i/>
        </w:rPr>
        <w:t>Criptoativos</w:t>
      </w:r>
    </w:p>
    <w:p w14:paraId="3AA6AEE0" w14:textId="6F472923" w:rsidR="00AB4682" w:rsidRPr="00FC4B5B" w:rsidRDefault="00AB4682" w:rsidP="00AB4682">
      <w:pPr>
        <w:pStyle w:val="NormalHanging12a"/>
      </w:pPr>
      <w:r w:rsidRPr="00FC4B5B">
        <w:t>5.</w:t>
      </w:r>
      <w:r w:rsidRPr="00FC4B5B">
        <w:tab/>
        <w:t xml:space="preserve">Reconhece que a UE foi uma das primeiras jurisdições a aprovar e aplicar um regime específico para os criptoativos, através do Regulamento </w:t>
      </w:r>
      <w:proofErr w:type="spellStart"/>
      <w:r w:rsidRPr="00FC4B5B">
        <w:t>MiCA</w:t>
      </w:r>
      <w:proofErr w:type="spellEnd"/>
      <w:r w:rsidRPr="00FC4B5B">
        <w:t xml:space="preserve">, e a aplicar a DLT no </w:t>
      </w:r>
      <w:r w:rsidRPr="00FC4B5B">
        <w:lastRenderedPageBreak/>
        <w:t xml:space="preserve">setor financeiro; exorta a Comissão, em estreita cooperação com a EBA, a ESMA, a Autoridade para o Combate ao Branqueamento de Capitais e ao Financiamento do Terrorismo (ACBC) e as autoridades nacionais competentes, a assegurar a aplicação efetiva do Regulamento </w:t>
      </w:r>
      <w:proofErr w:type="spellStart"/>
      <w:r w:rsidRPr="00FC4B5B">
        <w:t>MiCA</w:t>
      </w:r>
      <w:proofErr w:type="spellEnd"/>
      <w:r w:rsidRPr="00FC4B5B">
        <w:t xml:space="preserve">; insta os Estados-Membros a absterem-se de introduzir requisitos e responsabilidades adicionais além dos quadros previstos pelo Regulamento </w:t>
      </w:r>
      <w:proofErr w:type="spellStart"/>
      <w:r w:rsidRPr="00FC4B5B">
        <w:t>MiCA</w:t>
      </w:r>
      <w:proofErr w:type="spellEnd"/>
      <w:r w:rsidRPr="00FC4B5B">
        <w:t xml:space="preserve"> ou pelo Regulamento relativo às transferências de fundos</w:t>
      </w:r>
      <w:r w:rsidR="004C1561" w:rsidRPr="00FC4B5B">
        <w:rPr>
          <w:rStyle w:val="FootnoteReference"/>
        </w:rPr>
        <w:footnoteReference w:id="5"/>
      </w:r>
      <w:r w:rsidRPr="00FC4B5B">
        <w:t>;</w:t>
      </w:r>
    </w:p>
    <w:p w14:paraId="278F9EAB" w14:textId="77777777" w:rsidR="00AB4682" w:rsidRPr="00FC4B5B" w:rsidRDefault="00AB4682" w:rsidP="00AB4682">
      <w:pPr>
        <w:pStyle w:val="NormalHanging12a"/>
      </w:pPr>
      <w:r w:rsidRPr="00FC4B5B">
        <w:t>6.</w:t>
      </w:r>
      <w:r w:rsidRPr="00FC4B5B">
        <w:tab/>
        <w:t xml:space="preserve">Frisa quão relevante é reforçar as capacidades de dados, em particular tendo em conta o efeito de alavanca no setor dos criptoativos e as interligações com o setor das instituições financeiras não bancárias; insta a Comissão a continuar a acompanhar a interligação entre os criptoativos e o sistema financeiro; observa que os criptoativos não apoiados podem estar expostos a riscos e a uma </w:t>
      </w:r>
      <w:proofErr w:type="gramStart"/>
      <w:r w:rsidRPr="00FC4B5B">
        <w:t>volatilidade adicionais</w:t>
      </w:r>
      <w:proofErr w:type="gramEnd"/>
      <w:r w:rsidRPr="00FC4B5B">
        <w:t>;</w:t>
      </w:r>
    </w:p>
    <w:p w14:paraId="4BC6DF6F" w14:textId="77777777" w:rsidR="00AB4682" w:rsidRPr="00FC4B5B" w:rsidRDefault="00AB4682" w:rsidP="00AB4682">
      <w:pPr>
        <w:pStyle w:val="NormalHanging12a"/>
      </w:pPr>
      <w:r w:rsidRPr="00FC4B5B">
        <w:t>7.</w:t>
      </w:r>
      <w:r w:rsidRPr="00FC4B5B">
        <w:tab/>
        <w:t xml:space="preserve">Insta a EBA, a ESMA, a ACBC, a Autoridade Europeia dos Seguros e Pensões Complementares de Reforma, as autoridades nacionais competentes, o BCE e o CERS a intensificarem o diálogo de supervisão sobre os grandes grupos multifuncionais; sublinha a imprescindibilidade de harmonizar o quadro das políticas do Regulamento </w:t>
      </w:r>
      <w:proofErr w:type="spellStart"/>
      <w:r w:rsidRPr="00FC4B5B">
        <w:t>MiCA</w:t>
      </w:r>
      <w:proofErr w:type="spellEnd"/>
      <w:r w:rsidRPr="00FC4B5B">
        <w:t xml:space="preserve"> em relação aos grandes grupos multifuncionais não bancários;</w:t>
      </w:r>
    </w:p>
    <w:p w14:paraId="277692F2" w14:textId="77777777" w:rsidR="00AB4682" w:rsidRPr="00FC4B5B" w:rsidRDefault="00AB4682" w:rsidP="00AB4682">
      <w:pPr>
        <w:pStyle w:val="NormalHanging12a"/>
      </w:pPr>
      <w:r w:rsidRPr="00FC4B5B">
        <w:t>8.</w:t>
      </w:r>
      <w:r w:rsidRPr="00FC4B5B">
        <w:tab/>
        <w:t xml:space="preserve">Reconhece que as DLT introduzem novas considerações tecnológicas e operacionais para os supervisores financeiros, incluindo questões relacionadas com a segurança dos contratos inteligentes, a governação das redes descentralizadas, a </w:t>
      </w:r>
      <w:proofErr w:type="spellStart"/>
      <w:r w:rsidRPr="00FC4B5B">
        <w:t>ciber</w:t>
      </w:r>
      <w:proofErr w:type="spellEnd"/>
      <w:r w:rsidRPr="00FC4B5B">
        <w:t>-resiliência e a gestão dos riscos operacionais; exorta as autoridades de supervisão a desenvolverem competências técnicas suficientes para compreender e monitorizar eficazmente estas infraestruturas de mercado emergentes;</w:t>
      </w:r>
    </w:p>
    <w:p w14:paraId="0AF01DCB" w14:textId="77777777" w:rsidR="00AB4682" w:rsidRPr="00FC4B5B" w:rsidRDefault="00AB4682" w:rsidP="00AB4682">
      <w:pPr>
        <w:pStyle w:val="NormalHanging12a"/>
      </w:pPr>
      <w:r w:rsidRPr="00FC4B5B">
        <w:t>9.</w:t>
      </w:r>
      <w:r w:rsidRPr="00FC4B5B">
        <w:tab/>
        <w:t xml:space="preserve">Manifesta preocupação com o papel desempenhado pelos criptoativos na evasão à legislação e às sanções em matéria de combate ao branqueamento de capitais e ao financiamento do terrorismo (CBC/FT); frisa a importância de reforçar os instrumentos de supervisão, a aplicação e as normas de conformidade para abordar os riscos relacionados com o CBC/FT, incluindo as normas eficazes «conheça o seu cliente» e o controlo dos pagamentos; sublinha que é importante que as autoridades de investigação utilizem a tecnologia na base dos criptoativos para desencorajar a </w:t>
      </w:r>
      <w:proofErr w:type="spellStart"/>
      <w:r w:rsidRPr="00FC4B5B">
        <w:t>criptocriminalidade</w:t>
      </w:r>
      <w:proofErr w:type="spellEnd"/>
      <w:r w:rsidRPr="00FC4B5B">
        <w:t xml:space="preserve"> e cooperem entre si para bloquear transações ilegais detetadas ou denunciadas;</w:t>
      </w:r>
    </w:p>
    <w:p w14:paraId="38B399FC" w14:textId="77777777" w:rsidR="00AB4682" w:rsidRPr="00FC4B5B" w:rsidRDefault="00AB4682" w:rsidP="00AB4682">
      <w:pPr>
        <w:pStyle w:val="NormalHanging12a"/>
      </w:pPr>
      <w:r w:rsidRPr="00FC4B5B">
        <w:t>10.</w:t>
      </w:r>
      <w:r w:rsidRPr="00FC4B5B">
        <w:tab/>
        <w:t>Observa que a emergência de produtos híbridos que combinam características de criptoativos e instrumentos financeiros tradicionais podem criar insegurança jurídica;</w:t>
      </w:r>
    </w:p>
    <w:p w14:paraId="5D273CF3" w14:textId="77777777" w:rsidR="00AB4682" w:rsidRPr="00FC4B5B" w:rsidRDefault="00AB4682" w:rsidP="00AB4682">
      <w:pPr>
        <w:pStyle w:val="Normal12a"/>
      </w:pPr>
      <w:r w:rsidRPr="00FC4B5B">
        <w:rPr>
          <w:b/>
          <w:i/>
        </w:rPr>
        <w:t>Tokenização dos instrumentos financeiros</w:t>
      </w:r>
    </w:p>
    <w:p w14:paraId="455A1F67" w14:textId="77777777" w:rsidR="00AB4682" w:rsidRPr="00FC4B5B" w:rsidRDefault="00AB4682" w:rsidP="00AB4682">
      <w:pPr>
        <w:pStyle w:val="NormalHanging12a"/>
      </w:pPr>
      <w:r w:rsidRPr="00FC4B5B">
        <w:t>11.</w:t>
      </w:r>
      <w:r w:rsidRPr="00FC4B5B">
        <w:tab/>
        <w:t xml:space="preserve">Observa que o considerando 3 do Regulamento (UE) 2022/858 define a «tokenização» de instrumentos financeiros como a representação digital de instrumentos financeiros em registos distribuídos ou a emissão de classes de ativos tradicionais sob a forma de </w:t>
      </w:r>
      <w:proofErr w:type="spellStart"/>
      <w:r w:rsidRPr="00FC4B5B">
        <w:t>tokens</w:t>
      </w:r>
      <w:proofErr w:type="spellEnd"/>
      <w:r w:rsidRPr="00FC4B5B">
        <w:t>, para permitir a sua emissão, armazenamento e transferência num registo distribuído;</w:t>
      </w:r>
    </w:p>
    <w:p w14:paraId="2D738630" w14:textId="77777777" w:rsidR="00AB4682" w:rsidRPr="00FC4B5B" w:rsidRDefault="00AB4682" w:rsidP="00AB4682">
      <w:pPr>
        <w:pStyle w:val="NormalHanging12a"/>
      </w:pPr>
      <w:r w:rsidRPr="00FC4B5B">
        <w:lastRenderedPageBreak/>
        <w:t>12.</w:t>
      </w:r>
      <w:r w:rsidRPr="00FC4B5B">
        <w:tab/>
        <w:t xml:space="preserve">Salienta que a tokenização dos ativos financeiros não altera, por si só, a natureza jurídica ou as características económicas fundamentais desses ativos; salienta que os instrumentos financeiros </w:t>
      </w:r>
      <w:proofErr w:type="spellStart"/>
      <w:r w:rsidRPr="00FC4B5B">
        <w:t>tokenizados</w:t>
      </w:r>
      <w:proofErr w:type="spellEnd"/>
      <w:r w:rsidRPr="00FC4B5B">
        <w:t xml:space="preserve"> devem conceder direitos equivalentes aos associados aos valores mobiliários tradicionais, a fim de evitar a arbitragem reguladora e salvaguardar a proteção dos investidores;</w:t>
      </w:r>
    </w:p>
    <w:p w14:paraId="43EFBC20" w14:textId="77777777" w:rsidR="00AB4682" w:rsidRPr="00FC4B5B" w:rsidRDefault="00AB4682" w:rsidP="00AB4682">
      <w:pPr>
        <w:pStyle w:val="NormalHanging12a"/>
      </w:pPr>
      <w:r w:rsidRPr="00FC4B5B">
        <w:t>13.</w:t>
      </w:r>
      <w:r w:rsidRPr="00FC4B5B">
        <w:tab/>
        <w:t>Acolhe com agrado os potenciais benefícios da tokenização para a negociação de ativos financeiros, como o aumento da eficiência e da transparência, a redução do risco de contraparte e dos custos operacionais, a contratação inteligente e uma maior liquidez através da propriedade fracionária, assinalando simultaneamente que as suas vulnerabilidades devem ser objeto de acompanhamento;</w:t>
      </w:r>
    </w:p>
    <w:p w14:paraId="5F10E58D" w14:textId="77777777" w:rsidR="00AB4682" w:rsidRPr="00FC4B5B" w:rsidRDefault="00AB4682" w:rsidP="00AB4682">
      <w:pPr>
        <w:pStyle w:val="NormalHanging12a"/>
      </w:pPr>
      <w:r w:rsidRPr="00FC4B5B">
        <w:t>14.</w:t>
      </w:r>
      <w:r w:rsidRPr="00FC4B5B">
        <w:tab/>
        <w:t>Exorta a Comissão a facilitar e incentivar a tokenização em todos os serviços financeiros, insistindo na interoperabilidade e prevenindo a fragmentação, através da defesa de normas em todo o mercado único e da disponibilização de infraestruturas;</w:t>
      </w:r>
    </w:p>
    <w:p w14:paraId="26432878" w14:textId="77777777" w:rsidR="00AB4682" w:rsidRPr="00FC4B5B" w:rsidRDefault="00AB4682" w:rsidP="00AB4682">
      <w:pPr>
        <w:pStyle w:val="NormalHanging12a"/>
      </w:pPr>
      <w:r w:rsidRPr="00FC4B5B">
        <w:t>15.</w:t>
      </w:r>
      <w:r w:rsidRPr="00FC4B5B">
        <w:tab/>
        <w:t xml:space="preserve">Reconhece os esforços do BCE para fornecer soluções, incluindo infraestruturas que ofereçam uma opção para a moeda digital grossista de um banco central (CBDC) que permita a liquidação da vertente monetária e de ativos num registo partilhado, em complemento dos depósitos de bancos comerciais sob a forma de </w:t>
      </w:r>
      <w:proofErr w:type="spellStart"/>
      <w:r w:rsidRPr="00FC4B5B">
        <w:t>criptofichas</w:t>
      </w:r>
      <w:proofErr w:type="spellEnd"/>
      <w:r w:rsidRPr="00FC4B5B">
        <w:t xml:space="preserve"> e das </w:t>
      </w:r>
      <w:proofErr w:type="spellStart"/>
      <w:r w:rsidRPr="00FC4B5B">
        <w:t>criptomoedas</w:t>
      </w:r>
      <w:proofErr w:type="spellEnd"/>
      <w:r w:rsidRPr="00FC4B5B">
        <w:t xml:space="preserve"> estáveis;</w:t>
      </w:r>
    </w:p>
    <w:p w14:paraId="797439B0" w14:textId="77777777" w:rsidR="00AB4682" w:rsidRPr="00FC4B5B" w:rsidRDefault="00AB4682" w:rsidP="00AB4682">
      <w:pPr>
        <w:pStyle w:val="NormalHanging12a"/>
      </w:pPr>
      <w:r w:rsidRPr="00FC4B5B">
        <w:t>16.</w:t>
      </w:r>
      <w:r w:rsidRPr="00FC4B5B">
        <w:tab/>
        <w:t xml:space="preserve">Sublinha o potencial para a conectividade global do mercado europeu de </w:t>
      </w:r>
      <w:proofErr w:type="spellStart"/>
      <w:r w:rsidRPr="00FC4B5B">
        <w:t>criptofichas</w:t>
      </w:r>
      <w:proofErr w:type="spellEnd"/>
      <w:r w:rsidRPr="00FC4B5B">
        <w:t>; salienta a importância da cooperação internacional para harmonizar os critérios, os princípios e as normas de categorização; apoia o trabalho do BPI no âmbito das iniciativas de colaboração transfronteiras referente aos pagamentos;</w:t>
      </w:r>
    </w:p>
    <w:p w14:paraId="7AD61AAE" w14:textId="77777777" w:rsidR="00AB4682" w:rsidRPr="00FC4B5B" w:rsidRDefault="00AB4682" w:rsidP="00AB4682">
      <w:pPr>
        <w:pStyle w:val="NormalHanging12a"/>
      </w:pPr>
      <w:r w:rsidRPr="00FC4B5B">
        <w:t>17.</w:t>
      </w:r>
      <w:r w:rsidRPr="00FC4B5B">
        <w:tab/>
        <w:t>Congratula-se com o debate em curso sobre o regime-piloto para a DLT no âmbito do pacote relativo à integração dos mercados e à supervisão;</w:t>
      </w:r>
    </w:p>
    <w:p w14:paraId="02CA8E42" w14:textId="77777777" w:rsidR="00AB4682" w:rsidRPr="00FC4B5B" w:rsidRDefault="00AB4682" w:rsidP="00AB4682">
      <w:pPr>
        <w:pStyle w:val="Normal12a"/>
      </w:pPr>
      <w:proofErr w:type="spellStart"/>
      <w:r w:rsidRPr="00FC4B5B">
        <w:rPr>
          <w:b/>
          <w:i/>
        </w:rPr>
        <w:t>Criptomoedas</w:t>
      </w:r>
      <w:proofErr w:type="spellEnd"/>
      <w:r w:rsidRPr="00FC4B5B">
        <w:rPr>
          <w:b/>
          <w:i/>
        </w:rPr>
        <w:t xml:space="preserve"> estáveis</w:t>
      </w:r>
    </w:p>
    <w:p w14:paraId="2FC035FF" w14:textId="77777777" w:rsidR="00AB4682" w:rsidRPr="00FC4B5B" w:rsidRDefault="00AB4682" w:rsidP="00AB4682">
      <w:pPr>
        <w:pStyle w:val="NormalHanging12a"/>
      </w:pPr>
      <w:r w:rsidRPr="00FC4B5B">
        <w:t>18.</w:t>
      </w:r>
      <w:r w:rsidRPr="00FC4B5B">
        <w:tab/>
        <w:t xml:space="preserve">Constata que, ao abrigo do quadro jurídico do Regulamento </w:t>
      </w:r>
      <w:proofErr w:type="spellStart"/>
      <w:r w:rsidRPr="00FC4B5B">
        <w:t>MiCA</w:t>
      </w:r>
      <w:proofErr w:type="spellEnd"/>
      <w:r w:rsidRPr="00FC4B5B">
        <w:t xml:space="preserve">, as </w:t>
      </w:r>
      <w:proofErr w:type="spellStart"/>
      <w:r w:rsidRPr="00FC4B5B">
        <w:t>criptomoedas</w:t>
      </w:r>
      <w:proofErr w:type="spellEnd"/>
      <w:r w:rsidRPr="00FC4B5B">
        <w:t xml:space="preserve"> estáveis se podem enquadrar em duas categorias, a saber, </w:t>
      </w:r>
      <w:proofErr w:type="spellStart"/>
      <w:r w:rsidRPr="00FC4B5B">
        <w:t>criptofichas</w:t>
      </w:r>
      <w:proofErr w:type="spellEnd"/>
      <w:r w:rsidRPr="00FC4B5B">
        <w:t xml:space="preserve"> referenciadas a ativos e </w:t>
      </w:r>
      <w:proofErr w:type="spellStart"/>
      <w:r w:rsidRPr="00FC4B5B">
        <w:t>criptofichas</w:t>
      </w:r>
      <w:proofErr w:type="spellEnd"/>
      <w:r w:rsidRPr="00FC4B5B">
        <w:t xml:space="preserve"> de moeda eletrónica;</w:t>
      </w:r>
    </w:p>
    <w:p w14:paraId="7BE43E11" w14:textId="77777777" w:rsidR="00AB4682" w:rsidRPr="00FC4B5B" w:rsidRDefault="00AB4682" w:rsidP="00AB4682">
      <w:pPr>
        <w:pStyle w:val="NormalHanging12a"/>
      </w:pPr>
      <w:r w:rsidRPr="00FC4B5B">
        <w:t>19.</w:t>
      </w:r>
      <w:r w:rsidRPr="00FC4B5B">
        <w:tab/>
        <w:t xml:space="preserve">Assinala que as </w:t>
      </w:r>
      <w:proofErr w:type="spellStart"/>
      <w:r w:rsidRPr="00FC4B5B">
        <w:t>criptomoedas</w:t>
      </w:r>
      <w:proofErr w:type="spellEnd"/>
      <w:r w:rsidRPr="00FC4B5B">
        <w:t xml:space="preserve"> estáveis são uma forma de criação de moeda privada e que a sua função económica apresenta semelhanças com as ligações cambiais, os fundos do mercado monetário e os </w:t>
      </w:r>
      <w:proofErr w:type="spellStart"/>
      <w:r w:rsidRPr="00FC4B5B">
        <w:t>narrow</w:t>
      </w:r>
      <w:proofErr w:type="spellEnd"/>
      <w:r w:rsidRPr="00FC4B5B">
        <w:t xml:space="preserve"> </w:t>
      </w:r>
      <w:proofErr w:type="spellStart"/>
      <w:r w:rsidRPr="00FC4B5B">
        <w:t>banks</w:t>
      </w:r>
      <w:proofErr w:type="spellEnd"/>
      <w:r w:rsidRPr="00FC4B5B">
        <w:t xml:space="preserve">; frisa, porém, que o Regulamento </w:t>
      </w:r>
      <w:proofErr w:type="spellStart"/>
      <w:r w:rsidRPr="00FC4B5B">
        <w:t>MiCA</w:t>
      </w:r>
      <w:proofErr w:type="spellEnd"/>
      <w:r w:rsidRPr="00FC4B5B">
        <w:t xml:space="preserve"> proíbe os emitentes de </w:t>
      </w:r>
      <w:proofErr w:type="spellStart"/>
      <w:r w:rsidRPr="00FC4B5B">
        <w:t>criptofichas</w:t>
      </w:r>
      <w:proofErr w:type="spellEnd"/>
      <w:r w:rsidRPr="00FC4B5B">
        <w:t xml:space="preserve"> de moeda eletrónica e os prestadores de serviços de criptoativos de, direta ou indiretamente, concederem juros em relação a </w:t>
      </w:r>
      <w:proofErr w:type="spellStart"/>
      <w:r w:rsidRPr="00FC4B5B">
        <w:t>criptofichas</w:t>
      </w:r>
      <w:proofErr w:type="spellEnd"/>
      <w:r w:rsidRPr="00FC4B5B">
        <w:t xml:space="preserve"> de moeda eletrónica, e que as </w:t>
      </w:r>
      <w:proofErr w:type="spellStart"/>
      <w:r w:rsidRPr="00FC4B5B">
        <w:t>criptomoedas</w:t>
      </w:r>
      <w:proofErr w:type="spellEnd"/>
      <w:r w:rsidRPr="00FC4B5B">
        <w:t xml:space="preserve"> estáveis não têm acesso direto aos bancos centrais, e os seus titulares não estão abrangidos por sistemas de garantias públicas de depósitos; denota os riscos de desvalorização ou de desindexação e de desintermediação associados às </w:t>
      </w:r>
      <w:proofErr w:type="spellStart"/>
      <w:r w:rsidRPr="00FC4B5B">
        <w:t>criptomoedas</w:t>
      </w:r>
      <w:proofErr w:type="spellEnd"/>
      <w:r w:rsidRPr="00FC4B5B">
        <w:t xml:space="preserve"> estáveis;</w:t>
      </w:r>
    </w:p>
    <w:p w14:paraId="24E73853" w14:textId="6B33DD1A" w:rsidR="004122B2" w:rsidRPr="00FC4B5B" w:rsidRDefault="0050081D" w:rsidP="00AB4682">
      <w:pPr>
        <w:pStyle w:val="NormalHanging12a"/>
      </w:pPr>
      <w:r w:rsidRPr="00FC4B5B">
        <w:t>20.</w:t>
      </w:r>
      <w:r w:rsidR="004122B2" w:rsidRPr="00FC4B5B">
        <w:tab/>
        <w:t xml:space="preserve">Observa com preocupação a expansão rápida e contínua das </w:t>
      </w:r>
      <w:proofErr w:type="spellStart"/>
      <w:r w:rsidR="004122B2" w:rsidRPr="00FC4B5B">
        <w:t>criptomoedas</w:t>
      </w:r>
      <w:proofErr w:type="spellEnd"/>
      <w:r w:rsidR="004122B2" w:rsidRPr="00FC4B5B">
        <w:t xml:space="preserve"> estáveis expressas em dólares americanos, bem como a sua predominância, o que pode vir a enfraquecer a soberania monetária da UE, aumentar os riscos para a estabilidade financeira, prejudicar a transmissão da política monetária e reforçar as dependências externas no que se refere aos pagamentos;</w:t>
      </w:r>
    </w:p>
    <w:p w14:paraId="7E2E1F7D" w14:textId="22A497D0" w:rsidR="00AB4682" w:rsidRPr="00FC4B5B" w:rsidRDefault="0050081D" w:rsidP="00AB4682">
      <w:pPr>
        <w:pStyle w:val="NormalHanging12a"/>
      </w:pPr>
      <w:r w:rsidRPr="00FC4B5B">
        <w:lastRenderedPageBreak/>
        <w:t>21</w:t>
      </w:r>
      <w:r w:rsidR="00AB4682" w:rsidRPr="00FC4B5B">
        <w:t>.</w:t>
      </w:r>
      <w:r w:rsidR="00AB4682" w:rsidRPr="00FC4B5B">
        <w:tab/>
        <w:t xml:space="preserve">Congratula-se com a emergência de </w:t>
      </w:r>
      <w:proofErr w:type="spellStart"/>
      <w:r w:rsidR="00AB4682" w:rsidRPr="00FC4B5B">
        <w:t>criptofichas</w:t>
      </w:r>
      <w:proofErr w:type="spellEnd"/>
      <w:r w:rsidR="00AB4682" w:rsidRPr="00FC4B5B">
        <w:t xml:space="preserve"> de moeda eletrónica denominadas em euros no âmbito do Regulamento </w:t>
      </w:r>
      <w:proofErr w:type="spellStart"/>
      <w:r w:rsidR="00AB4682" w:rsidRPr="00FC4B5B">
        <w:t>MiCA</w:t>
      </w:r>
      <w:proofErr w:type="spellEnd"/>
      <w:r w:rsidR="00AB4682" w:rsidRPr="00FC4B5B">
        <w:t xml:space="preserve"> e incentiva o seu desenvolvimento para apoiar a inovação em matéria de pagamentos na UE, a competitividade dos mercados financeiros da UE e o papel internacional do euro, nomeadamente através de pagamentos transfronteiriços mais rápidos e com custos mais baixos, complementares dos depósitos sob a forma de </w:t>
      </w:r>
      <w:proofErr w:type="spellStart"/>
      <w:r w:rsidR="00AB4682" w:rsidRPr="00FC4B5B">
        <w:t>criptofichas</w:t>
      </w:r>
      <w:proofErr w:type="spellEnd"/>
      <w:r w:rsidR="00AB4682" w:rsidRPr="00FC4B5B">
        <w:t xml:space="preserve"> e da moeda digital grossista de um banco central; salienta a importância de quadros harmonizados de gestão de riscos de liquidez e de crises, incluindo mecanismos de resgate em cascata e requisitos de segregação de reservas; observa que o BCE defende que as </w:t>
      </w:r>
      <w:proofErr w:type="spellStart"/>
      <w:r w:rsidR="00AB4682" w:rsidRPr="00FC4B5B">
        <w:t>criptomoedas</w:t>
      </w:r>
      <w:proofErr w:type="spellEnd"/>
      <w:r w:rsidR="00AB4682" w:rsidRPr="00FC4B5B">
        <w:t xml:space="preserve"> estáveis não denominadas em euros podem representar riscos para a política monetária se a sua utilização se generalizar; manifesta a sua cautela quanto à utilização abusiva da cláusula de «solicitação inversa»;</w:t>
      </w:r>
    </w:p>
    <w:p w14:paraId="4A7AEE6D" w14:textId="1F60D58A" w:rsidR="00AB4682" w:rsidRPr="00FC4B5B" w:rsidRDefault="0050081D" w:rsidP="00AB4682">
      <w:pPr>
        <w:pStyle w:val="NormalHanging12a"/>
      </w:pPr>
      <w:r w:rsidRPr="00FC4B5B">
        <w:t>22</w:t>
      </w:r>
      <w:r w:rsidR="00AB4682" w:rsidRPr="00FC4B5B">
        <w:t>.</w:t>
      </w:r>
      <w:r w:rsidR="00AB4682" w:rsidRPr="00FC4B5B">
        <w:tab/>
        <w:t xml:space="preserve">Está ciente da necessidade de segurança jurídica no direito da UE no que diz respeito à possibilidade de emissão múltipla de </w:t>
      </w:r>
      <w:proofErr w:type="spellStart"/>
      <w:r w:rsidR="00AB4682" w:rsidRPr="00FC4B5B">
        <w:t>criptomoedas</w:t>
      </w:r>
      <w:proofErr w:type="spellEnd"/>
      <w:r w:rsidR="00AB4682" w:rsidRPr="00FC4B5B">
        <w:t xml:space="preserve"> estáveis por uma entidade da UE e uma entidade de um país terceiro, quando as </w:t>
      </w:r>
      <w:proofErr w:type="spellStart"/>
      <w:r w:rsidR="00AB4682" w:rsidRPr="00FC4B5B">
        <w:t>criptomoedas</w:t>
      </w:r>
      <w:proofErr w:type="spellEnd"/>
      <w:r w:rsidR="00AB4682" w:rsidRPr="00FC4B5B">
        <w:t xml:space="preserve"> estáveis digitais emitidas pelas duas entidades são totalmente fungíveis e indistinguíveis; recorda que o CERS alertou para o facto de a emissão múltipla poder constituir um potencial canal de contágio; salienta a necessidade de assegurar que o funcionamento desses regimes na UE se baseie na segurança jurídica e num quadro regulamentar rigoroso que preveja salvaguardas prudenciais sólidas, acordos de cooperação robustos e protocolos reforçados de gestão de crises; destaca a importância de promover a coordenação internacional em matéria de regulamentação e supervisão das </w:t>
      </w:r>
      <w:proofErr w:type="spellStart"/>
      <w:r w:rsidR="00AB4682" w:rsidRPr="00FC4B5B">
        <w:t>criptomoedas</w:t>
      </w:r>
      <w:proofErr w:type="spellEnd"/>
      <w:r w:rsidR="00AB4682" w:rsidRPr="00FC4B5B">
        <w:t xml:space="preserve"> estáveis a nível mundial, com vista à elaboração de normas internacionais;</w:t>
      </w:r>
    </w:p>
    <w:p w14:paraId="6919BAB7" w14:textId="60ECD3D7" w:rsidR="00AB4682" w:rsidRPr="00FC4B5B" w:rsidRDefault="0050081D" w:rsidP="00AB4682">
      <w:pPr>
        <w:pStyle w:val="NormalHanging12a"/>
      </w:pPr>
      <w:r w:rsidRPr="00FC4B5B">
        <w:t>23</w:t>
      </w:r>
      <w:r w:rsidR="00AB4682" w:rsidRPr="00FC4B5B">
        <w:t>.</w:t>
      </w:r>
      <w:r w:rsidR="00AB4682" w:rsidRPr="00FC4B5B">
        <w:tab/>
        <w:t>Congratula-se com o acordo provisório sobre a proposta de diretiva</w:t>
      </w:r>
      <w:r w:rsidR="004C1561" w:rsidRPr="00FC4B5B">
        <w:rPr>
          <w:rStyle w:val="FootnoteReference"/>
        </w:rPr>
        <w:footnoteReference w:id="6"/>
      </w:r>
      <w:r w:rsidR="00AB4682" w:rsidRPr="00FC4B5B">
        <w:t xml:space="preserve"> e a proposta de regulamento</w:t>
      </w:r>
      <w:r w:rsidR="004C1561" w:rsidRPr="00FC4B5B">
        <w:rPr>
          <w:rStyle w:val="FootnoteReference"/>
        </w:rPr>
        <w:footnoteReference w:id="7"/>
      </w:r>
      <w:r w:rsidR="00AB4682" w:rsidRPr="00FC4B5B">
        <w:t xml:space="preserve"> relativos aos serviços de pagamento e a solução de autorização simplificada para os prestadores de serviços de criptoativos já autorizados ao abrigo do Regulamento </w:t>
      </w:r>
      <w:proofErr w:type="spellStart"/>
      <w:r w:rsidR="00AB4682" w:rsidRPr="00FC4B5B">
        <w:t>MiCA</w:t>
      </w:r>
      <w:proofErr w:type="spellEnd"/>
      <w:r w:rsidR="00AB4682" w:rsidRPr="00FC4B5B">
        <w:t>, a fim de evitar sobreposições regulamentares desnecessárias, que estariam sujeitas a um procedimento simplificado, mantendo simultaneamente controlos de risco adequados e prestando apenas os serviços especificados no pedido;</w:t>
      </w:r>
    </w:p>
    <w:p w14:paraId="1B1CE6A2" w14:textId="77777777" w:rsidR="00AB4682" w:rsidRPr="00FC4B5B" w:rsidRDefault="00AB4682" w:rsidP="00AB4682">
      <w:pPr>
        <w:pStyle w:val="Normal12a"/>
      </w:pPr>
      <w:r w:rsidRPr="00FC4B5B">
        <w:rPr>
          <w:b/>
          <w:i/>
        </w:rPr>
        <w:t>Considerações transversais</w:t>
      </w:r>
    </w:p>
    <w:p w14:paraId="3EC89AC3" w14:textId="1AF91F3A" w:rsidR="00AB4682" w:rsidRPr="00FC4B5B" w:rsidRDefault="0050081D" w:rsidP="00AB4682">
      <w:pPr>
        <w:pStyle w:val="NormalHanging12a"/>
      </w:pPr>
      <w:r w:rsidRPr="00FC4B5B">
        <w:t>24</w:t>
      </w:r>
      <w:r w:rsidR="00AB4682" w:rsidRPr="00FC4B5B">
        <w:t>.</w:t>
      </w:r>
      <w:r w:rsidR="00AB4682" w:rsidRPr="00FC4B5B">
        <w:tab/>
        <w:t xml:space="preserve">Sublinha que a interoperabilidade é crucial no domínio das finanças digitais, exigindo, por exemplo, uma identidade portável e credenciais verificáveis enquanto elementos </w:t>
      </w:r>
      <w:proofErr w:type="spellStart"/>
      <w:r w:rsidR="00AB4682" w:rsidRPr="00FC4B5B">
        <w:t>viabilizadores</w:t>
      </w:r>
      <w:proofErr w:type="spellEnd"/>
      <w:r w:rsidR="00AB4682" w:rsidRPr="00FC4B5B">
        <w:t xml:space="preserve"> de infraestruturas de mercado inter-redes; realça que as abordagens do tipo identificador de entidade jurídica/identificador de entidade jurídica verificável devem ser avaliadas como ferramentas orientadas para as infraestruturas; insta a Comissão a trabalhar com organizações europeias e internacionais de normalização para desenvolver normas técnicas e protocolos comuns para os ativos digitais, os contratos inteligentes e as identidades digitais;</w:t>
      </w:r>
    </w:p>
    <w:p w14:paraId="30E5F060" w14:textId="622FC6F0" w:rsidR="00AB4682" w:rsidRPr="00FC4B5B" w:rsidRDefault="0050081D" w:rsidP="00AB4682">
      <w:pPr>
        <w:pStyle w:val="NormalHanging12a"/>
      </w:pPr>
      <w:r w:rsidRPr="00FC4B5B">
        <w:lastRenderedPageBreak/>
        <w:t>25</w:t>
      </w:r>
      <w:r w:rsidR="00AB4682" w:rsidRPr="00FC4B5B">
        <w:t>.</w:t>
      </w:r>
      <w:r w:rsidR="00AB4682" w:rsidRPr="00FC4B5B">
        <w:tab/>
        <w:t>Congratula-se com os debates em curso sobre o euro digital, incluindo os preparativos para as suas utilizações a nível de retalho e grossista, e apoia os projetos de DLT em curso, tanto de curto prazo (Pontes) como de longo prazo (</w:t>
      </w:r>
      <w:proofErr w:type="spellStart"/>
      <w:r w:rsidR="00AB4682" w:rsidRPr="00FC4B5B">
        <w:t>Appia</w:t>
      </w:r>
      <w:proofErr w:type="spellEnd"/>
      <w:r w:rsidR="00AB4682" w:rsidRPr="00FC4B5B">
        <w:t>), para a liquidação em moeda grossista de banco central; insta a Comissão e o BCE a assegurarem que as futuras soluções do euro digital sejam concebidas de forma a facilitar a interoperabilidade com as infraestruturas DLT e a assegurar a complementaridade e coexistência com o dinheiro físico;</w:t>
      </w:r>
    </w:p>
    <w:p w14:paraId="00435BEF" w14:textId="5DEFE158" w:rsidR="00AB4682" w:rsidRPr="00FC4B5B" w:rsidRDefault="0050081D" w:rsidP="00AB4682">
      <w:pPr>
        <w:pStyle w:val="NormalHanging12a"/>
      </w:pPr>
      <w:r w:rsidRPr="00FC4B5B">
        <w:t>26</w:t>
      </w:r>
      <w:r w:rsidR="00AB4682" w:rsidRPr="00FC4B5B">
        <w:t>.</w:t>
      </w:r>
      <w:r w:rsidR="00AB4682" w:rsidRPr="00FC4B5B">
        <w:tab/>
        <w:t>Lamenta a dependência da UE relativamente a prestadores de serviços de países terceiros no que às infraestruturas DLT concerne; salienta que o tratamento dado pela Administração dos EUA aos ativos digitais deve ser acompanhado com prudência;</w:t>
      </w:r>
    </w:p>
    <w:p w14:paraId="332A971F" w14:textId="56A4C5FC" w:rsidR="00AB4682" w:rsidRPr="00FC4B5B" w:rsidRDefault="0050081D" w:rsidP="00AB4682">
      <w:pPr>
        <w:pStyle w:val="NormalHanging12a"/>
      </w:pPr>
      <w:r w:rsidRPr="00FC4B5B">
        <w:t>27</w:t>
      </w:r>
      <w:r w:rsidR="00AB4682" w:rsidRPr="00FC4B5B">
        <w:t>.</w:t>
      </w:r>
      <w:r w:rsidR="00AB4682" w:rsidRPr="00FC4B5B">
        <w:tab/>
        <w:t>Assinala os debates em curso sobre a supervisão dos prestadores de serviços de criptoativos no que se refere ao papel da ESMA, no âmbito do pacote relativo à integração dos mercados e à supervisão;</w:t>
      </w:r>
    </w:p>
    <w:p w14:paraId="7E762DEC" w14:textId="16CCB97D" w:rsidR="00D820B2" w:rsidRPr="00FC4B5B" w:rsidRDefault="00D820B2" w:rsidP="00D820B2">
      <w:pPr>
        <w:pStyle w:val="NormalCenter12a"/>
      </w:pPr>
      <w:r w:rsidRPr="00FC4B5B">
        <w:t>°</w:t>
      </w:r>
    </w:p>
    <w:p w14:paraId="320C4F77" w14:textId="1D515F13" w:rsidR="00D820B2" w:rsidRPr="00FC4B5B" w:rsidRDefault="00D820B2" w:rsidP="00D820B2">
      <w:pPr>
        <w:pStyle w:val="NormalCenter12a"/>
      </w:pPr>
      <w:r w:rsidRPr="00FC4B5B">
        <w:t>°     °</w:t>
      </w:r>
    </w:p>
    <w:p w14:paraId="47E9259D" w14:textId="0A4C264C" w:rsidR="00BB2ED0" w:rsidRPr="00FC4B5B" w:rsidRDefault="0050081D" w:rsidP="00BB2ED0">
      <w:pPr>
        <w:pStyle w:val="NormalHanging12a"/>
      </w:pPr>
      <w:r w:rsidRPr="00FC4B5B">
        <w:t>28</w:t>
      </w:r>
      <w:r w:rsidR="00AB4682" w:rsidRPr="00FC4B5B">
        <w:t>.</w:t>
      </w:r>
      <w:r w:rsidR="00AB4682" w:rsidRPr="00FC4B5B">
        <w:tab/>
        <w:t>Encarrega a sua Presidente de transmitir a presente resolução ao Conselho e à Comissão.</w:t>
      </w:r>
    </w:p>
    <w:p w14:paraId="4699EDEF" w14:textId="0A6C9650" w:rsidR="00E365E1" w:rsidRPr="00FC4B5B" w:rsidRDefault="00E365E1" w:rsidP="00860BDB"/>
    <w:sectPr w:rsidR="00E365E1" w:rsidRPr="00FC4B5B" w:rsidSect="00BB2ED0"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06044" w14:textId="77777777" w:rsidR="00860BDB" w:rsidRPr="00BB2ED0" w:rsidRDefault="00860BDB">
      <w:r w:rsidRPr="00BB2ED0">
        <w:separator/>
      </w:r>
    </w:p>
  </w:endnote>
  <w:endnote w:type="continuationSeparator" w:id="0">
    <w:p w14:paraId="79C3CF89" w14:textId="77777777" w:rsidR="00860BDB" w:rsidRPr="00BB2ED0" w:rsidRDefault="00860BDB">
      <w:r w:rsidRPr="00BB2ED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B2120D" w14:textId="77777777" w:rsidR="00860BDB" w:rsidRPr="00BB2ED0" w:rsidRDefault="00860BDB">
      <w:r w:rsidRPr="00BB2ED0">
        <w:separator/>
      </w:r>
    </w:p>
  </w:footnote>
  <w:footnote w:type="continuationSeparator" w:id="0">
    <w:p w14:paraId="511B4187" w14:textId="77777777" w:rsidR="00860BDB" w:rsidRPr="00BB2ED0" w:rsidRDefault="00860BDB">
      <w:r w:rsidRPr="00BB2ED0">
        <w:continuationSeparator/>
      </w:r>
    </w:p>
  </w:footnote>
  <w:footnote w:id="1">
    <w:p w14:paraId="43993DD1" w14:textId="531EB40D" w:rsidR="004C1561" w:rsidRPr="00BB2ED0" w:rsidRDefault="004C1561" w:rsidP="00BB2ED0">
      <w:pPr>
        <w:pStyle w:val="FootnoteText"/>
        <w:ind w:left="567" w:hanging="567"/>
        <w:rPr>
          <w:sz w:val="24"/>
          <w:lang w:val="pt-PT"/>
        </w:rPr>
      </w:pPr>
      <w:r>
        <w:rPr>
          <w:rStyle w:val="FootnoteReference"/>
        </w:rPr>
        <w:footnoteRef/>
      </w:r>
      <w:r w:rsidRPr="00BB2ED0">
        <w:rPr>
          <w:sz w:val="24"/>
          <w:lang w:val="pt-PT"/>
        </w:rPr>
        <w:t xml:space="preserve"> </w:t>
      </w:r>
      <w:r w:rsidRPr="00BB2ED0">
        <w:rPr>
          <w:sz w:val="24"/>
          <w:lang w:val="pt-PT"/>
        </w:rPr>
        <w:tab/>
        <w:t>Fundo Monetário Internacional, «</w:t>
      </w:r>
      <w:proofErr w:type="spellStart"/>
      <w:r w:rsidRPr="00BB2ED0">
        <w:rPr>
          <w:sz w:val="24"/>
          <w:lang w:val="pt-PT"/>
        </w:rPr>
        <w:t>Stablecoins</w:t>
      </w:r>
      <w:proofErr w:type="spellEnd"/>
      <w:r w:rsidRPr="00BB2ED0">
        <w:rPr>
          <w:sz w:val="24"/>
          <w:lang w:val="pt-PT"/>
        </w:rPr>
        <w:t xml:space="preserve"> </w:t>
      </w:r>
      <w:proofErr w:type="spellStart"/>
      <w:r w:rsidRPr="00BB2ED0">
        <w:rPr>
          <w:sz w:val="24"/>
          <w:lang w:val="pt-PT"/>
        </w:rPr>
        <w:t>and</w:t>
      </w:r>
      <w:proofErr w:type="spellEnd"/>
      <w:r w:rsidRPr="00BB2ED0">
        <w:rPr>
          <w:sz w:val="24"/>
          <w:lang w:val="pt-PT"/>
        </w:rPr>
        <w:t xml:space="preserve"> </w:t>
      </w:r>
      <w:proofErr w:type="spellStart"/>
      <w:r w:rsidRPr="00BB2ED0">
        <w:rPr>
          <w:sz w:val="24"/>
          <w:lang w:val="pt-PT"/>
        </w:rPr>
        <w:t>the</w:t>
      </w:r>
      <w:proofErr w:type="spellEnd"/>
      <w:r w:rsidRPr="00BB2ED0">
        <w:rPr>
          <w:sz w:val="24"/>
          <w:lang w:val="pt-PT"/>
        </w:rPr>
        <w:t xml:space="preserve"> future </w:t>
      </w:r>
      <w:proofErr w:type="spellStart"/>
      <w:r w:rsidRPr="00BB2ED0">
        <w:rPr>
          <w:sz w:val="24"/>
          <w:lang w:val="pt-PT"/>
        </w:rPr>
        <w:t>of</w:t>
      </w:r>
      <w:proofErr w:type="spellEnd"/>
      <w:r w:rsidRPr="00BB2ED0">
        <w:rPr>
          <w:sz w:val="24"/>
          <w:lang w:val="pt-PT"/>
        </w:rPr>
        <w:t xml:space="preserve"> </w:t>
      </w:r>
      <w:proofErr w:type="spellStart"/>
      <w:r w:rsidRPr="00BB2ED0">
        <w:rPr>
          <w:sz w:val="24"/>
          <w:lang w:val="pt-PT"/>
        </w:rPr>
        <w:t>finance</w:t>
      </w:r>
      <w:proofErr w:type="spellEnd"/>
      <w:r w:rsidRPr="00BB2ED0">
        <w:rPr>
          <w:sz w:val="24"/>
          <w:lang w:val="pt-PT"/>
        </w:rPr>
        <w:t xml:space="preserve">», </w:t>
      </w:r>
      <w:proofErr w:type="spellStart"/>
      <w:r w:rsidRPr="00BB2ED0">
        <w:rPr>
          <w:sz w:val="24"/>
          <w:lang w:val="pt-PT"/>
        </w:rPr>
        <w:t>Finance</w:t>
      </w:r>
      <w:proofErr w:type="spellEnd"/>
      <w:r w:rsidRPr="00BB2ED0">
        <w:rPr>
          <w:sz w:val="24"/>
          <w:lang w:val="pt-PT"/>
        </w:rPr>
        <w:t xml:space="preserve"> &amp; </w:t>
      </w:r>
      <w:proofErr w:type="spellStart"/>
      <w:r w:rsidRPr="00BB2ED0">
        <w:rPr>
          <w:sz w:val="24"/>
          <w:lang w:val="pt-PT"/>
        </w:rPr>
        <w:t>Development</w:t>
      </w:r>
      <w:proofErr w:type="spellEnd"/>
      <w:r w:rsidRPr="00BB2ED0">
        <w:rPr>
          <w:sz w:val="24"/>
          <w:lang w:val="pt-PT"/>
        </w:rPr>
        <w:t xml:space="preserve">, Volume 62, n.º 3, 3 de setembro de 2025, Fundo Monetário Internacional, Washington, </w:t>
      </w:r>
      <w:hyperlink r:id="rId1" w:tgtFrame="https://doi.org/10.5089/9798400297649.022" w:history="1">
        <w:r w:rsidRPr="00BB2ED0">
          <w:rPr>
            <w:rStyle w:val="Hyperlink"/>
            <w:sz w:val="24"/>
            <w:lang w:val="pt-PT"/>
          </w:rPr>
          <w:t>https://doi.org/10.5089/9798400297649.022</w:t>
        </w:r>
      </w:hyperlink>
      <w:r w:rsidRPr="00BB2ED0">
        <w:rPr>
          <w:sz w:val="24"/>
          <w:lang w:val="pt-PT"/>
        </w:rPr>
        <w:t>.</w:t>
      </w:r>
    </w:p>
  </w:footnote>
  <w:footnote w:id="2">
    <w:p w14:paraId="10A7AE7D" w14:textId="5043F8C7" w:rsidR="004C1561" w:rsidRPr="004C1561" w:rsidRDefault="004C1561" w:rsidP="00BB2ED0">
      <w:pPr>
        <w:pStyle w:val="FootnoteText"/>
        <w:ind w:left="567" w:hanging="567"/>
        <w:rPr>
          <w:sz w:val="24"/>
          <w:lang w:val="en-GB"/>
        </w:rPr>
      </w:pPr>
      <w:r>
        <w:rPr>
          <w:rStyle w:val="FootnoteReference"/>
        </w:rPr>
        <w:footnoteRef/>
      </w:r>
      <w:r w:rsidRPr="00A35B26">
        <w:rPr>
          <w:sz w:val="24"/>
          <w:lang w:val="en-GB"/>
        </w:rPr>
        <w:t xml:space="preserve"> </w:t>
      </w:r>
      <w:r w:rsidRPr="00A35B26">
        <w:rPr>
          <w:sz w:val="24"/>
          <w:lang w:val="en-GB"/>
        </w:rPr>
        <w:tab/>
        <w:t xml:space="preserve">OECD Business and Finance Policy Papers, </w:t>
      </w:r>
      <w:proofErr w:type="gramStart"/>
      <w:r w:rsidRPr="00A35B26">
        <w:rPr>
          <w:sz w:val="24"/>
          <w:lang w:val="en-GB"/>
        </w:rPr>
        <w:t>n.</w:t>
      </w:r>
      <w:r>
        <w:rPr>
          <w:sz w:val="24"/>
          <w:lang w:val="en-GB"/>
        </w:rPr>
        <w:t>º</w:t>
      </w:r>
      <w:proofErr w:type="gramEnd"/>
      <w:r>
        <w:rPr>
          <w:sz w:val="24"/>
          <w:lang w:val="en-GB"/>
        </w:rPr>
        <w:t xml:space="preserve"> </w:t>
      </w:r>
      <w:r w:rsidRPr="004C1561">
        <w:rPr>
          <w:sz w:val="24"/>
          <w:lang w:val="en-GB"/>
        </w:rPr>
        <w:t>75.</w:t>
      </w:r>
    </w:p>
  </w:footnote>
  <w:footnote w:id="3">
    <w:p w14:paraId="524FC3D7" w14:textId="366C2110" w:rsidR="004C1561" w:rsidRPr="00BB2ED0" w:rsidRDefault="004C1561" w:rsidP="00BB2ED0">
      <w:pPr>
        <w:pStyle w:val="FootnoteText"/>
        <w:ind w:left="567" w:hanging="567"/>
        <w:rPr>
          <w:sz w:val="24"/>
          <w:lang w:val="pt-PT"/>
        </w:rPr>
      </w:pPr>
      <w:r>
        <w:rPr>
          <w:rStyle w:val="FootnoteReference"/>
        </w:rPr>
        <w:footnoteRef/>
      </w:r>
      <w:r w:rsidRPr="00BB2ED0">
        <w:rPr>
          <w:sz w:val="24"/>
          <w:lang w:val="pt-PT"/>
        </w:rPr>
        <w:t xml:space="preserve"> </w:t>
      </w:r>
      <w:r w:rsidRPr="00BB2ED0">
        <w:rPr>
          <w:sz w:val="24"/>
          <w:lang w:val="pt-PT"/>
        </w:rPr>
        <w:tab/>
        <w:t>Regulamento (UE) 2022/858 do Parlamento Europeu e do Conselho, de 30 de maio de</w:t>
      </w:r>
      <w:r>
        <w:rPr>
          <w:sz w:val="24"/>
          <w:lang w:val="pt-PT"/>
        </w:rPr>
        <w:t> </w:t>
      </w:r>
      <w:r w:rsidRPr="00BB2ED0">
        <w:rPr>
          <w:sz w:val="24"/>
          <w:lang w:val="pt-PT"/>
        </w:rPr>
        <w:t xml:space="preserve">2022, relativo a um regime-piloto para as infraestruturas de mercado baseadas na tecnologia de registo distribuído e que altera os Regulamentos (UE) n.º 600/2014 e (UE) n.º 909/2014 e a Diretiva 2014/65/UE (JO L 151 de 2.6.2022, p. 1, ELI: </w:t>
      </w:r>
      <w:hyperlink r:id="rId2" w:tgtFrame="http://data.europa.eu/eli/reg/2022/858/oj" w:history="1">
        <w:r w:rsidRPr="00BB2ED0">
          <w:rPr>
            <w:rStyle w:val="Hyperlink"/>
            <w:sz w:val="24"/>
            <w:lang w:val="pt-PT"/>
          </w:rPr>
          <w:t>http://data.europa.eu/eli/reg/2022/858/oj)</w:t>
        </w:r>
      </w:hyperlink>
      <w:r w:rsidRPr="00BB2ED0">
        <w:rPr>
          <w:sz w:val="24"/>
          <w:lang w:val="pt-PT"/>
        </w:rPr>
        <w:t>.</w:t>
      </w:r>
    </w:p>
  </w:footnote>
  <w:footnote w:id="4">
    <w:p w14:paraId="1CAF26E0" w14:textId="5E448742" w:rsidR="004C1561" w:rsidRPr="00BB2ED0" w:rsidRDefault="004C1561" w:rsidP="00BB2ED0">
      <w:pPr>
        <w:pStyle w:val="FootnoteText"/>
        <w:ind w:left="567" w:hanging="567"/>
        <w:rPr>
          <w:sz w:val="24"/>
          <w:lang w:val="pt-PT"/>
        </w:rPr>
      </w:pPr>
      <w:r>
        <w:rPr>
          <w:rStyle w:val="FootnoteReference"/>
        </w:rPr>
        <w:footnoteRef/>
      </w:r>
      <w:r w:rsidRPr="00BB2ED0">
        <w:rPr>
          <w:sz w:val="24"/>
          <w:lang w:val="pt-PT"/>
        </w:rPr>
        <w:t xml:space="preserve"> </w:t>
      </w:r>
      <w:r w:rsidRPr="00BB2ED0">
        <w:rPr>
          <w:sz w:val="24"/>
          <w:lang w:val="pt-PT"/>
        </w:rPr>
        <w:tab/>
        <w:t>Regulamento (UE) 2023/1114 do Parlamento Europeu e do Conselho, de 31 de maio de</w:t>
      </w:r>
      <w:r>
        <w:rPr>
          <w:sz w:val="24"/>
          <w:lang w:val="pt-PT"/>
        </w:rPr>
        <w:t> </w:t>
      </w:r>
      <w:r w:rsidRPr="00BB2ED0">
        <w:rPr>
          <w:sz w:val="24"/>
          <w:lang w:val="pt-PT"/>
        </w:rPr>
        <w:t>2023, relativo aos mercados de criptoativos e que altera os Regulamentos (UE) n.º 1093/2010 e (UE) n.º 1095/2010 e as Diretivas 2013/36/UE e (UE) 2019/1937 (JO</w:t>
      </w:r>
      <w:r>
        <w:rPr>
          <w:sz w:val="24"/>
          <w:lang w:val="pt-PT"/>
        </w:rPr>
        <w:t> </w:t>
      </w:r>
      <w:r w:rsidRPr="00BB2ED0">
        <w:rPr>
          <w:sz w:val="24"/>
          <w:lang w:val="pt-PT"/>
        </w:rPr>
        <w:t xml:space="preserve">L 150 de 9.6.2023, p. 40, ELI: </w:t>
      </w:r>
      <w:hyperlink r:id="rId3" w:tgtFrame="http://data.europa.eu/eli/reg/2023/1114/oj" w:history="1">
        <w:r w:rsidRPr="00BB2ED0">
          <w:rPr>
            <w:rStyle w:val="Hyperlink"/>
            <w:sz w:val="24"/>
            <w:lang w:val="pt-PT"/>
          </w:rPr>
          <w:t>http://data.europa.eu/eli/reg/2023/1114/oj</w:t>
        </w:r>
      </w:hyperlink>
      <w:r w:rsidRPr="00BB2ED0">
        <w:rPr>
          <w:sz w:val="24"/>
          <w:lang w:val="pt-PT"/>
        </w:rPr>
        <w:t>).</w:t>
      </w:r>
    </w:p>
  </w:footnote>
  <w:footnote w:id="5">
    <w:p w14:paraId="465613EC" w14:textId="26EA4C1E" w:rsidR="004C1561" w:rsidRPr="00BB2ED0" w:rsidRDefault="004C1561" w:rsidP="00BB2ED0">
      <w:pPr>
        <w:pStyle w:val="FootnoteText"/>
        <w:ind w:left="567" w:hanging="567"/>
        <w:rPr>
          <w:sz w:val="24"/>
          <w:lang w:val="pt-PT"/>
        </w:rPr>
      </w:pPr>
      <w:r>
        <w:rPr>
          <w:rStyle w:val="FootnoteReference"/>
        </w:rPr>
        <w:footnoteRef/>
      </w:r>
      <w:r w:rsidRPr="00BB2ED0">
        <w:rPr>
          <w:sz w:val="24"/>
          <w:lang w:val="pt-PT"/>
        </w:rPr>
        <w:t xml:space="preserve"> </w:t>
      </w:r>
      <w:r w:rsidRPr="00BB2ED0">
        <w:rPr>
          <w:sz w:val="24"/>
          <w:lang w:val="pt-PT"/>
        </w:rPr>
        <w:tab/>
        <w:t xml:space="preserve">Regulamento (UE) 2023/1113 do Parlamento Europeu e do Conselho, de 31 de maio </w:t>
      </w:r>
      <w:r w:rsidR="00D820B2" w:rsidRPr="00BB2ED0">
        <w:rPr>
          <w:sz w:val="24"/>
          <w:lang w:val="pt-PT"/>
        </w:rPr>
        <w:t>de</w:t>
      </w:r>
      <w:r w:rsidR="00D820B2">
        <w:rPr>
          <w:sz w:val="24"/>
          <w:lang w:val="pt-PT"/>
        </w:rPr>
        <w:t> </w:t>
      </w:r>
      <w:r w:rsidRPr="00BB2ED0">
        <w:rPr>
          <w:sz w:val="24"/>
          <w:lang w:val="pt-PT"/>
        </w:rPr>
        <w:t>2023, relativo às informações que acompanham as transferências de fundos e de determinados criptoativos e que altera a Diretiva (UE) 2015/849 (JO L 150</w:t>
      </w:r>
      <w:r w:rsidR="00D820B2">
        <w:rPr>
          <w:sz w:val="24"/>
          <w:lang w:val="pt-PT"/>
        </w:rPr>
        <w:t xml:space="preserve"> de</w:t>
      </w:r>
      <w:r w:rsidRPr="00BB2ED0">
        <w:rPr>
          <w:sz w:val="24"/>
          <w:lang w:val="pt-PT"/>
        </w:rPr>
        <w:t xml:space="preserve"> </w:t>
      </w:r>
      <w:r w:rsidR="00D820B2">
        <w:rPr>
          <w:sz w:val="24"/>
          <w:lang w:val="pt-PT"/>
        </w:rPr>
        <w:t xml:space="preserve">9.6.2023, </w:t>
      </w:r>
      <w:r w:rsidRPr="00BB2ED0">
        <w:rPr>
          <w:sz w:val="24"/>
          <w:lang w:val="pt-PT"/>
        </w:rPr>
        <w:t xml:space="preserve">p. 1, ELI: </w:t>
      </w:r>
      <w:hyperlink r:id="rId4" w:tgtFrame="http://data.europa.eu/eli/reg/2023/1113/oj" w:history="1">
        <w:r w:rsidRPr="00BB2ED0">
          <w:rPr>
            <w:rStyle w:val="Hyperlink"/>
            <w:sz w:val="24"/>
            <w:lang w:val="pt-PT"/>
          </w:rPr>
          <w:t>http://data.europa.eu/eli/reg/2023/1113/oj</w:t>
        </w:r>
      </w:hyperlink>
      <w:r w:rsidRPr="00BB2ED0">
        <w:rPr>
          <w:sz w:val="24"/>
          <w:lang w:val="pt-PT"/>
        </w:rPr>
        <w:t>).</w:t>
      </w:r>
    </w:p>
  </w:footnote>
  <w:footnote w:id="6">
    <w:p w14:paraId="2A0D019F" w14:textId="4950ADC7" w:rsidR="004C1561" w:rsidRPr="00BB2ED0" w:rsidRDefault="004C1561" w:rsidP="00BB2ED0">
      <w:pPr>
        <w:pStyle w:val="FootnoteText"/>
        <w:ind w:left="567" w:hanging="567"/>
        <w:rPr>
          <w:sz w:val="24"/>
          <w:lang w:val="pt-PT"/>
        </w:rPr>
      </w:pPr>
      <w:r>
        <w:rPr>
          <w:rStyle w:val="FootnoteReference"/>
        </w:rPr>
        <w:footnoteRef/>
      </w:r>
      <w:r w:rsidRPr="00BB2ED0">
        <w:rPr>
          <w:sz w:val="24"/>
          <w:lang w:val="pt-PT"/>
        </w:rPr>
        <w:t xml:space="preserve"> </w:t>
      </w:r>
      <w:r w:rsidRPr="00BB2ED0">
        <w:rPr>
          <w:sz w:val="24"/>
          <w:lang w:val="pt-PT"/>
        </w:rPr>
        <w:tab/>
        <w:t>Proposta da Comissão, de 28 de junho de 2023, de uma diretiva do Parlamento Europeu e do Conselho relativa aos serviços de pagamento e aos serviços de moeda eletrónica no mercado interno que altera a Diretiva 98/26/CE e revoga as Diretivas (UE) 2015/2366 e 2009/110/CE (</w:t>
      </w:r>
      <w:proofErr w:type="gramStart"/>
      <w:r w:rsidRPr="00BB2ED0">
        <w:rPr>
          <w:sz w:val="24"/>
          <w:lang w:val="pt-PT"/>
        </w:rPr>
        <w:t>COM(</w:t>
      </w:r>
      <w:proofErr w:type="gramEnd"/>
      <w:r w:rsidRPr="00BB2ED0">
        <w:rPr>
          <w:sz w:val="24"/>
          <w:lang w:val="pt-PT"/>
        </w:rPr>
        <w:t>2023)0366).</w:t>
      </w:r>
    </w:p>
  </w:footnote>
  <w:footnote w:id="7">
    <w:p w14:paraId="6A1709BE" w14:textId="3B25749A" w:rsidR="004C1561" w:rsidRPr="00BB2ED0" w:rsidRDefault="004C1561" w:rsidP="00BB2ED0">
      <w:pPr>
        <w:pStyle w:val="FootnoteText"/>
        <w:ind w:left="567" w:hanging="567"/>
        <w:rPr>
          <w:sz w:val="24"/>
          <w:lang w:val="pt-PT"/>
        </w:rPr>
      </w:pPr>
      <w:r>
        <w:rPr>
          <w:rStyle w:val="FootnoteReference"/>
        </w:rPr>
        <w:footnoteRef/>
      </w:r>
      <w:r w:rsidRPr="00BB2ED0">
        <w:rPr>
          <w:sz w:val="24"/>
          <w:lang w:val="pt-PT"/>
        </w:rPr>
        <w:t xml:space="preserve"> </w:t>
      </w:r>
      <w:r w:rsidRPr="00BB2ED0">
        <w:rPr>
          <w:sz w:val="24"/>
          <w:lang w:val="pt-PT"/>
        </w:rPr>
        <w:tab/>
        <w:t>Proposta da Comissão, de 28 de junho de 2023, de um regulamento do Parlamento Europeu e do Conselho relativo aos serviços de pagamento no mercado interno e que altera o Regulamento (UE) n.º 1093/2010 (</w:t>
      </w:r>
      <w:proofErr w:type="gramStart"/>
      <w:r w:rsidRPr="00BB2ED0">
        <w:rPr>
          <w:sz w:val="24"/>
          <w:lang w:val="pt-PT"/>
        </w:rPr>
        <w:t>COM(</w:t>
      </w:r>
      <w:proofErr w:type="gramEnd"/>
      <w:r w:rsidRPr="00BB2ED0">
        <w:rPr>
          <w:sz w:val="24"/>
          <w:lang w:val="pt-PT"/>
        </w:rPr>
        <w:t>2023)0367).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92384281">
    <w:abstractNumId w:val="9"/>
  </w:num>
  <w:num w:numId="2" w16cid:durableId="1566184301">
    <w:abstractNumId w:val="9"/>
  </w:num>
  <w:num w:numId="3" w16cid:durableId="563179620">
    <w:abstractNumId w:val="7"/>
  </w:num>
  <w:num w:numId="4" w16cid:durableId="1273438363">
    <w:abstractNumId w:val="7"/>
  </w:num>
  <w:num w:numId="5" w16cid:durableId="2140414329">
    <w:abstractNumId w:val="6"/>
  </w:num>
  <w:num w:numId="6" w16cid:durableId="1522160113">
    <w:abstractNumId w:val="6"/>
  </w:num>
  <w:num w:numId="7" w16cid:durableId="1745910010">
    <w:abstractNumId w:val="5"/>
  </w:num>
  <w:num w:numId="8" w16cid:durableId="45225901">
    <w:abstractNumId w:val="5"/>
  </w:num>
  <w:num w:numId="9" w16cid:durableId="821460092">
    <w:abstractNumId w:val="4"/>
  </w:num>
  <w:num w:numId="10" w16cid:durableId="982392345">
    <w:abstractNumId w:val="4"/>
  </w:num>
  <w:num w:numId="11" w16cid:durableId="1853566699">
    <w:abstractNumId w:val="8"/>
  </w:num>
  <w:num w:numId="12" w16cid:durableId="1655527850">
    <w:abstractNumId w:val="8"/>
  </w:num>
  <w:num w:numId="13" w16cid:durableId="2020352229">
    <w:abstractNumId w:val="3"/>
  </w:num>
  <w:num w:numId="14" w16cid:durableId="2051026489">
    <w:abstractNumId w:val="3"/>
  </w:num>
  <w:num w:numId="15" w16cid:durableId="1230001344">
    <w:abstractNumId w:val="2"/>
  </w:num>
  <w:num w:numId="16" w16cid:durableId="1040782024">
    <w:abstractNumId w:val="2"/>
  </w:num>
  <w:num w:numId="17" w16cid:durableId="315183934">
    <w:abstractNumId w:val="1"/>
  </w:num>
  <w:num w:numId="18" w16cid:durableId="210700734">
    <w:abstractNumId w:val="1"/>
  </w:num>
  <w:num w:numId="19" w16cid:durableId="1476489357">
    <w:abstractNumId w:val="0"/>
  </w:num>
  <w:num w:numId="20" w16cid:durableId="275332370">
    <w:abstractNumId w:val="0"/>
  </w:num>
  <w:num w:numId="21" w16cid:durableId="1506172032">
    <w:abstractNumId w:val="9"/>
  </w:num>
  <w:num w:numId="22" w16cid:durableId="1420558439">
    <w:abstractNumId w:val="7"/>
  </w:num>
  <w:num w:numId="23" w16cid:durableId="1296059320">
    <w:abstractNumId w:val="6"/>
  </w:num>
  <w:num w:numId="24" w16cid:durableId="1526409314">
    <w:abstractNumId w:val="5"/>
  </w:num>
  <w:num w:numId="25" w16cid:durableId="613905120">
    <w:abstractNumId w:val="4"/>
  </w:num>
  <w:num w:numId="26" w16cid:durableId="526602745">
    <w:abstractNumId w:val="8"/>
  </w:num>
  <w:num w:numId="27" w16cid:durableId="1202086988">
    <w:abstractNumId w:val="3"/>
  </w:num>
  <w:num w:numId="28" w16cid:durableId="520972782">
    <w:abstractNumId w:val="2"/>
  </w:num>
  <w:num w:numId="29" w16cid:durableId="275870612">
    <w:abstractNumId w:val="1"/>
  </w:num>
  <w:num w:numId="30" w16cid:durableId="671029721">
    <w:abstractNumId w:val="0"/>
  </w:num>
  <w:num w:numId="31" w16cid:durableId="869995872">
    <w:abstractNumId w:val="9"/>
  </w:num>
  <w:num w:numId="32" w16cid:durableId="2110151966">
    <w:abstractNumId w:val="7"/>
  </w:num>
  <w:num w:numId="33" w16cid:durableId="527718060">
    <w:abstractNumId w:val="6"/>
  </w:num>
  <w:num w:numId="34" w16cid:durableId="531846620">
    <w:abstractNumId w:val="5"/>
  </w:num>
  <w:num w:numId="35" w16cid:durableId="555943598">
    <w:abstractNumId w:val="4"/>
  </w:num>
  <w:num w:numId="36" w16cid:durableId="41490559">
    <w:abstractNumId w:val="8"/>
  </w:num>
  <w:num w:numId="37" w16cid:durableId="706418382">
    <w:abstractNumId w:val="3"/>
  </w:num>
  <w:num w:numId="38" w16cid:durableId="1485127090">
    <w:abstractNumId w:val="2"/>
  </w:num>
  <w:num w:numId="39" w16cid:durableId="1484810490">
    <w:abstractNumId w:val="1"/>
  </w:num>
  <w:num w:numId="40" w16cid:durableId="990718048">
    <w:abstractNumId w:val="0"/>
  </w:num>
  <w:num w:numId="41" w16cid:durableId="829058087">
    <w:abstractNumId w:val="10"/>
  </w:num>
  <w:num w:numId="42" w16cid:durableId="1916893233">
    <w:abstractNumId w:val="10"/>
  </w:num>
  <w:num w:numId="43" w16cid:durableId="87239709">
    <w:abstractNumId w:val="10"/>
  </w:num>
  <w:num w:numId="44" w16cid:durableId="6510632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6/2026"/>
    <w:docVar w:name="dvlangue" w:val="PT"/>
    <w:docVar w:name="dvnumam" w:val="0"/>
    <w:docVar w:name="dvpe" w:val="784.381"/>
    <w:docVar w:name="dvrapporteur" w:val="Relator: "/>
    <w:docVar w:name="dvtitre" w:val="Resolução do Parlamento Europeu, de ... de ... de 2026,_x000d__x000a_ sobre ativos digitais — desafios à competitividade e integridade do sistema financeiro da União Europeia(2025/2208(INI))"/>
  </w:docVars>
  <w:rsids>
    <w:rsidRoot w:val="00860BDB"/>
    <w:rsid w:val="00002272"/>
    <w:rsid w:val="00064002"/>
    <w:rsid w:val="000677B9"/>
    <w:rsid w:val="000831BA"/>
    <w:rsid w:val="000A42CC"/>
    <w:rsid w:val="000E7DD9"/>
    <w:rsid w:val="0010095E"/>
    <w:rsid w:val="00125B37"/>
    <w:rsid w:val="001576F7"/>
    <w:rsid w:val="00187494"/>
    <w:rsid w:val="001F32AE"/>
    <w:rsid w:val="002767FF"/>
    <w:rsid w:val="002B18FE"/>
    <w:rsid w:val="002B5493"/>
    <w:rsid w:val="002C2244"/>
    <w:rsid w:val="00343214"/>
    <w:rsid w:val="00361C00"/>
    <w:rsid w:val="00395FA1"/>
    <w:rsid w:val="003E15D4"/>
    <w:rsid w:val="00411CCE"/>
    <w:rsid w:val="004122B2"/>
    <w:rsid w:val="0041666E"/>
    <w:rsid w:val="00421060"/>
    <w:rsid w:val="00471C19"/>
    <w:rsid w:val="004867E3"/>
    <w:rsid w:val="00494A28"/>
    <w:rsid w:val="004C0004"/>
    <w:rsid w:val="004C1561"/>
    <w:rsid w:val="004C5D52"/>
    <w:rsid w:val="0050081D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0BDB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5899"/>
    <w:rsid w:val="00981893"/>
    <w:rsid w:val="00A1687D"/>
    <w:rsid w:val="00A35B26"/>
    <w:rsid w:val="00A43E52"/>
    <w:rsid w:val="00A4678D"/>
    <w:rsid w:val="00A778C7"/>
    <w:rsid w:val="00AB441E"/>
    <w:rsid w:val="00AB4682"/>
    <w:rsid w:val="00AB6293"/>
    <w:rsid w:val="00AE0928"/>
    <w:rsid w:val="00AF3B82"/>
    <w:rsid w:val="00B12E95"/>
    <w:rsid w:val="00B22876"/>
    <w:rsid w:val="00B558F0"/>
    <w:rsid w:val="00BB2ED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20B2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4B5B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283AF2"/>
  <w15:chartTrackingRefBased/>
  <w15:docId w15:val="{106B1B43-3BE2-440F-8B7E-B6DA75D53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AB4682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AB4682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AB4682"/>
    <w:pPr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AB4682"/>
    <w:pPr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AB4682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AB4682"/>
    <w:rPr>
      <w:color w:val="0000FF"/>
      <w:u w:val="single"/>
    </w:rPr>
  </w:style>
  <w:style w:type="paragraph" w:styleId="Revision">
    <w:name w:val="Revision"/>
    <w:hidden/>
    <w:uiPriority w:val="99"/>
    <w:semiHidden/>
    <w:rsid w:val="004C1561"/>
    <w:rPr>
      <w:sz w:val="24"/>
      <w:lang w:val="pt-PT"/>
    </w:rPr>
  </w:style>
  <w:style w:type="character" w:styleId="CommentReference">
    <w:name w:val="annotation reference"/>
    <w:basedOn w:val="DefaultParagraphFont"/>
    <w:rsid w:val="004122B2"/>
    <w:rPr>
      <w:sz w:val="16"/>
      <w:szCs w:val="16"/>
    </w:rPr>
  </w:style>
  <w:style w:type="paragraph" w:styleId="CommentText">
    <w:name w:val="annotation text"/>
    <w:basedOn w:val="Normal"/>
    <w:link w:val="CommentTextChar"/>
    <w:rsid w:val="004122B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122B2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4122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122B2"/>
    <w:rPr>
      <w:b/>
      <w:bCs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3/1114/oj" TargetMode="External"/><Relationship Id="rId2" Type="http://schemas.openxmlformats.org/officeDocument/2006/relationships/hyperlink" Target="http://data.europa.eu/eli/reg/2022/858/oj" TargetMode="External"/><Relationship Id="rId1" Type="http://schemas.openxmlformats.org/officeDocument/2006/relationships/hyperlink" Target="https://doi.org/10.5089/9798400297649.022" TargetMode="External"/><Relationship Id="rId4" Type="http://schemas.openxmlformats.org/officeDocument/2006/relationships/hyperlink" Target="http://data.europa.eu/eli/reg/2023/111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3012</Words>
  <Characters>17572</Characters>
  <Application>Microsoft Office Word</Application>
  <DocSecurity>0</DocSecurity>
  <Lines>976</Lines>
  <Paragraphs>663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2026-07-07T14:20:00Z</dcterms:created>
  <dcterms:modified xsi:type="dcterms:W3CDTF">2026-07-07T14:20:00Z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A10-0186/2026</vt:lpwstr>
  </property>
  <property fmtid="{D5CDD505-2E9C-101B-9397-08002B2CF9AE}" pid="4" name="&lt;Type&gt;">
    <vt:lpwstr>RR</vt:lpwstr>
  </property>
</Properties>
</file>