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786D" w14:paraId="068274F0" w14:textId="77777777" w:rsidTr="0010095E">
        <w:trPr>
          <w:trHeight w:hRule="exact" w:val="1418"/>
        </w:trPr>
        <w:tc>
          <w:tcPr>
            <w:tcW w:w="6804" w:type="dxa"/>
            <w:shd w:val="clear" w:color="auto" w:fill="auto"/>
            <w:vAlign w:val="center"/>
          </w:tcPr>
          <w:p w14:paraId="08F647A6" w14:textId="77777777" w:rsidR="00751A4A" w:rsidRPr="002B786D" w:rsidRDefault="00A779B0" w:rsidP="0010095E">
            <w:pPr>
              <w:pStyle w:val="EPName"/>
            </w:pPr>
            <w:r w:rsidRPr="002B786D">
              <w:t>Evropski parlament</w:t>
            </w:r>
          </w:p>
          <w:p w14:paraId="6B275CC1" w14:textId="77777777" w:rsidR="00751A4A" w:rsidRPr="002B786D" w:rsidRDefault="005F1B17" w:rsidP="005F1B17">
            <w:pPr>
              <w:pStyle w:val="EPTerm"/>
              <w:rPr>
                <w:rStyle w:val="HideTWBExt"/>
                <w:noProof w:val="0"/>
                <w:vanish w:val="0"/>
                <w:color w:val="auto"/>
              </w:rPr>
            </w:pPr>
            <w:r w:rsidRPr="002B786D">
              <w:t>2024</w:t>
            </w:r>
            <w:r w:rsidR="00817416" w:rsidRPr="002B786D">
              <w:t>-202</w:t>
            </w:r>
            <w:r w:rsidRPr="002B786D">
              <w:t>9</w:t>
            </w:r>
          </w:p>
        </w:tc>
        <w:tc>
          <w:tcPr>
            <w:tcW w:w="2268" w:type="dxa"/>
            <w:shd w:val="clear" w:color="auto" w:fill="auto"/>
          </w:tcPr>
          <w:p w14:paraId="601E53D1" w14:textId="77777777" w:rsidR="00751A4A" w:rsidRPr="002B786D" w:rsidRDefault="00187494" w:rsidP="0010095E">
            <w:pPr>
              <w:pStyle w:val="EPLogo"/>
            </w:pPr>
            <w:r w:rsidRPr="002B786D">
              <w:rPr>
                <w:noProof/>
                <w:lang w:eastAsia="ja-JP"/>
              </w:rPr>
              <w:drawing>
                <wp:inline distT="0" distB="0" distL="0" distR="0" wp14:anchorId="2E14E79B" wp14:editId="7305E3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CCBFE7" w14:textId="77777777" w:rsidR="00D058B8" w:rsidRPr="002B786D" w:rsidRDefault="00D058B8" w:rsidP="004C5D52">
      <w:pPr>
        <w:pStyle w:val="LineTop"/>
      </w:pPr>
    </w:p>
    <w:p w14:paraId="2AEADAE9" w14:textId="77777777" w:rsidR="00680577" w:rsidRPr="002B786D" w:rsidRDefault="00A779B0" w:rsidP="00680577">
      <w:pPr>
        <w:pStyle w:val="EPBodyTA1"/>
      </w:pPr>
      <w:r w:rsidRPr="002B786D">
        <w:t>SPREJETA BESEDILA</w:t>
      </w:r>
    </w:p>
    <w:p w14:paraId="0EDCD5E5" w14:textId="77777777" w:rsidR="00D058B8" w:rsidRPr="002B786D" w:rsidRDefault="00D058B8" w:rsidP="00D058B8">
      <w:pPr>
        <w:pStyle w:val="LineBottom"/>
      </w:pPr>
    </w:p>
    <w:p w14:paraId="49065CFA" w14:textId="2D56CA3A" w:rsidR="00A779B0" w:rsidRPr="002B786D" w:rsidRDefault="00A779B0" w:rsidP="00A779B0">
      <w:pPr>
        <w:pStyle w:val="ATHeading1"/>
      </w:pPr>
      <w:bookmarkStart w:id="0" w:name="TANumber"/>
      <w:r w:rsidRPr="002B786D">
        <w:t>P10_TA(2026)</w:t>
      </w:r>
      <w:bookmarkEnd w:id="0"/>
      <w:r w:rsidR="00FA12F8">
        <w:t>0251</w:t>
      </w:r>
    </w:p>
    <w:p w14:paraId="1429B1CC" w14:textId="77777777" w:rsidR="00A779B0" w:rsidRPr="002B786D" w:rsidRDefault="00A779B0" w:rsidP="00A779B0">
      <w:pPr>
        <w:pStyle w:val="ATHeading2"/>
      </w:pPr>
      <w:bookmarkStart w:id="1" w:name="title"/>
      <w:r w:rsidRPr="002B786D">
        <w:t>Digitalna sredstva – izzivi za konkurenčnost in integriteto finančnega sistema Evropske unije</w:t>
      </w:r>
      <w:bookmarkEnd w:id="1"/>
    </w:p>
    <w:p w14:paraId="1E96A3D2" w14:textId="77777777" w:rsidR="00A779B0" w:rsidRPr="002B786D" w:rsidRDefault="00A779B0" w:rsidP="00A779B0">
      <w:pPr>
        <w:rPr>
          <w:i/>
          <w:vanish/>
        </w:rPr>
      </w:pPr>
      <w:r w:rsidRPr="002B786D">
        <w:rPr>
          <w:i/>
        </w:rPr>
        <w:fldChar w:fldCharType="begin"/>
      </w:r>
      <w:r w:rsidRPr="002B786D">
        <w:rPr>
          <w:i/>
        </w:rPr>
        <w:instrText xml:space="preserve"> TC"(</w:instrText>
      </w:r>
      <w:bookmarkStart w:id="2" w:name="DocNumber"/>
      <w:r w:rsidRPr="002B786D">
        <w:rPr>
          <w:i/>
        </w:rPr>
        <w:instrText>A10-0186/2026</w:instrText>
      </w:r>
      <w:bookmarkEnd w:id="2"/>
      <w:r w:rsidRPr="002B786D">
        <w:rPr>
          <w:i/>
        </w:rPr>
        <w:instrText xml:space="preserve"> - Poročevalec: Johan Van </w:instrText>
      </w:r>
      <w:proofErr w:type="spellStart"/>
      <w:r w:rsidRPr="002B786D">
        <w:rPr>
          <w:i/>
        </w:rPr>
        <w:instrText>Overtveldt</w:instrText>
      </w:r>
      <w:proofErr w:type="spellEnd"/>
      <w:r w:rsidRPr="002B786D">
        <w:rPr>
          <w:i/>
        </w:rPr>
        <w:instrText xml:space="preserve">)"\l3 \n&gt; \* MERGEFORMAT </w:instrText>
      </w:r>
      <w:r w:rsidRPr="002B786D">
        <w:rPr>
          <w:i/>
        </w:rPr>
        <w:fldChar w:fldCharType="end"/>
      </w:r>
    </w:p>
    <w:p w14:paraId="1417786C" w14:textId="77777777" w:rsidR="00A779B0" w:rsidRPr="002B786D" w:rsidRDefault="00A779B0" w:rsidP="00A779B0">
      <w:pPr>
        <w:rPr>
          <w:vanish/>
        </w:rPr>
      </w:pPr>
      <w:bookmarkStart w:id="3" w:name="Commission"/>
      <w:r w:rsidRPr="002B786D">
        <w:rPr>
          <w:vanish/>
        </w:rPr>
        <w:t>Odbor za ekonomske in monetarne zadeve</w:t>
      </w:r>
      <w:bookmarkEnd w:id="3"/>
    </w:p>
    <w:p w14:paraId="6373857F" w14:textId="77777777" w:rsidR="00A779B0" w:rsidRPr="002B786D" w:rsidRDefault="00A779B0" w:rsidP="00A779B0">
      <w:pPr>
        <w:rPr>
          <w:vanish/>
        </w:rPr>
      </w:pPr>
      <w:bookmarkStart w:id="4" w:name="PE"/>
      <w:r w:rsidRPr="002B786D">
        <w:rPr>
          <w:vanish/>
        </w:rPr>
        <w:t>PE784.381</w:t>
      </w:r>
      <w:bookmarkEnd w:id="4"/>
    </w:p>
    <w:p w14:paraId="61D5572A" w14:textId="06B43919" w:rsidR="00A779B0" w:rsidRPr="002B786D" w:rsidRDefault="00A779B0" w:rsidP="00A779B0">
      <w:pPr>
        <w:pStyle w:val="ATHeading3"/>
      </w:pPr>
      <w:bookmarkStart w:id="5" w:name="Sujet"/>
      <w:r w:rsidRPr="002B786D">
        <w:t xml:space="preserve">Resolucija Evropskega parlamenta z dne </w:t>
      </w:r>
      <w:r w:rsidR="00E10EE9">
        <w:t xml:space="preserve">7. </w:t>
      </w:r>
      <w:r w:rsidR="00DE35E4">
        <w:t>julija</w:t>
      </w:r>
      <w:r w:rsidRPr="002B786D">
        <w:t xml:space="preserve"> 2026 o digitalnih sredstvih – izzivi za konkurenčnost in integriteto finančnega sistema Evropske unije</w:t>
      </w:r>
      <w:bookmarkEnd w:id="5"/>
      <w:r w:rsidRPr="002B786D">
        <w:t xml:space="preserve"> </w:t>
      </w:r>
      <w:bookmarkStart w:id="6" w:name="References"/>
      <w:r w:rsidRPr="002B786D">
        <w:t>(2025/2208(INI))</w:t>
      </w:r>
      <w:bookmarkEnd w:id="6"/>
    </w:p>
    <w:p w14:paraId="6AB645C3" w14:textId="77777777" w:rsidR="00BC43AD" w:rsidRPr="00FA12F8" w:rsidRDefault="00BC43AD" w:rsidP="00FA12F8">
      <w:pPr>
        <w:pStyle w:val="Normal12"/>
        <w:spacing w:before="360"/>
        <w:rPr>
          <w:i/>
          <w:iCs/>
        </w:rPr>
      </w:pPr>
      <w:r w:rsidRPr="00FA12F8">
        <w:rPr>
          <w:i/>
          <w:iCs/>
        </w:rPr>
        <w:t>Evropski parlament,</w:t>
      </w:r>
    </w:p>
    <w:p w14:paraId="6D9F38A8" w14:textId="77777777" w:rsidR="00BC43AD" w:rsidRPr="002B786D" w:rsidRDefault="00BC43AD" w:rsidP="00BC43AD">
      <w:pPr>
        <w:pStyle w:val="NormalHanging"/>
      </w:pPr>
      <w:r w:rsidRPr="002B786D">
        <w:t>–</w:t>
      </w:r>
      <w:r w:rsidRPr="002B786D">
        <w:tab/>
        <w:t>ob upoštevanju poročila Evropske centralne banke o finančni stabilnosti iz novembra 2025,</w:t>
      </w:r>
    </w:p>
    <w:p w14:paraId="104D77AD" w14:textId="77777777" w:rsidR="00BC43AD" w:rsidRPr="002B786D" w:rsidRDefault="00BC43AD" w:rsidP="00BC43AD">
      <w:pPr>
        <w:pStyle w:val="NormalHanging"/>
      </w:pPr>
      <w:r w:rsidRPr="002B786D">
        <w:t>–</w:t>
      </w:r>
      <w:r w:rsidRPr="002B786D">
        <w:tab/>
        <w:t xml:space="preserve">ob upoštevanju delovnega dokumenta ECB št. 3199 z dne 3. marca 2026 z naslovom </w:t>
      </w:r>
      <w:proofErr w:type="spellStart"/>
      <w:r w:rsidRPr="002B786D">
        <w:t>Stablecoins</w:t>
      </w:r>
      <w:proofErr w:type="spellEnd"/>
      <w:r w:rsidRPr="002B786D">
        <w:t xml:space="preserve"> </w:t>
      </w:r>
      <w:proofErr w:type="spellStart"/>
      <w:r w:rsidRPr="002B786D">
        <w:t>and</w:t>
      </w:r>
      <w:proofErr w:type="spellEnd"/>
      <w:r w:rsidRPr="002B786D">
        <w:t xml:space="preserve"> </w:t>
      </w:r>
      <w:proofErr w:type="spellStart"/>
      <w:r w:rsidRPr="002B786D">
        <w:t>monetary</w:t>
      </w:r>
      <w:proofErr w:type="spellEnd"/>
      <w:r w:rsidRPr="002B786D">
        <w:t xml:space="preserve"> </w:t>
      </w:r>
      <w:proofErr w:type="spellStart"/>
      <w:r w:rsidRPr="002B786D">
        <w:t>policy</w:t>
      </w:r>
      <w:proofErr w:type="spellEnd"/>
      <w:r w:rsidRPr="002B786D">
        <w:t xml:space="preserve"> </w:t>
      </w:r>
      <w:proofErr w:type="spellStart"/>
      <w:r w:rsidRPr="002B786D">
        <w:t>transmission</w:t>
      </w:r>
      <w:proofErr w:type="spellEnd"/>
      <w:r w:rsidRPr="002B786D">
        <w:t xml:space="preserve"> (Stabilni kovanci in transmisijski mehanizem denarne politike),</w:t>
      </w:r>
    </w:p>
    <w:p w14:paraId="06F4D808" w14:textId="77777777" w:rsidR="00BC43AD" w:rsidRPr="002B786D" w:rsidRDefault="00BC43AD" w:rsidP="00BC43AD">
      <w:pPr>
        <w:pStyle w:val="NormalHanging"/>
      </w:pPr>
      <w:r w:rsidRPr="002B786D">
        <w:t>–</w:t>
      </w:r>
      <w:r w:rsidRPr="002B786D">
        <w:tab/>
        <w:t>ob upoštevanju priporočila Evropskega odbora za sistemska tveganja (ESRB) z dne 25. septembra 2025 o shemah stabilnih kovancev več izdajateljev z izdajateljem iz tretje države,</w:t>
      </w:r>
    </w:p>
    <w:p w14:paraId="7A105683" w14:textId="77777777" w:rsidR="00BC43AD" w:rsidRPr="002B786D" w:rsidRDefault="00BC43AD" w:rsidP="00BC43AD">
      <w:pPr>
        <w:pStyle w:val="NormalHanging"/>
      </w:pPr>
      <w:r w:rsidRPr="002B786D">
        <w:t>–</w:t>
      </w:r>
      <w:r w:rsidRPr="002B786D">
        <w:tab/>
        <w:t xml:space="preserve">ob upoštevanju poročila ESRB iz oktobra 2025 z naslovom </w:t>
      </w:r>
      <w:proofErr w:type="spellStart"/>
      <w:r w:rsidRPr="002B786D">
        <w:t>Crypto-asset</w:t>
      </w:r>
      <w:proofErr w:type="spellEnd"/>
      <w:r w:rsidRPr="002B786D">
        <w:t xml:space="preserve"> </w:t>
      </w:r>
      <w:proofErr w:type="spellStart"/>
      <w:r w:rsidRPr="002B786D">
        <w:t>and</w:t>
      </w:r>
      <w:proofErr w:type="spellEnd"/>
      <w:r w:rsidRPr="002B786D">
        <w:t xml:space="preserve"> </w:t>
      </w:r>
      <w:proofErr w:type="spellStart"/>
      <w:r w:rsidRPr="002B786D">
        <w:t>decentralised</w:t>
      </w:r>
      <w:proofErr w:type="spellEnd"/>
      <w:r w:rsidRPr="002B786D">
        <w:t xml:space="preserve"> finance – </w:t>
      </w:r>
      <w:proofErr w:type="spellStart"/>
      <w:r w:rsidRPr="002B786D">
        <w:t>Report</w:t>
      </w:r>
      <w:proofErr w:type="spellEnd"/>
      <w:r w:rsidRPr="002B786D">
        <w:t xml:space="preserve"> on </w:t>
      </w:r>
      <w:proofErr w:type="spellStart"/>
      <w:r w:rsidRPr="002B786D">
        <w:t>stablecoins</w:t>
      </w:r>
      <w:proofErr w:type="spellEnd"/>
      <w:r w:rsidRPr="002B786D">
        <w:t xml:space="preserve">, </w:t>
      </w:r>
      <w:proofErr w:type="spellStart"/>
      <w:r w:rsidRPr="002B786D">
        <w:t>crypto-investment</w:t>
      </w:r>
      <w:proofErr w:type="spellEnd"/>
      <w:r w:rsidRPr="002B786D">
        <w:t xml:space="preserve"> </w:t>
      </w:r>
      <w:proofErr w:type="spellStart"/>
      <w:r w:rsidRPr="002B786D">
        <w:t>products</w:t>
      </w:r>
      <w:proofErr w:type="spellEnd"/>
      <w:r w:rsidRPr="002B786D">
        <w:t xml:space="preserve"> </w:t>
      </w:r>
      <w:proofErr w:type="spellStart"/>
      <w:r w:rsidRPr="002B786D">
        <w:t>and</w:t>
      </w:r>
      <w:proofErr w:type="spellEnd"/>
      <w:r w:rsidRPr="002B786D">
        <w:t xml:space="preserve"> </w:t>
      </w:r>
      <w:proofErr w:type="spellStart"/>
      <w:r w:rsidRPr="002B786D">
        <w:t>multi-function</w:t>
      </w:r>
      <w:proofErr w:type="spellEnd"/>
      <w:r w:rsidRPr="002B786D">
        <w:t xml:space="preserve"> </w:t>
      </w:r>
      <w:proofErr w:type="spellStart"/>
      <w:r w:rsidRPr="002B786D">
        <w:t>groups</w:t>
      </w:r>
      <w:proofErr w:type="spellEnd"/>
      <w:r w:rsidRPr="002B786D">
        <w:t xml:space="preserve"> (</w:t>
      </w:r>
      <w:proofErr w:type="spellStart"/>
      <w:r w:rsidRPr="002B786D">
        <w:t>Kriptosredstva</w:t>
      </w:r>
      <w:proofErr w:type="spellEnd"/>
      <w:r w:rsidRPr="002B786D">
        <w:t xml:space="preserve"> in decentralizirano financiranje – poročilo o stabilnih kovancih, naložbenih produktih </w:t>
      </w:r>
      <w:proofErr w:type="spellStart"/>
      <w:r w:rsidRPr="002B786D">
        <w:t>kriptosredstvih</w:t>
      </w:r>
      <w:proofErr w:type="spellEnd"/>
      <w:r w:rsidRPr="002B786D">
        <w:t xml:space="preserve"> in </w:t>
      </w:r>
      <w:proofErr w:type="spellStart"/>
      <w:r w:rsidRPr="002B786D">
        <w:t>večfunkcijskih</w:t>
      </w:r>
      <w:proofErr w:type="spellEnd"/>
      <w:r w:rsidRPr="002B786D">
        <w:t xml:space="preserve"> skupinah),</w:t>
      </w:r>
    </w:p>
    <w:p w14:paraId="5FD3D4DA" w14:textId="77777777" w:rsidR="00BC43AD" w:rsidRPr="002B786D" w:rsidRDefault="00BC43AD" w:rsidP="00BC43AD">
      <w:pPr>
        <w:pStyle w:val="NormalHanging"/>
      </w:pPr>
      <w:r w:rsidRPr="002B786D">
        <w:t>–</w:t>
      </w:r>
      <w:r w:rsidRPr="002B786D">
        <w:tab/>
        <w:t xml:space="preserve">ob upoštevanju smernic Evropskega organa za vrednostne papirje in trge o pogojih in merilih za opredelitev </w:t>
      </w:r>
      <w:proofErr w:type="spellStart"/>
      <w:r w:rsidRPr="002B786D">
        <w:t>kriptosredstev</w:t>
      </w:r>
      <w:proofErr w:type="spellEnd"/>
      <w:r w:rsidRPr="002B786D">
        <w:t xml:space="preserve"> kot finančnih instrumentov z dne 19. marca 2025,</w:t>
      </w:r>
    </w:p>
    <w:p w14:paraId="5C99935F" w14:textId="77777777" w:rsidR="00BC43AD" w:rsidRPr="002B786D" w:rsidRDefault="00BC43AD" w:rsidP="00BC43AD">
      <w:pPr>
        <w:pStyle w:val="NormalHanging"/>
      </w:pPr>
      <w:r w:rsidRPr="002B786D">
        <w:t>–</w:t>
      </w:r>
      <w:r w:rsidRPr="002B786D">
        <w:tab/>
        <w:t xml:space="preserve">ob upoštevanju poročila Evropskega bančnega organa (EBA) iz decembra 2024 z naslovom </w:t>
      </w:r>
      <w:proofErr w:type="spellStart"/>
      <w:r w:rsidRPr="002B786D">
        <w:t>Report</w:t>
      </w:r>
      <w:proofErr w:type="spellEnd"/>
      <w:r w:rsidRPr="002B786D">
        <w:t xml:space="preserve"> on </w:t>
      </w:r>
      <w:proofErr w:type="spellStart"/>
      <w:r w:rsidRPr="002B786D">
        <w:t>tokenised</w:t>
      </w:r>
      <w:proofErr w:type="spellEnd"/>
      <w:r w:rsidRPr="002B786D">
        <w:t xml:space="preserve"> </w:t>
      </w:r>
      <w:proofErr w:type="spellStart"/>
      <w:r w:rsidRPr="002B786D">
        <w:t>deposits</w:t>
      </w:r>
      <w:proofErr w:type="spellEnd"/>
      <w:r w:rsidRPr="002B786D">
        <w:t xml:space="preserve"> (Poročilo o </w:t>
      </w:r>
      <w:proofErr w:type="spellStart"/>
      <w:r w:rsidRPr="002B786D">
        <w:t>tokeniziranih</w:t>
      </w:r>
      <w:proofErr w:type="spellEnd"/>
      <w:r w:rsidRPr="002B786D">
        <w:t xml:space="preserve"> depozitih),</w:t>
      </w:r>
    </w:p>
    <w:p w14:paraId="0AB79E19" w14:textId="77777777" w:rsidR="00BC43AD" w:rsidRPr="002B786D" w:rsidRDefault="00BC43AD" w:rsidP="00BC43AD">
      <w:pPr>
        <w:pStyle w:val="NormalHanging"/>
      </w:pPr>
      <w:r w:rsidRPr="002B786D">
        <w:t>–</w:t>
      </w:r>
      <w:r w:rsidRPr="002B786D">
        <w:tab/>
        <w:t xml:space="preserve">ob upoštevanju poročila Evropskega bančnega organa (EBA) iz oktobra 2025 z naslovom </w:t>
      </w:r>
      <w:proofErr w:type="spellStart"/>
      <w:r w:rsidRPr="002B786D">
        <w:t>Report</w:t>
      </w:r>
      <w:proofErr w:type="spellEnd"/>
      <w:r w:rsidRPr="002B786D">
        <w:t xml:space="preserve"> on </w:t>
      </w:r>
      <w:proofErr w:type="spellStart"/>
      <w:r w:rsidRPr="002B786D">
        <w:t>tackling</w:t>
      </w:r>
      <w:proofErr w:type="spellEnd"/>
      <w:r w:rsidRPr="002B786D">
        <w:t xml:space="preserve"> </w:t>
      </w:r>
      <w:proofErr w:type="spellStart"/>
      <w:r w:rsidRPr="002B786D">
        <w:t>money</w:t>
      </w:r>
      <w:proofErr w:type="spellEnd"/>
      <w:r w:rsidRPr="002B786D">
        <w:t xml:space="preserve"> </w:t>
      </w:r>
      <w:proofErr w:type="spellStart"/>
      <w:r w:rsidRPr="002B786D">
        <w:t>laundering</w:t>
      </w:r>
      <w:proofErr w:type="spellEnd"/>
      <w:r w:rsidRPr="002B786D">
        <w:t xml:space="preserve"> </w:t>
      </w:r>
      <w:proofErr w:type="spellStart"/>
      <w:r w:rsidRPr="002B786D">
        <w:t>and</w:t>
      </w:r>
      <w:proofErr w:type="spellEnd"/>
      <w:r w:rsidRPr="002B786D">
        <w:t xml:space="preserve"> </w:t>
      </w:r>
      <w:proofErr w:type="spellStart"/>
      <w:r w:rsidRPr="002B786D">
        <w:t>terrorism</w:t>
      </w:r>
      <w:proofErr w:type="spellEnd"/>
      <w:r w:rsidRPr="002B786D">
        <w:t xml:space="preserve"> </w:t>
      </w:r>
      <w:proofErr w:type="spellStart"/>
      <w:r w:rsidRPr="002B786D">
        <w:t>financing</w:t>
      </w:r>
      <w:proofErr w:type="spellEnd"/>
      <w:r w:rsidRPr="002B786D">
        <w:t xml:space="preserve"> </w:t>
      </w:r>
      <w:proofErr w:type="spellStart"/>
      <w:r w:rsidRPr="002B786D">
        <w:t>risks</w:t>
      </w:r>
      <w:proofErr w:type="spellEnd"/>
      <w:r w:rsidRPr="002B786D">
        <w:t xml:space="preserve"> in </w:t>
      </w:r>
      <w:proofErr w:type="spellStart"/>
      <w:r w:rsidRPr="002B786D">
        <w:t>cryptoasset</w:t>
      </w:r>
      <w:proofErr w:type="spellEnd"/>
      <w:r w:rsidRPr="002B786D">
        <w:t xml:space="preserve"> </w:t>
      </w:r>
      <w:proofErr w:type="spellStart"/>
      <w:r w:rsidRPr="002B786D">
        <w:t>services</w:t>
      </w:r>
      <w:proofErr w:type="spellEnd"/>
      <w:r w:rsidRPr="002B786D">
        <w:t xml:space="preserve"> </w:t>
      </w:r>
      <w:proofErr w:type="spellStart"/>
      <w:r w:rsidRPr="002B786D">
        <w:t>through</w:t>
      </w:r>
      <w:proofErr w:type="spellEnd"/>
      <w:r w:rsidRPr="002B786D">
        <w:t xml:space="preserve"> </w:t>
      </w:r>
      <w:proofErr w:type="spellStart"/>
      <w:r w:rsidRPr="002B786D">
        <w:t>supervision</w:t>
      </w:r>
      <w:proofErr w:type="spellEnd"/>
      <w:r w:rsidRPr="002B786D">
        <w:t xml:space="preserve"> – </w:t>
      </w:r>
      <w:proofErr w:type="spellStart"/>
      <w:r w:rsidRPr="002B786D">
        <w:t>Lessons</w:t>
      </w:r>
      <w:proofErr w:type="spellEnd"/>
      <w:r w:rsidRPr="002B786D">
        <w:t xml:space="preserve"> </w:t>
      </w:r>
      <w:proofErr w:type="spellStart"/>
      <w:r w:rsidRPr="002B786D">
        <w:t>learned</w:t>
      </w:r>
      <w:proofErr w:type="spellEnd"/>
      <w:r w:rsidRPr="002B786D">
        <w:t xml:space="preserve"> </w:t>
      </w:r>
      <w:proofErr w:type="spellStart"/>
      <w:r w:rsidRPr="002B786D">
        <w:t>from</w:t>
      </w:r>
      <w:proofErr w:type="spellEnd"/>
      <w:r w:rsidRPr="002B786D">
        <w:t xml:space="preserve"> </w:t>
      </w:r>
      <w:proofErr w:type="spellStart"/>
      <w:r w:rsidRPr="002B786D">
        <w:t>recent</w:t>
      </w:r>
      <w:proofErr w:type="spellEnd"/>
      <w:r w:rsidRPr="002B786D">
        <w:t xml:space="preserve"> </w:t>
      </w:r>
      <w:proofErr w:type="spellStart"/>
      <w:r w:rsidRPr="002B786D">
        <w:t>cases</w:t>
      </w:r>
      <w:proofErr w:type="spellEnd"/>
      <w:r w:rsidRPr="002B786D">
        <w:t xml:space="preserve"> (Poročilo o obvladovanju tveganj pranja denarja in financiranja terorizma pri storitvah v zvezi s </w:t>
      </w:r>
      <w:proofErr w:type="spellStart"/>
      <w:r w:rsidRPr="002B786D">
        <w:t>kriptosredstvi</w:t>
      </w:r>
      <w:proofErr w:type="spellEnd"/>
      <w:r w:rsidRPr="002B786D">
        <w:t xml:space="preserve"> z nadzorom – izkušnje, pridobljene v nedavnih primerih),</w:t>
      </w:r>
    </w:p>
    <w:p w14:paraId="4138DEDA" w14:textId="65CE52F1" w:rsidR="00BC43AD" w:rsidRPr="002B786D" w:rsidRDefault="00BC43AD" w:rsidP="00BC43AD">
      <w:pPr>
        <w:pStyle w:val="NormalHanging"/>
      </w:pPr>
      <w:r w:rsidRPr="002B786D">
        <w:t>–</w:t>
      </w:r>
      <w:r w:rsidRPr="002B786D">
        <w:tab/>
        <w:t xml:space="preserve">ob upoštevanju publikacije Mednarodnega denarnega sklada Finance &amp; </w:t>
      </w:r>
      <w:proofErr w:type="spellStart"/>
      <w:r w:rsidRPr="002B786D">
        <w:t>Development</w:t>
      </w:r>
      <w:proofErr w:type="spellEnd"/>
      <w:r w:rsidRPr="002B786D">
        <w:t xml:space="preserve"> iz </w:t>
      </w:r>
      <w:r w:rsidRPr="002B786D">
        <w:lastRenderedPageBreak/>
        <w:t xml:space="preserve">septembra 2025 z naslovom </w:t>
      </w:r>
      <w:proofErr w:type="spellStart"/>
      <w:r w:rsidRPr="002B786D">
        <w:t>Stablecoins</w:t>
      </w:r>
      <w:proofErr w:type="spellEnd"/>
      <w:r w:rsidRPr="002B786D">
        <w:t xml:space="preserve"> </w:t>
      </w:r>
      <w:proofErr w:type="spellStart"/>
      <w:r w:rsidRPr="002B786D">
        <w:t>and</w:t>
      </w:r>
      <w:proofErr w:type="spellEnd"/>
      <w:r w:rsidRPr="002B786D">
        <w:t xml:space="preserve"> </w:t>
      </w:r>
      <w:proofErr w:type="spellStart"/>
      <w:r w:rsidRPr="002B786D">
        <w:t>the</w:t>
      </w:r>
      <w:proofErr w:type="spellEnd"/>
      <w:r w:rsidRPr="002B786D">
        <w:t xml:space="preserve"> future </w:t>
      </w:r>
      <w:proofErr w:type="spellStart"/>
      <w:r w:rsidRPr="002B786D">
        <w:t>of</w:t>
      </w:r>
      <w:proofErr w:type="spellEnd"/>
      <w:r w:rsidRPr="002B786D">
        <w:t xml:space="preserve"> finance (Stabilni kovanci in prihodnost financ)</w:t>
      </w:r>
      <w:r w:rsidR="00DE35E4">
        <w:rPr>
          <w:rStyle w:val="FootnoteReference"/>
        </w:rPr>
        <w:footnoteReference w:id="1"/>
      </w:r>
      <w:r w:rsidRPr="002B786D">
        <w:t>,</w:t>
      </w:r>
    </w:p>
    <w:p w14:paraId="3DCA2CC2" w14:textId="77777777" w:rsidR="00BC43AD" w:rsidRPr="002B786D" w:rsidRDefault="00BC43AD" w:rsidP="00BC43AD">
      <w:pPr>
        <w:pStyle w:val="NormalHanging"/>
      </w:pPr>
      <w:r w:rsidRPr="002B786D">
        <w:t>–</w:t>
      </w:r>
      <w:r w:rsidRPr="002B786D">
        <w:tab/>
        <w:t xml:space="preserve">ob upoštevanju poročila Mednarodnega združenja nadzornikov trga vrednostnih papirjev iz novembra 2025 z naslovom </w:t>
      </w:r>
      <w:proofErr w:type="spellStart"/>
      <w:r w:rsidRPr="002B786D">
        <w:t>Tokenization</w:t>
      </w:r>
      <w:proofErr w:type="spellEnd"/>
      <w:r w:rsidRPr="002B786D">
        <w:t xml:space="preserve"> </w:t>
      </w:r>
      <w:proofErr w:type="spellStart"/>
      <w:r w:rsidRPr="002B786D">
        <w:t>of</w:t>
      </w:r>
      <w:proofErr w:type="spellEnd"/>
      <w:r w:rsidRPr="002B786D">
        <w:t xml:space="preserve"> </w:t>
      </w:r>
      <w:proofErr w:type="spellStart"/>
      <w:r w:rsidRPr="002B786D">
        <w:t>financial</w:t>
      </w:r>
      <w:proofErr w:type="spellEnd"/>
      <w:r w:rsidRPr="002B786D">
        <w:t xml:space="preserve"> </w:t>
      </w:r>
      <w:proofErr w:type="spellStart"/>
      <w:r w:rsidRPr="002B786D">
        <w:t>assets</w:t>
      </w:r>
      <w:proofErr w:type="spellEnd"/>
      <w:r w:rsidRPr="002B786D">
        <w:t xml:space="preserve"> (</w:t>
      </w:r>
      <w:proofErr w:type="spellStart"/>
      <w:r w:rsidRPr="002B786D">
        <w:t>Tokenizacija</w:t>
      </w:r>
      <w:proofErr w:type="spellEnd"/>
      <w:r w:rsidRPr="002B786D">
        <w:t xml:space="preserve"> finančnih sredstev),</w:t>
      </w:r>
    </w:p>
    <w:p w14:paraId="1023E6F8" w14:textId="77777777" w:rsidR="00BC43AD" w:rsidRPr="002B786D" w:rsidRDefault="00BC43AD" w:rsidP="00BC43AD">
      <w:pPr>
        <w:pStyle w:val="NormalHanging"/>
      </w:pPr>
      <w:r w:rsidRPr="002B786D">
        <w:t>–</w:t>
      </w:r>
      <w:r w:rsidRPr="002B786D">
        <w:tab/>
        <w:t>ob upoštevanju letnega gospodarskega poročila Banke za mednarodne poravnave (BIS) iz junija 2025,</w:t>
      </w:r>
    </w:p>
    <w:p w14:paraId="4C607F6D" w14:textId="77777777" w:rsidR="00BC43AD" w:rsidRPr="002B786D" w:rsidRDefault="00BC43AD" w:rsidP="00BC43AD">
      <w:pPr>
        <w:pStyle w:val="NormalHanging"/>
      </w:pPr>
      <w:r w:rsidRPr="002B786D">
        <w:t>–</w:t>
      </w:r>
      <w:r w:rsidRPr="002B786D">
        <w:tab/>
        <w:t xml:space="preserve">ob upoštevanju poročila Odbora za finančno stabilnost (FSB) z dne 16. oktobra 2025 z naslovom </w:t>
      </w:r>
      <w:proofErr w:type="spellStart"/>
      <w:r w:rsidRPr="002B786D">
        <w:t>Thematic</w:t>
      </w:r>
      <w:proofErr w:type="spellEnd"/>
      <w:r w:rsidRPr="002B786D">
        <w:t xml:space="preserve"> </w:t>
      </w:r>
      <w:proofErr w:type="spellStart"/>
      <w:r w:rsidRPr="002B786D">
        <w:t>Review</w:t>
      </w:r>
      <w:proofErr w:type="spellEnd"/>
      <w:r w:rsidRPr="002B786D">
        <w:t xml:space="preserve"> on FSB Global </w:t>
      </w:r>
      <w:proofErr w:type="spellStart"/>
      <w:r w:rsidRPr="002B786D">
        <w:t>Regulatory</w:t>
      </w:r>
      <w:proofErr w:type="spellEnd"/>
      <w:r w:rsidRPr="002B786D">
        <w:t xml:space="preserve"> </w:t>
      </w:r>
      <w:proofErr w:type="spellStart"/>
      <w:r w:rsidRPr="002B786D">
        <w:t>Framework</w:t>
      </w:r>
      <w:proofErr w:type="spellEnd"/>
      <w:r w:rsidRPr="002B786D">
        <w:t xml:space="preserve"> </w:t>
      </w:r>
      <w:proofErr w:type="spellStart"/>
      <w:r w:rsidRPr="002B786D">
        <w:t>for</w:t>
      </w:r>
      <w:proofErr w:type="spellEnd"/>
      <w:r w:rsidRPr="002B786D">
        <w:t xml:space="preserve"> </w:t>
      </w:r>
      <w:proofErr w:type="spellStart"/>
      <w:r w:rsidRPr="002B786D">
        <w:t>Crypto-asset</w:t>
      </w:r>
      <w:proofErr w:type="spellEnd"/>
      <w:r w:rsidRPr="002B786D">
        <w:t xml:space="preserve"> </w:t>
      </w:r>
      <w:proofErr w:type="spellStart"/>
      <w:r w:rsidRPr="002B786D">
        <w:t>Activities</w:t>
      </w:r>
      <w:proofErr w:type="spellEnd"/>
      <w:r w:rsidRPr="002B786D">
        <w:t xml:space="preserve"> (Tematski pregled globalnega regulativnega okvira FSB za dejavnosti v zvezi s </w:t>
      </w:r>
      <w:proofErr w:type="spellStart"/>
      <w:r w:rsidRPr="002B786D">
        <w:t>kriptosredstvi</w:t>
      </w:r>
      <w:proofErr w:type="spellEnd"/>
      <w:r w:rsidRPr="002B786D">
        <w:t>),</w:t>
      </w:r>
    </w:p>
    <w:p w14:paraId="2D054F71" w14:textId="77777777" w:rsidR="00BC43AD" w:rsidRPr="002B786D" w:rsidRDefault="00BC43AD" w:rsidP="00BC43AD">
      <w:pPr>
        <w:pStyle w:val="NormalHanging"/>
      </w:pPr>
      <w:r w:rsidRPr="002B786D">
        <w:t>–</w:t>
      </w:r>
      <w:r w:rsidRPr="002B786D">
        <w:tab/>
        <w:t xml:space="preserve">ob upoštevanju poročila o stanju Odbora za finančno stabilnost z dne 22. oktobra 2024 z naslovom G20 </w:t>
      </w:r>
      <w:proofErr w:type="spellStart"/>
      <w:r w:rsidRPr="002B786D">
        <w:t>Crypto-asset</w:t>
      </w:r>
      <w:proofErr w:type="spellEnd"/>
      <w:r w:rsidRPr="002B786D">
        <w:t xml:space="preserve"> </w:t>
      </w:r>
      <w:proofErr w:type="spellStart"/>
      <w:r w:rsidRPr="002B786D">
        <w:t>Policy</w:t>
      </w:r>
      <w:proofErr w:type="spellEnd"/>
      <w:r w:rsidRPr="002B786D">
        <w:t xml:space="preserve"> </w:t>
      </w:r>
      <w:proofErr w:type="spellStart"/>
      <w:r w:rsidRPr="002B786D">
        <w:t>Implementation</w:t>
      </w:r>
      <w:proofErr w:type="spellEnd"/>
      <w:r w:rsidRPr="002B786D">
        <w:t xml:space="preserve"> </w:t>
      </w:r>
      <w:proofErr w:type="spellStart"/>
      <w:r w:rsidRPr="002B786D">
        <w:t>Roadmap</w:t>
      </w:r>
      <w:proofErr w:type="spellEnd"/>
      <w:r w:rsidRPr="002B786D">
        <w:t xml:space="preserve"> (Načrt izvajanja politike v zvezi s </w:t>
      </w:r>
      <w:proofErr w:type="spellStart"/>
      <w:r w:rsidRPr="002B786D">
        <w:t>kriptosredstvi</w:t>
      </w:r>
      <w:proofErr w:type="spellEnd"/>
      <w:r w:rsidRPr="002B786D">
        <w:t xml:space="preserve"> skupine G20),</w:t>
      </w:r>
    </w:p>
    <w:p w14:paraId="3FC56988" w14:textId="77777777" w:rsidR="00BC43AD" w:rsidRPr="002B786D" w:rsidRDefault="00BC43AD" w:rsidP="00BC43AD">
      <w:pPr>
        <w:pStyle w:val="NormalHanging"/>
      </w:pPr>
      <w:r w:rsidRPr="002B786D">
        <w:t>–</w:t>
      </w:r>
      <w:r w:rsidRPr="002B786D">
        <w:tab/>
        <w:t xml:space="preserve">ob upoštevanju poročila Odbora za finančno stabilnost o stanju z dne 22. oktobra 2024 z naslovom </w:t>
      </w:r>
      <w:proofErr w:type="spellStart"/>
      <w:r w:rsidRPr="002B786D">
        <w:t>The</w:t>
      </w:r>
      <w:proofErr w:type="spellEnd"/>
      <w:r w:rsidRPr="002B786D">
        <w:t xml:space="preserve"> </w:t>
      </w:r>
      <w:proofErr w:type="spellStart"/>
      <w:r w:rsidRPr="002B786D">
        <w:t>financial</w:t>
      </w:r>
      <w:proofErr w:type="spellEnd"/>
      <w:r w:rsidRPr="002B786D">
        <w:t xml:space="preserve"> </w:t>
      </w:r>
      <w:proofErr w:type="spellStart"/>
      <w:r w:rsidRPr="002B786D">
        <w:t>stability</w:t>
      </w:r>
      <w:proofErr w:type="spellEnd"/>
      <w:r w:rsidRPr="002B786D">
        <w:t xml:space="preserve"> </w:t>
      </w:r>
      <w:proofErr w:type="spellStart"/>
      <w:r w:rsidRPr="002B786D">
        <w:t>implications</w:t>
      </w:r>
      <w:proofErr w:type="spellEnd"/>
      <w:r w:rsidRPr="002B786D">
        <w:t xml:space="preserve"> </w:t>
      </w:r>
      <w:proofErr w:type="spellStart"/>
      <w:r w:rsidRPr="002B786D">
        <w:t>of</w:t>
      </w:r>
      <w:proofErr w:type="spellEnd"/>
      <w:r w:rsidRPr="002B786D">
        <w:t xml:space="preserve"> </w:t>
      </w:r>
      <w:proofErr w:type="spellStart"/>
      <w:r w:rsidRPr="002B786D">
        <w:t>tokenisation</w:t>
      </w:r>
      <w:proofErr w:type="spellEnd"/>
      <w:r w:rsidRPr="002B786D">
        <w:t xml:space="preserve"> (Posledice </w:t>
      </w:r>
      <w:proofErr w:type="spellStart"/>
      <w:r w:rsidRPr="002B786D">
        <w:t>tokenizacije</w:t>
      </w:r>
      <w:proofErr w:type="spellEnd"/>
      <w:r w:rsidRPr="002B786D">
        <w:t xml:space="preserve"> za finančno stabilnost),</w:t>
      </w:r>
    </w:p>
    <w:p w14:paraId="136E6B30" w14:textId="77777777" w:rsidR="00BC43AD" w:rsidRPr="002B786D" w:rsidRDefault="00BC43AD" w:rsidP="00BC43AD">
      <w:pPr>
        <w:pStyle w:val="NormalHanging"/>
      </w:pPr>
      <w:r w:rsidRPr="002B786D">
        <w:t>–</w:t>
      </w:r>
      <w:r w:rsidRPr="002B786D">
        <w:tab/>
        <w:t xml:space="preserve">ob upoštevanju posvetovalnega dokumenta Bank </w:t>
      </w:r>
      <w:proofErr w:type="spellStart"/>
      <w:r w:rsidRPr="002B786D">
        <w:t>of</w:t>
      </w:r>
      <w:proofErr w:type="spellEnd"/>
      <w:r w:rsidRPr="002B786D">
        <w:t xml:space="preserve"> </w:t>
      </w:r>
      <w:proofErr w:type="spellStart"/>
      <w:r w:rsidRPr="002B786D">
        <w:t>England</w:t>
      </w:r>
      <w:proofErr w:type="spellEnd"/>
      <w:r w:rsidRPr="002B786D">
        <w:t xml:space="preserve"> z dne 10. novembra 2025 z naslovom </w:t>
      </w:r>
      <w:proofErr w:type="spellStart"/>
      <w:r w:rsidRPr="002B786D">
        <w:t>Proposed</w:t>
      </w:r>
      <w:proofErr w:type="spellEnd"/>
      <w:r w:rsidRPr="002B786D">
        <w:t xml:space="preserve"> </w:t>
      </w:r>
      <w:proofErr w:type="spellStart"/>
      <w:r w:rsidRPr="002B786D">
        <w:t>regulatory</w:t>
      </w:r>
      <w:proofErr w:type="spellEnd"/>
      <w:r w:rsidRPr="002B786D">
        <w:t xml:space="preserve"> </w:t>
      </w:r>
      <w:proofErr w:type="spellStart"/>
      <w:r w:rsidRPr="002B786D">
        <w:t>regime</w:t>
      </w:r>
      <w:proofErr w:type="spellEnd"/>
      <w:r w:rsidRPr="002B786D">
        <w:t xml:space="preserve"> </w:t>
      </w:r>
      <w:proofErr w:type="spellStart"/>
      <w:r w:rsidRPr="002B786D">
        <w:t>for</w:t>
      </w:r>
      <w:proofErr w:type="spellEnd"/>
      <w:r w:rsidRPr="002B786D">
        <w:t xml:space="preserve"> </w:t>
      </w:r>
      <w:proofErr w:type="spellStart"/>
      <w:r w:rsidRPr="002B786D">
        <w:t>sterling-denominated</w:t>
      </w:r>
      <w:proofErr w:type="spellEnd"/>
      <w:r w:rsidRPr="002B786D">
        <w:t xml:space="preserve"> </w:t>
      </w:r>
      <w:proofErr w:type="spellStart"/>
      <w:r w:rsidRPr="002B786D">
        <w:t>systemic</w:t>
      </w:r>
      <w:proofErr w:type="spellEnd"/>
      <w:r w:rsidRPr="002B786D">
        <w:t xml:space="preserve"> </w:t>
      </w:r>
      <w:proofErr w:type="spellStart"/>
      <w:r w:rsidRPr="002B786D">
        <w:t>stablecoins</w:t>
      </w:r>
      <w:proofErr w:type="spellEnd"/>
      <w:r w:rsidRPr="002B786D">
        <w:t xml:space="preserve"> (Predlagana regulativna ureditev za sistemske stabilne kovance, </w:t>
      </w:r>
      <w:proofErr w:type="spellStart"/>
      <w:r w:rsidRPr="002B786D">
        <w:t>denominirane</w:t>
      </w:r>
      <w:proofErr w:type="spellEnd"/>
      <w:r w:rsidRPr="002B786D">
        <w:t xml:space="preserve"> v funtih),</w:t>
      </w:r>
    </w:p>
    <w:p w14:paraId="0E12CFAE" w14:textId="77777777" w:rsidR="00BC43AD" w:rsidRPr="002B786D" w:rsidRDefault="00BC43AD" w:rsidP="00BC43AD">
      <w:pPr>
        <w:pStyle w:val="NormalHanging"/>
      </w:pPr>
      <w:r w:rsidRPr="002B786D">
        <w:t>–</w:t>
      </w:r>
      <w:r w:rsidRPr="002B786D">
        <w:tab/>
        <w:t xml:space="preserve">ob upoštevanju poročila enote za nadzor ekonomskega upravljanja in ekonomske in monetarne unije iz novembra 2025 z naslovom </w:t>
      </w:r>
      <w:proofErr w:type="spellStart"/>
      <w:r w:rsidRPr="002B786D">
        <w:t>Digital</w:t>
      </w:r>
      <w:proofErr w:type="spellEnd"/>
      <w:r w:rsidRPr="002B786D">
        <w:t xml:space="preserve"> </w:t>
      </w:r>
      <w:proofErr w:type="spellStart"/>
      <w:r w:rsidRPr="002B786D">
        <w:t>assets</w:t>
      </w:r>
      <w:proofErr w:type="spellEnd"/>
      <w:r w:rsidRPr="002B786D">
        <w:t xml:space="preserve">: EU </w:t>
      </w:r>
      <w:proofErr w:type="spellStart"/>
      <w:r w:rsidRPr="002B786D">
        <w:t>regulatory</w:t>
      </w:r>
      <w:proofErr w:type="spellEnd"/>
      <w:r w:rsidRPr="002B786D">
        <w:t xml:space="preserve"> </w:t>
      </w:r>
      <w:proofErr w:type="spellStart"/>
      <w:r w:rsidRPr="002B786D">
        <w:t>framework</w:t>
      </w:r>
      <w:proofErr w:type="spellEnd"/>
      <w:r w:rsidRPr="002B786D">
        <w:t xml:space="preserve">, market </w:t>
      </w:r>
      <w:proofErr w:type="spellStart"/>
      <w:r w:rsidRPr="002B786D">
        <w:t>uptake</w:t>
      </w:r>
      <w:proofErr w:type="spellEnd"/>
      <w:r w:rsidRPr="002B786D">
        <w:t xml:space="preserve">, </w:t>
      </w:r>
      <w:proofErr w:type="spellStart"/>
      <w:r w:rsidRPr="002B786D">
        <w:t>risks</w:t>
      </w:r>
      <w:proofErr w:type="spellEnd"/>
      <w:r w:rsidRPr="002B786D">
        <w:t xml:space="preserve"> </w:t>
      </w:r>
      <w:proofErr w:type="spellStart"/>
      <w:r w:rsidRPr="002B786D">
        <w:t>and</w:t>
      </w:r>
      <w:proofErr w:type="spellEnd"/>
      <w:r w:rsidRPr="002B786D">
        <w:t xml:space="preserve"> </w:t>
      </w:r>
      <w:proofErr w:type="spellStart"/>
      <w:r w:rsidRPr="002B786D">
        <w:t>challenges</w:t>
      </w:r>
      <w:proofErr w:type="spellEnd"/>
      <w:r w:rsidRPr="002B786D">
        <w:t xml:space="preserve"> (Digitalna sredstva: regulativni okvir EU, uvajanje na trg, tveganja in izzivi),</w:t>
      </w:r>
    </w:p>
    <w:p w14:paraId="02B60561" w14:textId="5091678F" w:rsidR="00BC43AD" w:rsidRPr="002B786D" w:rsidRDefault="00BC43AD" w:rsidP="00BC43AD">
      <w:pPr>
        <w:pStyle w:val="NormalHanging"/>
      </w:pPr>
      <w:r w:rsidRPr="002B786D">
        <w:t>–</w:t>
      </w:r>
      <w:r w:rsidRPr="002B786D">
        <w:tab/>
        <w:t xml:space="preserve">ob upoštevanju strateškega dokumenta Organizacije za gospodarsko sodelovanje in razvoj (OECD) z dne 9. januarja 2025 o </w:t>
      </w:r>
      <w:proofErr w:type="spellStart"/>
      <w:r w:rsidRPr="002B786D">
        <w:t>tokenizaciji</w:t>
      </w:r>
      <w:proofErr w:type="spellEnd"/>
      <w:r w:rsidRPr="002B786D">
        <w:t xml:space="preserve"> sredstev in tehnologijah razpršene evidence na finančnih trgih – potencialne ovire za razvoj trga in posledice za politiko</w:t>
      </w:r>
      <w:r w:rsidR="00DE35E4">
        <w:rPr>
          <w:rStyle w:val="FootnoteReference"/>
        </w:rPr>
        <w:footnoteReference w:id="2"/>
      </w:r>
      <w:r w:rsidRPr="002B786D">
        <w:t>,</w:t>
      </w:r>
    </w:p>
    <w:p w14:paraId="1BF91270" w14:textId="77777777" w:rsidR="00BC43AD" w:rsidRPr="002B786D" w:rsidRDefault="00BC43AD" w:rsidP="00BC43AD">
      <w:pPr>
        <w:pStyle w:val="NormalHanging"/>
      </w:pPr>
      <w:r w:rsidRPr="002B786D">
        <w:t>–</w:t>
      </w:r>
      <w:r w:rsidRPr="002B786D">
        <w:tab/>
        <w:t>ob upoštevanju člena 55 Poslovnika,</w:t>
      </w:r>
    </w:p>
    <w:p w14:paraId="3D450F02" w14:textId="77777777" w:rsidR="00BC43AD" w:rsidRPr="002B786D" w:rsidRDefault="00BC43AD" w:rsidP="00BC43AD">
      <w:pPr>
        <w:pStyle w:val="NormalHanging"/>
      </w:pPr>
      <w:r w:rsidRPr="002B786D">
        <w:t>–</w:t>
      </w:r>
      <w:r w:rsidRPr="002B786D">
        <w:tab/>
        <w:t>ob upoštevanju poročila Odbora za ekonomske in monetarne zadeve (A10-0186/2026),</w:t>
      </w:r>
    </w:p>
    <w:p w14:paraId="1D5D92AD" w14:textId="77777777" w:rsidR="00BC43AD" w:rsidRPr="002B786D" w:rsidRDefault="00BC43AD" w:rsidP="00BC43AD">
      <w:pPr>
        <w:pStyle w:val="NormalHanging"/>
      </w:pPr>
      <w:r w:rsidRPr="002B786D">
        <w:t>A.</w:t>
      </w:r>
      <w:r w:rsidRPr="002B786D">
        <w:tab/>
        <w:t xml:space="preserve">ker je po podatkih raziskave ECB o pričakovanjih potrošnikov iz novembra 2024 povprečno 9,7 % anketiranih dejalo, da imajo oni ali nekdo iz njihovega gospodinjstva v lasti </w:t>
      </w:r>
      <w:proofErr w:type="spellStart"/>
      <w:r w:rsidRPr="002B786D">
        <w:t>kriptoimetja</w:t>
      </w:r>
      <w:proofErr w:type="spellEnd"/>
      <w:r w:rsidRPr="002B786D">
        <w:t>, od teh pa jih je 54 % poročalo o imetjih v vrednosti manj kot 1000 EUR, 91 % pa o imetjih v vrednosti manj kot 20 000 EUR;</w:t>
      </w:r>
    </w:p>
    <w:p w14:paraId="29D0AD3F" w14:textId="77777777" w:rsidR="00BC43AD" w:rsidRPr="002B786D" w:rsidRDefault="00BC43AD" w:rsidP="00BC43AD">
      <w:pPr>
        <w:pStyle w:val="NormalHanging"/>
      </w:pPr>
      <w:r w:rsidRPr="002B786D">
        <w:t>B.</w:t>
      </w:r>
      <w:r w:rsidRPr="002B786D">
        <w:tab/>
        <w:t xml:space="preserve">ker je skupna svetovna tržna kapitalizacija </w:t>
      </w:r>
      <w:proofErr w:type="spellStart"/>
      <w:r w:rsidRPr="002B786D">
        <w:t>kriptosredstev</w:t>
      </w:r>
      <w:proofErr w:type="spellEnd"/>
      <w:r w:rsidRPr="002B786D">
        <w:t xml:space="preserve"> 10. februarja 2026 znašala 2,03 bilijona EUR, pri čemer je na podlagi zasebnih virov podatkov tržni delež stabilnih </w:t>
      </w:r>
      <w:r w:rsidRPr="002B786D">
        <w:lastRenderedPageBreak/>
        <w:t>kovancev znašal 12,9 % ali 261 milijard EUR; ker v skladu z delovnim dokumentom ECB št. 3199 tržna pričakovanja kažejo na močno rast izdajanja stabilnih kovancev;</w:t>
      </w:r>
    </w:p>
    <w:p w14:paraId="45931EC8" w14:textId="77777777" w:rsidR="00BC43AD" w:rsidRPr="002B786D" w:rsidRDefault="00BC43AD" w:rsidP="00BC43AD">
      <w:pPr>
        <w:pStyle w:val="NormalHanging"/>
      </w:pPr>
      <w:r w:rsidRPr="002B786D">
        <w:t>C.</w:t>
      </w:r>
      <w:r w:rsidRPr="002B786D">
        <w:tab/>
        <w:t xml:space="preserve">ker so </w:t>
      </w:r>
      <w:proofErr w:type="spellStart"/>
      <w:r w:rsidRPr="002B786D">
        <w:t>tokenizirana</w:t>
      </w:r>
      <w:proofErr w:type="spellEnd"/>
      <w:r w:rsidRPr="002B786D">
        <w:t xml:space="preserve"> sredstva februarja 2026 predstavljala približno 1 % svetovnih digitalnih sredstev, ta delež pa se na podlagi </w:t>
      </w:r>
      <w:proofErr w:type="spellStart"/>
      <w:r w:rsidRPr="002B786D">
        <w:t>neharmoniziranih</w:t>
      </w:r>
      <w:proofErr w:type="spellEnd"/>
      <w:r w:rsidRPr="002B786D">
        <w:t xml:space="preserve"> zasebnih virov podatkov hitro povečuje;</w:t>
      </w:r>
    </w:p>
    <w:p w14:paraId="3810B0C7" w14:textId="77777777" w:rsidR="00BC43AD" w:rsidRPr="002B786D" w:rsidRDefault="00BC43AD" w:rsidP="00BC43AD">
      <w:pPr>
        <w:pStyle w:val="NormalHanging"/>
      </w:pPr>
      <w:r w:rsidRPr="002B786D">
        <w:t>D.</w:t>
      </w:r>
      <w:r w:rsidRPr="002B786D">
        <w:tab/>
        <w:t xml:space="preserve">ker je bilo leta 2025 na podlagi zasebnih virov podatkov v svetu zaposlenih več kot 1,6 milijona strokovnjakov na področju </w:t>
      </w:r>
      <w:proofErr w:type="spellStart"/>
      <w:r w:rsidRPr="002B786D">
        <w:t>kriptoimetij</w:t>
      </w:r>
      <w:proofErr w:type="spellEnd"/>
      <w:r w:rsidRPr="002B786D">
        <w:t>, od katerih ima EU velik, vendar upadajoči delež;</w:t>
      </w:r>
    </w:p>
    <w:p w14:paraId="735A9F20" w14:textId="297EAEBC" w:rsidR="00BC43AD" w:rsidRPr="002B786D" w:rsidRDefault="00BC43AD" w:rsidP="00BC43AD">
      <w:pPr>
        <w:pStyle w:val="NormalHanging"/>
      </w:pPr>
      <w:r w:rsidRPr="002B786D">
        <w:t>E.</w:t>
      </w:r>
      <w:r w:rsidRPr="002B786D">
        <w:tab/>
        <w:t>ker je v členu 2(1) Uredbe (EU) 2022/858</w:t>
      </w:r>
      <w:r w:rsidR="00DE35E4">
        <w:rPr>
          <w:rStyle w:val="FootnoteReference"/>
        </w:rPr>
        <w:footnoteReference w:id="3"/>
      </w:r>
      <w:r w:rsidRPr="002B786D">
        <w:t xml:space="preserve"> o pilotni ureditvi za tržne infrastrukture na podlagi tehnologije razpršene evidence „tehnologija razpršene evidence“ opredeljena kot „tehnologija, ki omogoča delovanje in uporabo razpršenih evidenc“; ke</w:t>
      </w:r>
      <w:r w:rsidR="00DE35E4">
        <w:t>r</w:t>
      </w:r>
      <w:r w:rsidRPr="002B786D">
        <w:t xml:space="preserve"> je v členu 2(2) „razpršena evidenca“ opredeljena kot </w:t>
      </w:r>
      <w:proofErr w:type="spellStart"/>
      <w:r w:rsidRPr="002B786D">
        <w:t>repozitorij</w:t>
      </w:r>
      <w:proofErr w:type="spellEnd"/>
      <w:r w:rsidRPr="002B786D">
        <w:t xml:space="preserve"> informacij, ki hrani evidence poslov in ki je skupen sklopu omrežnih vozlišč DLT ter sinhroniziran med njimi na podlagi mehanizma soglasja;</w:t>
      </w:r>
    </w:p>
    <w:p w14:paraId="769790D9" w14:textId="1CB7A446" w:rsidR="00BC43AD" w:rsidRPr="002B786D" w:rsidRDefault="00BC43AD" w:rsidP="00BC43AD">
      <w:pPr>
        <w:pStyle w:val="NormalHanging"/>
      </w:pPr>
      <w:r w:rsidRPr="002B786D">
        <w:t>F.</w:t>
      </w:r>
      <w:r w:rsidRPr="002B786D">
        <w:tab/>
        <w:t xml:space="preserve">ker Uredba (EU) 2023/1114 o trgih </w:t>
      </w:r>
      <w:proofErr w:type="spellStart"/>
      <w:r w:rsidRPr="002B786D">
        <w:t>kriptosredstev</w:t>
      </w:r>
      <w:proofErr w:type="spellEnd"/>
      <w:r w:rsidRPr="002B786D">
        <w:t xml:space="preserve"> (</w:t>
      </w:r>
      <w:proofErr w:type="spellStart"/>
      <w:r w:rsidRPr="002B786D">
        <w:t>MiCA</w:t>
      </w:r>
      <w:proofErr w:type="spellEnd"/>
      <w:r w:rsidRPr="002B786D">
        <w:t>)</w:t>
      </w:r>
      <w:r w:rsidR="00DE35E4">
        <w:rPr>
          <w:rStyle w:val="FootnoteReference"/>
        </w:rPr>
        <w:footnoteReference w:id="4"/>
      </w:r>
      <w:r w:rsidRPr="002B786D">
        <w:t xml:space="preserve"> vzpostavlja harmoniziran okvir v EU za </w:t>
      </w:r>
      <w:proofErr w:type="spellStart"/>
      <w:r w:rsidRPr="002B786D">
        <w:t>kriptosredstva</w:t>
      </w:r>
      <w:proofErr w:type="spellEnd"/>
      <w:r w:rsidRPr="002B786D">
        <w:t xml:space="preserve">, pri katerem razlikuje med tremi glavnimi kategorijami, in sicer e-denarni žetoni, katerih namen je stabilizirati njihovo vrednost z vezavo na eno uradno valuto, žetoni, vezanimi na sredstva, katerih cilj je ohraniti stabilno vrednost z vezavo na drugo vrednost ali pravico ali njuno kombinacijo, vključno z eno ali več uradnimi valutami, in drugimi </w:t>
      </w:r>
      <w:proofErr w:type="spellStart"/>
      <w:r w:rsidRPr="002B786D">
        <w:t>kriptosredstvi</w:t>
      </w:r>
      <w:proofErr w:type="spellEnd"/>
      <w:r w:rsidRPr="002B786D">
        <w:t>, kar pomeni digitalno predstavitev vrednosti ali pravice, ki jo je mogoče elektronsko prenesti in shraniti z uporabo razpršene evidence ali podobne tehnologije, in ne spadajo v druge kategorije;</w:t>
      </w:r>
    </w:p>
    <w:p w14:paraId="2F9CC959" w14:textId="77777777" w:rsidR="00BC43AD" w:rsidRPr="002B786D" w:rsidRDefault="00BC43AD" w:rsidP="00BC43AD">
      <w:pPr>
        <w:pStyle w:val="NormalHanging"/>
      </w:pPr>
      <w:r w:rsidRPr="002B786D">
        <w:t>G.</w:t>
      </w:r>
      <w:r w:rsidRPr="002B786D">
        <w:tab/>
        <w:t xml:space="preserve">ker so v skladu s členom 2(4) uredbe </w:t>
      </w:r>
      <w:proofErr w:type="spellStart"/>
      <w:r w:rsidRPr="002B786D">
        <w:t>MiCA</w:t>
      </w:r>
      <w:proofErr w:type="spellEnd"/>
      <w:r w:rsidRPr="002B786D">
        <w:t xml:space="preserve"> iz njenega področja uporabe izključena </w:t>
      </w:r>
      <w:proofErr w:type="spellStart"/>
      <w:r w:rsidRPr="002B786D">
        <w:t>kriptosredstva</w:t>
      </w:r>
      <w:proofErr w:type="spellEnd"/>
      <w:r w:rsidRPr="002B786D">
        <w:t xml:space="preserve">, ki se v skladu z veljavnim pravom EU štejejo za finančne instrumente, vloge, sklade, </w:t>
      </w:r>
      <w:proofErr w:type="spellStart"/>
      <w:r w:rsidRPr="002B786D">
        <w:t>listinjenja</w:t>
      </w:r>
      <w:proofErr w:type="spellEnd"/>
      <w:r w:rsidRPr="002B786D">
        <w:t xml:space="preserve">, zavarovalne ali pokojninske produkte, s čimer se zagotavlja, da za taka </w:t>
      </w:r>
      <w:proofErr w:type="spellStart"/>
      <w:r w:rsidRPr="002B786D">
        <w:t>kriptosredstva</w:t>
      </w:r>
      <w:proofErr w:type="spellEnd"/>
      <w:r w:rsidRPr="002B786D">
        <w:t xml:space="preserve"> še naprej veljajo ustrezni sektorski zakonodajni okviri, in odraža model nadzora, ki temelji na produktih, iz prava EU o finančnih storitvah;</w:t>
      </w:r>
    </w:p>
    <w:p w14:paraId="2CE52031" w14:textId="77777777" w:rsidR="00BC43AD" w:rsidRPr="002B786D" w:rsidRDefault="00BC43AD" w:rsidP="00BC43AD">
      <w:pPr>
        <w:pStyle w:val="NormalHanging"/>
      </w:pPr>
      <w:r w:rsidRPr="002B786D">
        <w:t>H.</w:t>
      </w:r>
      <w:r w:rsidRPr="002B786D">
        <w:tab/>
        <w:t xml:space="preserve">ker je nova administracija ZDA precej bolj odprta za </w:t>
      </w:r>
      <w:proofErr w:type="spellStart"/>
      <w:r w:rsidRPr="002B786D">
        <w:t>kriptosredstva</w:t>
      </w:r>
      <w:proofErr w:type="spellEnd"/>
      <w:r w:rsidRPr="002B786D">
        <w:t xml:space="preserve">, kar se kaže v sprejemanju ključne zakonodaje in prizanesljivejšem pristopu nadzornih organov k izvrševanju; ker se regulativni pristop v ZDA še vedno razvija in ker se oblikovalci politik in regulatorji ZDA na splošno sklicujejo na „digitalna sredstva“, za katera se običajno razume, da zajemajo kriptografsko digitalno predstavitev vrednosti ali pravic, zavarovanih v razpršeni evidenci, vključno s </w:t>
      </w:r>
      <w:proofErr w:type="spellStart"/>
      <w:r w:rsidRPr="002B786D">
        <w:t>kriptovalutami</w:t>
      </w:r>
      <w:proofErr w:type="spellEnd"/>
      <w:r w:rsidRPr="002B786D">
        <w:t xml:space="preserve">, stabilnimi kovanci in nekaterimi </w:t>
      </w:r>
      <w:proofErr w:type="spellStart"/>
      <w:r w:rsidRPr="002B786D">
        <w:t>tokeniziranimi</w:t>
      </w:r>
      <w:proofErr w:type="spellEnd"/>
      <w:r w:rsidRPr="002B786D">
        <w:t xml:space="preserve"> instrumenti;</w:t>
      </w:r>
    </w:p>
    <w:p w14:paraId="6D10CEDD" w14:textId="77777777" w:rsidR="00BC43AD" w:rsidRPr="002B786D" w:rsidRDefault="00BC43AD" w:rsidP="00BC43AD">
      <w:pPr>
        <w:pStyle w:val="Normal12a"/>
      </w:pPr>
      <w:r w:rsidRPr="002B786D">
        <w:rPr>
          <w:b/>
          <w:i/>
        </w:rPr>
        <w:t>Pregled</w:t>
      </w:r>
    </w:p>
    <w:p w14:paraId="38DCF709" w14:textId="77777777" w:rsidR="00BC43AD" w:rsidRPr="002B786D" w:rsidRDefault="00BC43AD" w:rsidP="00BC43AD">
      <w:pPr>
        <w:pStyle w:val="NormalHanging12a"/>
      </w:pPr>
      <w:r w:rsidRPr="002B786D">
        <w:lastRenderedPageBreak/>
        <w:t>1.</w:t>
      </w:r>
      <w:r w:rsidRPr="002B786D">
        <w:tab/>
        <w:t>podpira dolgoročni cilj sistemskega, na dejavnostih temelječega in tehnološko nevtralnega pristopa k regulativnemu okviru EU za finančne storitve;</w:t>
      </w:r>
    </w:p>
    <w:p w14:paraId="0FFDECC3" w14:textId="77777777" w:rsidR="00BC43AD" w:rsidRPr="002B786D" w:rsidRDefault="00BC43AD" w:rsidP="00BC43AD">
      <w:pPr>
        <w:pStyle w:val="NormalHanging12a"/>
      </w:pPr>
      <w:r w:rsidRPr="002B786D">
        <w:t>2.</w:t>
      </w:r>
      <w:r w:rsidRPr="002B786D">
        <w:tab/>
        <w:t xml:space="preserve">poudarja, da bi lahko s tehnologijami razpršene evidence in </w:t>
      </w:r>
      <w:proofErr w:type="spellStart"/>
      <w:r w:rsidRPr="002B786D">
        <w:t>tokenizacijo</w:t>
      </w:r>
      <w:proofErr w:type="spellEnd"/>
      <w:r w:rsidRPr="002B786D">
        <w:t xml:space="preserve"> sredstev podprli cilje unije prihrankov in naložb, tako da bi olajšali čezmejne naložbe, zmanjšali razdrobljenost trga in omogočili učinkovitejšo in bolj vključujočo infrastrukturo kapitalskih trgov po vsej EU; poudarja ključno vlogo </w:t>
      </w:r>
      <w:proofErr w:type="spellStart"/>
      <w:r w:rsidRPr="002B786D">
        <w:t>interoperabilnosti</w:t>
      </w:r>
      <w:proofErr w:type="spellEnd"/>
      <w:r w:rsidRPr="002B786D">
        <w:t>;</w:t>
      </w:r>
    </w:p>
    <w:p w14:paraId="1B70BC2D" w14:textId="77777777" w:rsidR="00BC43AD" w:rsidRPr="002B786D" w:rsidRDefault="00BC43AD" w:rsidP="00BC43AD">
      <w:pPr>
        <w:pStyle w:val="NormalHanging12a"/>
      </w:pPr>
      <w:r w:rsidRPr="002B786D">
        <w:t>3.</w:t>
      </w:r>
      <w:r w:rsidRPr="002B786D">
        <w:tab/>
        <w:t xml:space="preserve">poudarja, da pojav novih tehnologij na področju financ prinaša nove izzive za regulativni in nadzorni okvir; je seznanjen z raznolikostjo digitalnih sredstev in priznava, da se s tem povezana tveganja in poslovni potencial med kategorijami razlikujejo; potrjuje svojo zavezanost ciljno usmerjeni reviziji regulativnih okvirov EU, da bi razvili trdne kapitalske trge in plačilno infrastrukturo EU, ki bodo omogočali uporabo digitalnih sredstev; poziva Komisijo, naj oceni nujnost in izvedljivost ureditve posojanja in izposojanja </w:t>
      </w:r>
      <w:proofErr w:type="spellStart"/>
      <w:r w:rsidRPr="002B786D">
        <w:t>kriptosredstev</w:t>
      </w:r>
      <w:proofErr w:type="spellEnd"/>
      <w:r w:rsidRPr="002B786D">
        <w:t xml:space="preserve">, vključno z unovčenjem, nezamenljivimi žetoni in decentraliziranim financiranjem, v okviru uredbe </w:t>
      </w:r>
      <w:proofErr w:type="spellStart"/>
      <w:r w:rsidRPr="002B786D">
        <w:t>MiCA</w:t>
      </w:r>
      <w:proofErr w:type="spellEnd"/>
      <w:r w:rsidRPr="002B786D">
        <w:t>;</w:t>
      </w:r>
    </w:p>
    <w:p w14:paraId="4EEFBAD3" w14:textId="77777777" w:rsidR="00BC43AD" w:rsidRPr="002B786D" w:rsidRDefault="00BC43AD" w:rsidP="00BC43AD">
      <w:pPr>
        <w:pStyle w:val="NormalHanging12a"/>
      </w:pPr>
      <w:r w:rsidRPr="002B786D">
        <w:t>4.</w:t>
      </w:r>
      <w:r w:rsidRPr="002B786D">
        <w:tab/>
        <w:t xml:space="preserve">poudarja potencialne inovacijske in povezovalne zmogljivosti kriptografsko zavarovanih razpršenih evidenc in podobnih tehnologij za infrastrukturo finančnih storitev, tako v EU kot za globalno vlogo EU; poudarja, da bo predvidljivo in inovacijam prijazno regulativno okolje bistveno za zadržanje naložb in tehnološkega razvoja v EU in za spodbujanje konkurenčnosti in zaupanja v finančno infrastrukturo, </w:t>
      </w:r>
      <w:proofErr w:type="spellStart"/>
      <w:r w:rsidRPr="002B786D">
        <w:t>denominirano</w:t>
      </w:r>
      <w:proofErr w:type="spellEnd"/>
      <w:r w:rsidRPr="002B786D">
        <w:t xml:space="preserve"> v eurih;</w:t>
      </w:r>
    </w:p>
    <w:p w14:paraId="5DDF1E7F" w14:textId="77777777" w:rsidR="00BC43AD" w:rsidRPr="002B786D" w:rsidRDefault="00BC43AD" w:rsidP="00BC43AD">
      <w:pPr>
        <w:pStyle w:val="Normal12a"/>
      </w:pPr>
      <w:proofErr w:type="spellStart"/>
      <w:r w:rsidRPr="002B786D">
        <w:rPr>
          <w:b/>
          <w:i/>
        </w:rPr>
        <w:t>Kriptosredstva</w:t>
      </w:r>
      <w:proofErr w:type="spellEnd"/>
    </w:p>
    <w:p w14:paraId="53A1D2EA" w14:textId="0C90E26A" w:rsidR="00BC43AD" w:rsidRPr="002B786D" w:rsidRDefault="00BC43AD" w:rsidP="00BC43AD">
      <w:pPr>
        <w:pStyle w:val="NormalHanging12a"/>
      </w:pPr>
      <w:r w:rsidRPr="002B786D">
        <w:t>5.</w:t>
      </w:r>
      <w:r w:rsidRPr="002B786D">
        <w:tab/>
        <w:t xml:space="preserve">priznava, da je bila EU med prvimi jurisdikcijami, ki so sprejele in izvajale posebno ureditev za </w:t>
      </w:r>
      <w:proofErr w:type="spellStart"/>
      <w:r w:rsidRPr="002B786D">
        <w:t>kriptosredstva</w:t>
      </w:r>
      <w:proofErr w:type="spellEnd"/>
      <w:r w:rsidRPr="002B786D">
        <w:t xml:space="preserve"> z uredbo o trgih </w:t>
      </w:r>
      <w:proofErr w:type="spellStart"/>
      <w:r w:rsidRPr="002B786D">
        <w:t>kriptosredstev</w:t>
      </w:r>
      <w:proofErr w:type="spellEnd"/>
      <w:r w:rsidRPr="002B786D">
        <w:t xml:space="preserve"> in za uporabo tehnologije razpršene evidence v finančnem sektorju; poziva Komisijo, naj v tesnem sodelovanju z Evropskim bančnim organom, Evropskim organom za vrednostne papirje in trge, Organom za preprečevanje pranja denarja in financiranja terorizma (AMLA) ter pristojnimi nacionalnimi organi zagotovi učinkovito izvrševanje uredbe </w:t>
      </w:r>
      <w:proofErr w:type="spellStart"/>
      <w:r w:rsidRPr="002B786D">
        <w:t>MiCA</w:t>
      </w:r>
      <w:proofErr w:type="spellEnd"/>
      <w:r w:rsidRPr="002B786D">
        <w:t xml:space="preserve">; poziva države članice, naj ne uvajajo dodatnih zahtev in obveznosti zunaj okvirov uredbe o trgih </w:t>
      </w:r>
      <w:proofErr w:type="spellStart"/>
      <w:r w:rsidRPr="002B786D">
        <w:t>kriptosredstev</w:t>
      </w:r>
      <w:proofErr w:type="spellEnd"/>
      <w:r w:rsidRPr="002B786D">
        <w:t xml:space="preserve"> in uredbe o sledljivosti prenosov sredstev</w:t>
      </w:r>
      <w:r w:rsidR="00DE35E4">
        <w:rPr>
          <w:rStyle w:val="FootnoteReference"/>
        </w:rPr>
        <w:footnoteReference w:id="5"/>
      </w:r>
      <w:r w:rsidRPr="002B786D">
        <w:t>;</w:t>
      </w:r>
    </w:p>
    <w:p w14:paraId="0225409D" w14:textId="77777777" w:rsidR="00BC43AD" w:rsidRPr="002B786D" w:rsidRDefault="00BC43AD" w:rsidP="00BC43AD">
      <w:pPr>
        <w:pStyle w:val="NormalHanging12a"/>
      </w:pPr>
      <w:r w:rsidRPr="002B786D">
        <w:t>6.</w:t>
      </w:r>
      <w:r w:rsidRPr="002B786D">
        <w:tab/>
        <w:t xml:space="preserve">poudarja pomen krepitve podatkovnih zmogljivosti, zlasti v zvezi s finančnim vzvodom v industriji </w:t>
      </w:r>
      <w:proofErr w:type="spellStart"/>
      <w:r w:rsidRPr="002B786D">
        <w:t>kriptosredstev</w:t>
      </w:r>
      <w:proofErr w:type="spellEnd"/>
      <w:r w:rsidRPr="002B786D">
        <w:t xml:space="preserve"> in medsebojnimi povezavami s sektorjem nebančnih finančnih institucij; poziva Komisijo, naj še naprej spremlja medsebojno povezanost </w:t>
      </w:r>
      <w:proofErr w:type="spellStart"/>
      <w:r w:rsidRPr="002B786D">
        <w:t>kriptosredstev</w:t>
      </w:r>
      <w:proofErr w:type="spellEnd"/>
      <w:r w:rsidRPr="002B786D">
        <w:t xml:space="preserve"> s finančnim sistemom; ugotavlja, da so lahko nekrita </w:t>
      </w:r>
      <w:proofErr w:type="spellStart"/>
      <w:r w:rsidRPr="002B786D">
        <w:t>kriptosredstva</w:t>
      </w:r>
      <w:proofErr w:type="spellEnd"/>
      <w:r w:rsidRPr="002B786D">
        <w:t xml:space="preserve"> izpostavljena dodatnim tveganjem in nestanovitnosti;</w:t>
      </w:r>
    </w:p>
    <w:p w14:paraId="6A2C8633" w14:textId="77777777" w:rsidR="00BC43AD" w:rsidRPr="002B786D" w:rsidRDefault="00BC43AD" w:rsidP="00BC43AD">
      <w:pPr>
        <w:pStyle w:val="NormalHanging12a"/>
      </w:pPr>
      <w:r w:rsidRPr="002B786D">
        <w:t>7.</w:t>
      </w:r>
      <w:r w:rsidRPr="002B786D">
        <w:tab/>
        <w:t xml:space="preserve">poziva Evropski bančni organ, Evropski organ za vrednostne papirje in trge, Organ za preprečevanje pranja denarja in financiranja terorizma, Evropski organ za zavarovanja in poklicne pokojnine, pristojne nacionalne organe, ECB in Evropski odbor za sistemska tveganja, naj okrepijo nadzorni dialog o pomembnih </w:t>
      </w:r>
      <w:proofErr w:type="spellStart"/>
      <w:r w:rsidRPr="002B786D">
        <w:t>večfunkcijskih</w:t>
      </w:r>
      <w:proofErr w:type="spellEnd"/>
      <w:r w:rsidRPr="002B786D">
        <w:t xml:space="preserve"> skupinah; </w:t>
      </w:r>
      <w:r w:rsidRPr="002B786D">
        <w:lastRenderedPageBreak/>
        <w:t xml:space="preserve">poudarja, da je treba uskladiti politični okvir uredbe </w:t>
      </w:r>
      <w:proofErr w:type="spellStart"/>
      <w:r w:rsidRPr="002B786D">
        <w:t>MiCA</w:t>
      </w:r>
      <w:proofErr w:type="spellEnd"/>
      <w:r w:rsidRPr="002B786D">
        <w:t xml:space="preserve"> za pomembne nebančne MFG;</w:t>
      </w:r>
    </w:p>
    <w:p w14:paraId="49253117" w14:textId="77777777" w:rsidR="00BC43AD" w:rsidRPr="002B786D" w:rsidRDefault="00BC43AD" w:rsidP="00BC43AD">
      <w:pPr>
        <w:pStyle w:val="NormalHanging12a"/>
      </w:pPr>
      <w:r w:rsidRPr="002B786D">
        <w:t>8.</w:t>
      </w:r>
      <w:r w:rsidRPr="002B786D">
        <w:tab/>
        <w:t>priznava, da tehnologije razpršene evidence prinašajo nove tehnološke in operativne vidike, ki jih bodo finančni nadzorniki morali upoštevati, vključno z vprašanji, povezanimi z varnostjo pametnih pogodb, upravljanjem decentraliziranih omrežij, kibernetsko odpornostjo in obvladovanjem operativnega tveganja; poziva nadzorne organe, naj razvijejo zadostno tehnično strokovno znanje za učinkovito razumevanje in spremljanje teh nastajajočih tržnih infrastruktur;</w:t>
      </w:r>
    </w:p>
    <w:p w14:paraId="32D912AD" w14:textId="77777777" w:rsidR="00BC43AD" w:rsidRPr="002B786D" w:rsidRDefault="00BC43AD" w:rsidP="00BC43AD">
      <w:pPr>
        <w:pStyle w:val="NormalHanging12a"/>
      </w:pPr>
      <w:r w:rsidRPr="002B786D">
        <w:t>9.</w:t>
      </w:r>
      <w:r w:rsidRPr="002B786D">
        <w:tab/>
        <w:t xml:space="preserve">izraža zaskrbljenost glede vloge, ki jo imajo </w:t>
      </w:r>
      <w:proofErr w:type="spellStart"/>
      <w:r w:rsidRPr="002B786D">
        <w:t>kriptosredstva</w:t>
      </w:r>
      <w:proofErr w:type="spellEnd"/>
      <w:r w:rsidRPr="002B786D">
        <w:t xml:space="preserve"> pri izogibanju predpisom in sankcijam za preprečevanje pranja denarja in boj proti financiranju terorizma; poudarja, da je treba za obvladovanje teh tveganj okrepiti nadzorna orodja, izvrševanje in standarde skladnosti, vključno z učinkovitimi standardi „poznavanja stranke“ in spremljanjem plačil; poudarja, da je pomembno, da preiskovalni organi uporabljajo tehnologijo, na kateri temeljijo </w:t>
      </w:r>
      <w:proofErr w:type="spellStart"/>
      <w:r w:rsidRPr="002B786D">
        <w:t>kriptosredstva</w:t>
      </w:r>
      <w:proofErr w:type="spellEnd"/>
      <w:r w:rsidRPr="002B786D">
        <w:t xml:space="preserve">, da bi odvračali od kaznivih dejanj v zvezi s </w:t>
      </w:r>
      <w:proofErr w:type="spellStart"/>
      <w:r w:rsidRPr="002B786D">
        <w:t>kriptosredstvi</w:t>
      </w:r>
      <w:proofErr w:type="spellEnd"/>
      <w:r w:rsidRPr="002B786D">
        <w:t>, in da med seboj sodelujejo pri blokiranju odkritih ali prijavljenih nezakonitih transakcij;</w:t>
      </w:r>
    </w:p>
    <w:p w14:paraId="4CAE5016" w14:textId="77777777" w:rsidR="00BC43AD" w:rsidRPr="002B786D" w:rsidRDefault="00BC43AD" w:rsidP="00BC43AD">
      <w:pPr>
        <w:pStyle w:val="NormalHanging12a"/>
      </w:pPr>
      <w:r w:rsidRPr="002B786D">
        <w:t>10.</w:t>
      </w:r>
      <w:r w:rsidRPr="002B786D">
        <w:tab/>
        <w:t xml:space="preserve">ugotavlja, da se pojavljajo hibridni produkti, ki združujejo značilnosti </w:t>
      </w:r>
      <w:proofErr w:type="spellStart"/>
      <w:r w:rsidRPr="002B786D">
        <w:t>kriptosredstev</w:t>
      </w:r>
      <w:proofErr w:type="spellEnd"/>
      <w:r w:rsidRPr="002B786D">
        <w:t xml:space="preserve"> in tradicionalnih finančnih instrumentov ter povzročajo pravno negotovost;</w:t>
      </w:r>
    </w:p>
    <w:p w14:paraId="564342A5" w14:textId="77777777" w:rsidR="00BC43AD" w:rsidRPr="002B786D" w:rsidRDefault="00BC43AD" w:rsidP="00BC43AD">
      <w:pPr>
        <w:pStyle w:val="Normal12a"/>
      </w:pPr>
      <w:proofErr w:type="spellStart"/>
      <w:r w:rsidRPr="002B786D">
        <w:rPr>
          <w:b/>
          <w:i/>
        </w:rPr>
        <w:t>Tokenizacija</w:t>
      </w:r>
      <w:proofErr w:type="spellEnd"/>
      <w:r w:rsidRPr="002B786D">
        <w:rPr>
          <w:b/>
          <w:i/>
        </w:rPr>
        <w:t xml:space="preserve"> finančnih instrumentov</w:t>
      </w:r>
    </w:p>
    <w:p w14:paraId="6D6087EF" w14:textId="77777777" w:rsidR="00BC43AD" w:rsidRPr="002B786D" w:rsidRDefault="00BC43AD" w:rsidP="00BC43AD">
      <w:pPr>
        <w:pStyle w:val="NormalHanging12a"/>
      </w:pPr>
      <w:r w:rsidRPr="002B786D">
        <w:t>11.</w:t>
      </w:r>
      <w:r w:rsidRPr="002B786D">
        <w:tab/>
        <w:t>ugotavlja, da je v uvodni izjavi 3 Uredbe (EU) 2022/858 „</w:t>
      </w:r>
      <w:proofErr w:type="spellStart"/>
      <w:r w:rsidRPr="002B786D">
        <w:t>tokenizacija</w:t>
      </w:r>
      <w:proofErr w:type="spellEnd"/>
      <w:r w:rsidRPr="002B786D">
        <w:t>“ finančnih instrumentov opredeljena kot digitalna reprezentacija finančnih instrumentov v razpršeni evidenci ali izdaja tradicionalnih razredov sredstev v obliki žetonov, da se omogoči njihova izdaja, shranjevanje in prenos na podlagi razpršene evidence;</w:t>
      </w:r>
    </w:p>
    <w:p w14:paraId="2B4BCD6B" w14:textId="77777777" w:rsidR="00BC43AD" w:rsidRPr="002B786D" w:rsidRDefault="00BC43AD" w:rsidP="00BC43AD">
      <w:pPr>
        <w:pStyle w:val="NormalHanging12a"/>
      </w:pPr>
      <w:r w:rsidRPr="002B786D">
        <w:t>12.</w:t>
      </w:r>
      <w:r w:rsidRPr="002B786D">
        <w:tab/>
        <w:t xml:space="preserve">poudarja, da </w:t>
      </w:r>
      <w:proofErr w:type="spellStart"/>
      <w:r w:rsidRPr="002B786D">
        <w:t>tokenizacija</w:t>
      </w:r>
      <w:proofErr w:type="spellEnd"/>
      <w:r w:rsidRPr="002B786D">
        <w:t xml:space="preserve"> finančnih sredstev sama po sebi ne spreminja pravne narave ali temeljnih gospodarskih značilnosti teh sredstev; poudarja, da morajo </w:t>
      </w:r>
      <w:proofErr w:type="spellStart"/>
      <w:r w:rsidRPr="002B786D">
        <w:t>tokenizirani</w:t>
      </w:r>
      <w:proofErr w:type="spellEnd"/>
      <w:r w:rsidRPr="002B786D">
        <w:t xml:space="preserve"> finančni instrumenti zagotavljati pravice, ki so enakovredne tistim, povezanim s tradicionalnimi vrednostnimi papirji, da bi preprečili regulativno arbitražo in zaščitili vlagatelje;</w:t>
      </w:r>
    </w:p>
    <w:p w14:paraId="16144370" w14:textId="77777777" w:rsidR="00BC43AD" w:rsidRPr="002B786D" w:rsidRDefault="00BC43AD" w:rsidP="00BC43AD">
      <w:pPr>
        <w:pStyle w:val="NormalHanging12a"/>
      </w:pPr>
      <w:r w:rsidRPr="002B786D">
        <w:t>13.</w:t>
      </w:r>
      <w:r w:rsidRPr="002B786D">
        <w:tab/>
        <w:t xml:space="preserve">pozdravlja morebitne koristi </w:t>
      </w:r>
      <w:proofErr w:type="spellStart"/>
      <w:r w:rsidRPr="002B786D">
        <w:t>tokenizacije</w:t>
      </w:r>
      <w:proofErr w:type="spellEnd"/>
      <w:r w:rsidRPr="002B786D">
        <w:t xml:space="preserve"> za trgovanje s finančnimi sredstvi, kot sta večja učinkovitost in preglednost, manjše tveganje nasprotne stranke in nižji operativni stroški, pametna oddaja naročil ter izboljšana likvidnost z razdrobljenim lastništvom, hkrati pa ugotavlja, da bi bilo treba spremljati njene ranljivosti;</w:t>
      </w:r>
    </w:p>
    <w:p w14:paraId="226BD0B1" w14:textId="77777777" w:rsidR="00BC43AD" w:rsidRPr="002B786D" w:rsidRDefault="00BC43AD" w:rsidP="00BC43AD">
      <w:pPr>
        <w:pStyle w:val="NormalHanging12a"/>
      </w:pPr>
      <w:r w:rsidRPr="002B786D">
        <w:t>14.</w:t>
      </w:r>
      <w:r w:rsidRPr="002B786D">
        <w:tab/>
        <w:t xml:space="preserve">poziva Komisijo, naj olajša in spodbuja </w:t>
      </w:r>
      <w:proofErr w:type="spellStart"/>
      <w:r w:rsidRPr="002B786D">
        <w:t>tokenizacijo</w:t>
      </w:r>
      <w:proofErr w:type="spellEnd"/>
      <w:r w:rsidRPr="002B786D">
        <w:t xml:space="preserve"> pri vseh finančnih storitvah, pri čemer naj vztraja pri </w:t>
      </w:r>
      <w:proofErr w:type="spellStart"/>
      <w:r w:rsidRPr="002B786D">
        <w:t>interoperabilnosti</w:t>
      </w:r>
      <w:proofErr w:type="spellEnd"/>
      <w:r w:rsidRPr="002B786D">
        <w:t xml:space="preserve"> in preprečevanju razdrobljenosti z ohranjanjem standardov na celotnem enotnem trgu in zagotavljanjem infrastrukture;</w:t>
      </w:r>
    </w:p>
    <w:p w14:paraId="1D31E833" w14:textId="77777777" w:rsidR="00BC43AD" w:rsidRPr="002B786D" w:rsidRDefault="00BC43AD" w:rsidP="00BC43AD">
      <w:pPr>
        <w:pStyle w:val="NormalHanging12a"/>
      </w:pPr>
      <w:r w:rsidRPr="002B786D">
        <w:t>15.</w:t>
      </w:r>
      <w:r w:rsidRPr="002B786D">
        <w:tab/>
        <w:t xml:space="preserve">priznava prizadevanja ECB, da bi zagotovila rešitve, vključno z infrastrukturo, ki ponuja možnost za </w:t>
      </w:r>
      <w:proofErr w:type="spellStart"/>
      <w:r w:rsidRPr="002B786D">
        <w:t>centralnobančno</w:t>
      </w:r>
      <w:proofErr w:type="spellEnd"/>
      <w:r w:rsidRPr="002B786D">
        <w:t xml:space="preserve"> digitalno valuto za velike vlagatelje (CBDC), ki omogoča poravnavo denarnega in premoženjskega dela v skupni evidenci ter dopolnjuje </w:t>
      </w:r>
      <w:proofErr w:type="spellStart"/>
      <w:r w:rsidRPr="002B786D">
        <w:t>tokenizirane</w:t>
      </w:r>
      <w:proofErr w:type="spellEnd"/>
      <w:r w:rsidRPr="002B786D">
        <w:t xml:space="preserve"> vloge poslovnih bank in stabilne kovance;</w:t>
      </w:r>
    </w:p>
    <w:p w14:paraId="1EA5B476" w14:textId="77777777" w:rsidR="00BC43AD" w:rsidRPr="002B786D" w:rsidRDefault="00BC43AD" w:rsidP="00BC43AD">
      <w:pPr>
        <w:pStyle w:val="NormalHanging12a"/>
      </w:pPr>
      <w:r w:rsidRPr="002B786D">
        <w:t>16.</w:t>
      </w:r>
      <w:r w:rsidRPr="002B786D">
        <w:tab/>
        <w:t xml:space="preserve">poudarja potencial za globalno povezljivost evropskega trga žetonov; poudarja pomen mednarodnega sodelovanja, da bi uskladili merila, načela in standarde za kategorizacijo; </w:t>
      </w:r>
      <w:r w:rsidRPr="002B786D">
        <w:lastRenderedPageBreak/>
        <w:t>podpira delo Banke za mednarodne poravnave pri pobudah za čezmejno sodelovanje na področju plačil;</w:t>
      </w:r>
    </w:p>
    <w:p w14:paraId="5608D4BA" w14:textId="77777777" w:rsidR="00BC43AD" w:rsidRPr="002B786D" w:rsidRDefault="00BC43AD" w:rsidP="00BC43AD">
      <w:pPr>
        <w:pStyle w:val="NormalHanging12a"/>
      </w:pPr>
      <w:r w:rsidRPr="002B786D">
        <w:t>17.</w:t>
      </w:r>
      <w:r w:rsidRPr="002B786D">
        <w:tab/>
        <w:t>pozdravlja tekoče razprave o pilotni ureditvi EU za tehnologijo razpršene evidence v okviru svežnja o povezovanju in nadzoru trgov;</w:t>
      </w:r>
    </w:p>
    <w:p w14:paraId="2BD5D6D0" w14:textId="77777777" w:rsidR="00BC43AD" w:rsidRPr="002B786D" w:rsidRDefault="00BC43AD" w:rsidP="00BC43AD">
      <w:pPr>
        <w:pStyle w:val="Normal12a"/>
      </w:pPr>
      <w:r w:rsidRPr="002B786D">
        <w:rPr>
          <w:b/>
          <w:i/>
        </w:rPr>
        <w:t>Stabilni kovanci</w:t>
      </w:r>
    </w:p>
    <w:p w14:paraId="459EAAFA" w14:textId="77777777" w:rsidR="00BC43AD" w:rsidRPr="002B786D" w:rsidRDefault="00BC43AD" w:rsidP="00BC43AD">
      <w:pPr>
        <w:pStyle w:val="NormalHanging12a"/>
      </w:pPr>
      <w:r w:rsidRPr="002B786D">
        <w:t>18.</w:t>
      </w:r>
      <w:r w:rsidRPr="002B786D">
        <w:tab/>
        <w:t xml:space="preserve">ugotavlja, da lahko stabilni kovanci v pravnem okviru uredbe </w:t>
      </w:r>
      <w:proofErr w:type="spellStart"/>
      <w:r w:rsidRPr="002B786D">
        <w:t>MiCA</w:t>
      </w:r>
      <w:proofErr w:type="spellEnd"/>
      <w:r w:rsidRPr="002B786D">
        <w:t xml:space="preserve"> spadajo v dve kategoriji, in sicer kot žetoni, vezani na sredstva, in kot e-denarni žetoni;</w:t>
      </w:r>
    </w:p>
    <w:p w14:paraId="7312023F" w14:textId="77777777" w:rsidR="00BC43AD" w:rsidRDefault="00BC43AD" w:rsidP="00BC43AD">
      <w:pPr>
        <w:pStyle w:val="NormalHanging12a"/>
      </w:pPr>
      <w:r w:rsidRPr="002B786D">
        <w:t>19.</w:t>
      </w:r>
      <w:r w:rsidRPr="002B786D">
        <w:tab/>
        <w:t xml:space="preserve">ugotavlja, da so stabilni kovanci oblika ustvarjanja zasebnega denarja in da je njihova gospodarska funkcija podobna vezavam na menjalni tečaj, skladom denarnega trga in bankam z omejeno licenco; vendar poudarja, da uredba </w:t>
      </w:r>
      <w:proofErr w:type="spellStart"/>
      <w:r w:rsidRPr="002B786D">
        <w:t>MiCA</w:t>
      </w:r>
      <w:proofErr w:type="spellEnd"/>
      <w:r w:rsidRPr="002B786D">
        <w:t xml:space="preserve"> izdajateljem e-denarnih žetonov in ponudnikom storitev v zvezi s </w:t>
      </w:r>
      <w:proofErr w:type="spellStart"/>
      <w:r w:rsidRPr="002B786D">
        <w:t>kriptosredstvi</w:t>
      </w:r>
      <w:proofErr w:type="spellEnd"/>
      <w:r w:rsidRPr="002B786D">
        <w:t xml:space="preserve"> prepoveduje neposredno ali posredno podeljevanje obresti v zvezi z e-denarnimi žetoni ter da stabilni kovanci nimajo neposrednega dostopa do centralnih bank in da se za njihove imetnike ne uporabljajo sistemi jamstva za vloge; je seznanjen s tveganjem devalvacije in opuščanja finančnih posrednikov, povezanim s stabilnimi kovanci;</w:t>
      </w:r>
    </w:p>
    <w:p w14:paraId="692C9BAA" w14:textId="76B163EA" w:rsidR="00816A43" w:rsidRPr="002B786D" w:rsidRDefault="00816A43" w:rsidP="00BC43AD">
      <w:pPr>
        <w:pStyle w:val="NormalHanging12a"/>
      </w:pPr>
      <w:r>
        <w:t>20.</w:t>
      </w:r>
      <w:r>
        <w:tab/>
      </w:r>
      <w:r w:rsidRPr="00816A43">
        <w:t xml:space="preserve">z zaskrbljenostjo ugotavlja, da se stabilni kovanci, </w:t>
      </w:r>
      <w:proofErr w:type="spellStart"/>
      <w:r w:rsidRPr="00816A43">
        <w:t>denominirani</w:t>
      </w:r>
      <w:proofErr w:type="spellEnd"/>
      <w:r w:rsidRPr="00816A43">
        <w:t xml:space="preserve"> v ameriških dolarjih, še naprej hitro širijo in prevladujejo, kar bi lahko oslabilo monetarno suverenost EU, povečalo tveganja za finančno stabilnost, oviralo prenos monetarne politike in povečalo zunanjo odvisnost pri plačilih;</w:t>
      </w:r>
    </w:p>
    <w:p w14:paraId="14ED2B64" w14:textId="069B09CB" w:rsidR="00BC43AD" w:rsidRPr="002B786D" w:rsidRDefault="00816A43" w:rsidP="00BC43AD">
      <w:pPr>
        <w:pStyle w:val="NormalHanging12a"/>
      </w:pPr>
      <w:r>
        <w:t>21</w:t>
      </w:r>
      <w:r w:rsidR="00BC43AD" w:rsidRPr="002B786D">
        <w:t>.</w:t>
      </w:r>
      <w:r w:rsidR="00BC43AD" w:rsidRPr="002B786D">
        <w:tab/>
        <w:t xml:space="preserve">pozdravlja pojav e-denarnih žetonov, </w:t>
      </w:r>
      <w:proofErr w:type="spellStart"/>
      <w:r w:rsidR="00BC43AD" w:rsidRPr="002B786D">
        <w:t>denominiranih</w:t>
      </w:r>
      <w:proofErr w:type="spellEnd"/>
      <w:r w:rsidR="00BC43AD" w:rsidRPr="002B786D">
        <w:t xml:space="preserve"> v eurih, v okviru uredbe </w:t>
      </w:r>
      <w:proofErr w:type="spellStart"/>
      <w:r w:rsidR="00BC43AD" w:rsidRPr="002B786D">
        <w:t>MiCA</w:t>
      </w:r>
      <w:proofErr w:type="spellEnd"/>
      <w:r w:rsidR="00BC43AD" w:rsidRPr="002B786D">
        <w:t xml:space="preserve"> in spodbuja njihov razvoj v podporo plačilnim inovacijam EU, konkurenčnosti finančnih trgov EU in mednarodni vlogi eura, tudi s hitrejšimi in cenejšimi čezmejnimi plačili, ki dopolnjujejo </w:t>
      </w:r>
      <w:proofErr w:type="spellStart"/>
      <w:r w:rsidR="00BC43AD" w:rsidRPr="002B786D">
        <w:t>tokenizirane</w:t>
      </w:r>
      <w:proofErr w:type="spellEnd"/>
      <w:r w:rsidR="00BC43AD" w:rsidRPr="002B786D">
        <w:t xml:space="preserve"> vloge in </w:t>
      </w:r>
      <w:proofErr w:type="spellStart"/>
      <w:r w:rsidR="00BC43AD" w:rsidRPr="002B786D">
        <w:t>centralnobančne</w:t>
      </w:r>
      <w:proofErr w:type="spellEnd"/>
      <w:r w:rsidR="00BC43AD" w:rsidRPr="002B786D">
        <w:t xml:space="preserve"> digitalne valute za velike vlagatelje; poudarja, kako pomembni so usklajeni okviri za likvidnostno tveganje in krizno upravljanje, vključno z zahtevami glede zmanjšanja vrednosti odkupov in ločevanja rezerv; ugotavlja, da ECB vztraja, da lahko stabilni kovanci, ki niso </w:t>
      </w:r>
      <w:proofErr w:type="spellStart"/>
      <w:r w:rsidR="00BC43AD" w:rsidRPr="002B786D">
        <w:t>denominirani</w:t>
      </w:r>
      <w:proofErr w:type="spellEnd"/>
      <w:r w:rsidR="00BC43AD" w:rsidRPr="002B786D">
        <w:t xml:space="preserve"> v eurih, pomenijo tveganje za monetarno politiko, če se njihova uporaba razširi; izraža previdnost glede zlorabe klavzule o povpraševanju na lastno pobudo;</w:t>
      </w:r>
    </w:p>
    <w:p w14:paraId="69A66295" w14:textId="04D36C3E" w:rsidR="00BC43AD" w:rsidRPr="002B786D" w:rsidRDefault="00816A43" w:rsidP="00BC43AD">
      <w:pPr>
        <w:pStyle w:val="NormalHanging12a"/>
      </w:pPr>
      <w:r w:rsidRPr="002B786D">
        <w:t>2</w:t>
      </w:r>
      <w:r>
        <w:t>2</w:t>
      </w:r>
      <w:r w:rsidR="00BC43AD" w:rsidRPr="002B786D">
        <w:t>.</w:t>
      </w:r>
      <w:r w:rsidR="00BC43AD" w:rsidRPr="002B786D">
        <w:tab/>
        <w:t>priznava, da je v pravu EU potrebna pravna varnost v zvezi z možnostjo večkratne izdaje stabilnih kovancev s strani subjekta iz EU in subjekta zunaj EU, pri čemer bi bili digitalni stabilni kovanci, ki jih izdata oba subjekta, v celoti zamenljivi in jih ne bi bilo mogoče razlikovati; opozarja, da je Evropski odbor za sistemska tveganja posvaril pred večkratno izdajo kot morebitnim kanalom širjenja negativnih vplivov; poudarja, da je treba zagotoviti, da bo delovanje takih shem v EU temeljilo na pravni varnosti in trdnem regulativnem okviru, ki bo zagotavljal močne bonitetne zaščitne ukrepe, trdne dogovore o sodelovanju in okrepljene protokole za krizno upravljanje; poudarja, kako pomembno je spodbujati mednarodno usklajevanje na področju regulacije in nadzora globalnih stabilnih kovancev, da bi vzpostavili mednarodne standarde;</w:t>
      </w:r>
    </w:p>
    <w:p w14:paraId="2F20E45E" w14:textId="3DEC428B" w:rsidR="00BC43AD" w:rsidRPr="002B786D" w:rsidRDefault="00816A43" w:rsidP="00BC43AD">
      <w:pPr>
        <w:pStyle w:val="NormalHanging12a"/>
      </w:pPr>
      <w:r w:rsidRPr="002B786D">
        <w:lastRenderedPageBreak/>
        <w:t>2</w:t>
      </w:r>
      <w:r>
        <w:t>3</w:t>
      </w:r>
      <w:r w:rsidR="00BC43AD" w:rsidRPr="002B786D">
        <w:t>.</w:t>
      </w:r>
      <w:r w:rsidR="00BC43AD" w:rsidRPr="002B786D">
        <w:tab/>
        <w:t>pozdravlja začasni dogovor o predlogih direktive</w:t>
      </w:r>
      <w:r w:rsidR="00DE35E4">
        <w:rPr>
          <w:rStyle w:val="FootnoteReference"/>
        </w:rPr>
        <w:footnoteReference w:id="6"/>
      </w:r>
      <w:r w:rsidR="00BC43AD" w:rsidRPr="002B786D">
        <w:t xml:space="preserve"> in uredbe</w:t>
      </w:r>
      <w:r w:rsidR="00DE35E4">
        <w:rPr>
          <w:rStyle w:val="FootnoteReference"/>
        </w:rPr>
        <w:footnoteReference w:id="7"/>
      </w:r>
      <w:r w:rsidR="00BC43AD" w:rsidRPr="002B786D">
        <w:t xml:space="preserve"> o plačilnih storitvah in poenostavljeno rešitev izdajanja dovoljenj za ponudnike storitev v zvezi s </w:t>
      </w:r>
      <w:proofErr w:type="spellStart"/>
      <w:r w:rsidR="00BC43AD" w:rsidRPr="002B786D">
        <w:t>kriptosredstvi</w:t>
      </w:r>
      <w:proofErr w:type="spellEnd"/>
      <w:r w:rsidR="00BC43AD" w:rsidRPr="002B786D">
        <w:t xml:space="preserve">, ki že imajo dovoljenje v skladu z uredbo o trgih </w:t>
      </w:r>
      <w:proofErr w:type="spellStart"/>
      <w:r w:rsidR="00BC43AD" w:rsidRPr="002B786D">
        <w:t>kriptosredstev</w:t>
      </w:r>
      <w:proofErr w:type="spellEnd"/>
      <w:r w:rsidR="00BC43AD" w:rsidRPr="002B786D">
        <w:t>, da bi preprečili nepotrebno regulativno prekrivanje ob uporabi poenostavljenega postopka, hkrati pa ohranili ustrezen nadzor tveganj in zagotavljali le storitve, navedene v vlogi;</w:t>
      </w:r>
    </w:p>
    <w:p w14:paraId="1BE5B5C1" w14:textId="77777777" w:rsidR="00BC43AD" w:rsidRPr="002B786D" w:rsidRDefault="00BC43AD" w:rsidP="00BC43AD">
      <w:pPr>
        <w:pStyle w:val="Normal12a"/>
      </w:pPr>
      <w:r w:rsidRPr="002B786D">
        <w:rPr>
          <w:b/>
          <w:i/>
        </w:rPr>
        <w:t>Medsektorski vidiki</w:t>
      </w:r>
    </w:p>
    <w:p w14:paraId="567A6B27" w14:textId="6F3F0B0A" w:rsidR="00BC43AD" w:rsidRPr="002B786D" w:rsidRDefault="00816A43" w:rsidP="00BC43AD">
      <w:pPr>
        <w:pStyle w:val="NormalHanging12a"/>
      </w:pPr>
      <w:r w:rsidRPr="002B786D">
        <w:t>2</w:t>
      </w:r>
      <w:r>
        <w:t>4</w:t>
      </w:r>
      <w:r w:rsidR="00BC43AD" w:rsidRPr="002B786D">
        <w:t>.</w:t>
      </w:r>
      <w:r w:rsidR="00BC43AD" w:rsidRPr="002B786D">
        <w:tab/>
        <w:t xml:space="preserve">poudarja, da je </w:t>
      </w:r>
      <w:proofErr w:type="spellStart"/>
      <w:r w:rsidR="00BC43AD" w:rsidRPr="002B786D">
        <w:t>interoperabilnost</w:t>
      </w:r>
      <w:proofErr w:type="spellEnd"/>
      <w:r w:rsidR="00BC43AD" w:rsidRPr="002B786D">
        <w:t xml:space="preserve"> ključna na področju digitalnih financ, saj na primer zahteva prenosljivo identiteto in preverljive poverilnice kot </w:t>
      </w:r>
      <w:proofErr w:type="spellStart"/>
      <w:r w:rsidR="00BC43AD" w:rsidRPr="002B786D">
        <w:t>omogočitvene</w:t>
      </w:r>
      <w:proofErr w:type="spellEnd"/>
      <w:r w:rsidR="00BC43AD" w:rsidRPr="002B786D">
        <w:t xml:space="preserve"> sestavne dele medomrežne tržne infrastrukture; poudarja, da bi bilo treba pristope v zvezi z identifikatorji pravnih subjektov/preverljivimi identifikatorji pravnih subjektov oceniti kot orodja za izboljšanje infrastrukture; poziva Komisijo, naj sodeluje z evropskimi in mednarodnimi organizacijami za standardizacijo, da bi oblikovali skupne tehnične standarde in protokole za digitalna sredstva, pametne pogodbe in digitalne identitete;</w:t>
      </w:r>
    </w:p>
    <w:p w14:paraId="316DA04B" w14:textId="60978008" w:rsidR="00BC43AD" w:rsidRPr="002B786D" w:rsidRDefault="00816A43" w:rsidP="00BC43AD">
      <w:pPr>
        <w:pStyle w:val="NormalHanging12a"/>
      </w:pPr>
      <w:r w:rsidRPr="002B786D">
        <w:t>2</w:t>
      </w:r>
      <w:r>
        <w:t>5</w:t>
      </w:r>
      <w:r w:rsidR="00BC43AD" w:rsidRPr="002B786D">
        <w:t>.</w:t>
      </w:r>
      <w:r w:rsidR="00BC43AD" w:rsidRPr="002B786D">
        <w:tab/>
        <w:t>pozdravlja tekoče razprave o digitalnem euru, vključno s pripravami za uporabo na drobno in debelo, ter podpira tekoče kratkoročne (</w:t>
      </w:r>
      <w:proofErr w:type="spellStart"/>
      <w:r w:rsidR="00BC43AD" w:rsidRPr="002B786D">
        <w:t>Pontes</w:t>
      </w:r>
      <w:proofErr w:type="spellEnd"/>
      <w:r w:rsidR="00BC43AD" w:rsidRPr="002B786D">
        <w:t>) in dolgoročne (</w:t>
      </w:r>
      <w:proofErr w:type="spellStart"/>
      <w:r w:rsidR="00BC43AD" w:rsidRPr="002B786D">
        <w:t>Appia</w:t>
      </w:r>
      <w:proofErr w:type="spellEnd"/>
      <w:r w:rsidR="00BC43AD" w:rsidRPr="002B786D">
        <w:t xml:space="preserve">) projekte, ki temeljijo na tehnologiji razpršene evidence, za poravnavo transakcij velikih vrednosti v </w:t>
      </w:r>
      <w:proofErr w:type="spellStart"/>
      <w:r w:rsidR="00BC43AD" w:rsidRPr="002B786D">
        <w:t>centralnobančnem</w:t>
      </w:r>
      <w:proofErr w:type="spellEnd"/>
      <w:r w:rsidR="00BC43AD" w:rsidRPr="002B786D">
        <w:t xml:space="preserve"> denarju; poziva Komisijo in ECB, naj poskrbita, da se bo s prihodnjimi rešitvami digitalnega evra spodbujala </w:t>
      </w:r>
      <w:proofErr w:type="spellStart"/>
      <w:r w:rsidR="00BC43AD" w:rsidRPr="002B786D">
        <w:t>interoperabilnost</w:t>
      </w:r>
      <w:proofErr w:type="spellEnd"/>
      <w:r w:rsidR="00BC43AD" w:rsidRPr="002B786D">
        <w:t xml:space="preserve"> z infrastrukturo na podlagi tehnologije razpršene evidence in zagotovita dopolnjevanje z gotovino;</w:t>
      </w:r>
    </w:p>
    <w:p w14:paraId="55AB3104" w14:textId="2F17A76C" w:rsidR="00BC43AD" w:rsidRPr="002B786D" w:rsidRDefault="00816A43" w:rsidP="00BC43AD">
      <w:pPr>
        <w:pStyle w:val="NormalHanging12a"/>
      </w:pPr>
      <w:r w:rsidRPr="002B786D">
        <w:t>2</w:t>
      </w:r>
      <w:r>
        <w:t>6</w:t>
      </w:r>
      <w:r w:rsidR="00BC43AD" w:rsidRPr="002B786D">
        <w:t>.</w:t>
      </w:r>
      <w:r w:rsidR="00BC43AD" w:rsidRPr="002B786D">
        <w:tab/>
        <w:t>obžaluje, da je EU pri infrastrukturi distribuirane knjige transakcij odvisna od ponudnikov storitev iz tretjih držav; poudarja, da bi bilo treba preudarno spremljati ravnanje administracije ZDA z digitalnimi sredstvi;</w:t>
      </w:r>
    </w:p>
    <w:p w14:paraId="23844324" w14:textId="397E9F05" w:rsidR="00BC43AD" w:rsidRPr="002B786D" w:rsidRDefault="00816A43" w:rsidP="00BC43AD">
      <w:pPr>
        <w:pStyle w:val="NormalHanging12a"/>
      </w:pPr>
      <w:r w:rsidRPr="002B786D">
        <w:t>2</w:t>
      </w:r>
      <w:r>
        <w:t>7</w:t>
      </w:r>
      <w:r w:rsidR="00BC43AD" w:rsidRPr="002B786D">
        <w:t>.</w:t>
      </w:r>
      <w:r w:rsidR="00BC43AD" w:rsidRPr="002B786D">
        <w:tab/>
        <w:t xml:space="preserve">je seznanjen s tekočimi razpravami o nadzoru ponudnikov storitev v zvezi s </w:t>
      </w:r>
      <w:proofErr w:type="spellStart"/>
      <w:r w:rsidR="00BC43AD" w:rsidRPr="002B786D">
        <w:t>kriptosredstvi</w:t>
      </w:r>
      <w:proofErr w:type="spellEnd"/>
      <w:r w:rsidR="00BC43AD" w:rsidRPr="002B786D">
        <w:t xml:space="preserve"> in vlogi ESMA v okviru svežnja o povezovanju in nadzoru trgov;</w:t>
      </w:r>
    </w:p>
    <w:p w14:paraId="24108A01" w14:textId="77777777" w:rsidR="00BC43AD" w:rsidRPr="002B786D" w:rsidRDefault="00BC43AD" w:rsidP="00BC43AD">
      <w:pPr>
        <w:pStyle w:val="NormalCenter12a"/>
      </w:pPr>
      <w:r w:rsidRPr="002B786D">
        <w:t>°</w:t>
      </w:r>
    </w:p>
    <w:p w14:paraId="298B1E9C" w14:textId="77777777" w:rsidR="00BC43AD" w:rsidRPr="002B786D" w:rsidRDefault="00BC43AD" w:rsidP="00BC43AD">
      <w:pPr>
        <w:pStyle w:val="NormalCenter12a"/>
      </w:pPr>
      <w:r w:rsidRPr="002B786D">
        <w:t>°</w:t>
      </w:r>
      <w:r w:rsidRPr="002B786D">
        <w:tab/>
        <w:t>°</w:t>
      </w:r>
    </w:p>
    <w:p w14:paraId="4433DC6B" w14:textId="49A752EA" w:rsidR="00E365E1" w:rsidRPr="002B786D" w:rsidRDefault="00816A43" w:rsidP="00FA12F8">
      <w:pPr>
        <w:pStyle w:val="NormalHanging12a"/>
      </w:pPr>
      <w:r w:rsidRPr="002B786D">
        <w:t>2</w:t>
      </w:r>
      <w:r>
        <w:t>8</w:t>
      </w:r>
      <w:r w:rsidR="00BC43AD" w:rsidRPr="002B786D">
        <w:t>.</w:t>
      </w:r>
      <w:r w:rsidR="00BC43AD" w:rsidRPr="002B786D">
        <w:tab/>
        <w:t>naroči svoji predsednici, naj to resolucijo posreduje Svetu in Komisiji.</w:t>
      </w:r>
    </w:p>
    <w:sectPr w:rsidR="00E365E1" w:rsidRPr="002B786D" w:rsidSect="002B786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348DB" w14:textId="77777777" w:rsidR="00A779B0" w:rsidRPr="002B786D" w:rsidRDefault="00A779B0">
      <w:r w:rsidRPr="002B786D">
        <w:separator/>
      </w:r>
    </w:p>
  </w:endnote>
  <w:endnote w:type="continuationSeparator" w:id="0">
    <w:p w14:paraId="12ED7609" w14:textId="77777777" w:rsidR="00A779B0" w:rsidRPr="002B786D" w:rsidRDefault="00A779B0">
      <w:r w:rsidRPr="002B78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2F47F" w14:textId="77777777" w:rsidR="00064002" w:rsidRPr="002B786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3C3E8" w14:textId="77777777" w:rsidR="00064002" w:rsidRPr="002B786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4608" w14:textId="77777777" w:rsidR="00064002" w:rsidRPr="002B78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AB819" w14:textId="77777777" w:rsidR="00A779B0" w:rsidRPr="002B786D" w:rsidRDefault="00A779B0">
      <w:r w:rsidRPr="002B786D">
        <w:separator/>
      </w:r>
    </w:p>
  </w:footnote>
  <w:footnote w:type="continuationSeparator" w:id="0">
    <w:p w14:paraId="4EF922B6" w14:textId="77777777" w:rsidR="00A779B0" w:rsidRPr="002B786D" w:rsidRDefault="00A779B0">
      <w:r w:rsidRPr="002B786D">
        <w:continuationSeparator/>
      </w:r>
    </w:p>
  </w:footnote>
  <w:footnote w:id="1">
    <w:p w14:paraId="794EF9B3" w14:textId="347EB84E" w:rsidR="00DE35E4" w:rsidRPr="002B786D" w:rsidRDefault="00DE35E4" w:rsidP="002B786D">
      <w:pPr>
        <w:pStyle w:val="FootnoteText"/>
        <w:ind w:left="567" w:hanging="567"/>
        <w:rPr>
          <w:sz w:val="24"/>
          <w:lang w:val="sl-SI"/>
        </w:rPr>
      </w:pPr>
      <w:r>
        <w:rPr>
          <w:rStyle w:val="FootnoteReference"/>
        </w:rPr>
        <w:footnoteRef/>
      </w:r>
      <w:r w:rsidRPr="002B786D">
        <w:rPr>
          <w:sz w:val="24"/>
          <w:lang w:val="sl-SI"/>
        </w:rPr>
        <w:t xml:space="preserve"> </w:t>
      </w:r>
      <w:r w:rsidRPr="002B786D">
        <w:rPr>
          <w:sz w:val="24"/>
          <w:lang w:val="sl-SI"/>
        </w:rPr>
        <w:tab/>
        <w:t xml:space="preserve">Mednarodni denarni sklad, „Stablecoins and the future of finance“, </w:t>
      </w:r>
      <w:r w:rsidRPr="002B786D">
        <w:rPr>
          <w:i/>
          <w:sz w:val="24"/>
          <w:lang w:val="sl-SI"/>
        </w:rPr>
        <w:t>Finance &amp; Development</w:t>
      </w:r>
      <w:r w:rsidRPr="002B786D">
        <w:rPr>
          <w:sz w:val="24"/>
          <w:lang w:val="sl-SI"/>
        </w:rPr>
        <w:t xml:space="preserve">, zvezek 62, št. 3, 3. september 2025, Mednarodni denarni sklad, Washington, </w:t>
      </w:r>
      <w:hyperlink r:id="rId1" w:tgtFrame="https://doi.org/10.5089/9798400297649.022" w:history="1">
        <w:r w:rsidRPr="002B786D">
          <w:rPr>
            <w:rStyle w:val="Hyperlink"/>
            <w:sz w:val="24"/>
            <w:lang w:val="sl-SI"/>
          </w:rPr>
          <w:t>https://doi.org/10.5089/9798400297649.022</w:t>
        </w:r>
      </w:hyperlink>
      <w:r w:rsidRPr="002B786D">
        <w:rPr>
          <w:sz w:val="24"/>
          <w:lang w:val="sl-SI"/>
        </w:rPr>
        <w:t>.</w:t>
      </w:r>
    </w:p>
  </w:footnote>
  <w:footnote w:id="2">
    <w:p w14:paraId="13B2E1E9" w14:textId="0104A511" w:rsidR="00DE35E4" w:rsidRPr="002B786D" w:rsidRDefault="00DE35E4" w:rsidP="002B786D">
      <w:pPr>
        <w:pStyle w:val="FootnoteText"/>
        <w:ind w:left="567" w:hanging="567"/>
        <w:rPr>
          <w:sz w:val="24"/>
          <w:lang w:val="sl-SI"/>
        </w:rPr>
      </w:pPr>
      <w:r>
        <w:rPr>
          <w:rStyle w:val="FootnoteReference"/>
        </w:rPr>
        <w:footnoteRef/>
      </w:r>
      <w:r w:rsidRPr="002B786D">
        <w:rPr>
          <w:sz w:val="24"/>
          <w:lang w:val="sl-SI"/>
        </w:rPr>
        <w:t xml:space="preserve"> </w:t>
      </w:r>
      <w:r w:rsidRPr="002B786D">
        <w:rPr>
          <w:sz w:val="24"/>
          <w:lang w:val="sl-SI"/>
        </w:rPr>
        <w:tab/>
        <w:t>Dokumenti OECD o poslovni in finančni politiki, št. 75.</w:t>
      </w:r>
    </w:p>
  </w:footnote>
  <w:footnote w:id="3">
    <w:p w14:paraId="03A34445" w14:textId="79B08014" w:rsidR="00DE35E4" w:rsidRPr="002B786D" w:rsidRDefault="00DE35E4" w:rsidP="002B786D">
      <w:pPr>
        <w:pStyle w:val="FootnoteText"/>
        <w:ind w:left="567" w:hanging="567"/>
        <w:rPr>
          <w:sz w:val="24"/>
          <w:lang w:val="sl-SI"/>
        </w:rPr>
      </w:pPr>
      <w:r>
        <w:rPr>
          <w:rStyle w:val="FootnoteReference"/>
        </w:rPr>
        <w:footnoteRef/>
      </w:r>
      <w:r w:rsidRPr="002B786D">
        <w:rPr>
          <w:sz w:val="24"/>
          <w:lang w:val="sl-SI"/>
        </w:rPr>
        <w:t xml:space="preserve"> </w:t>
      </w:r>
      <w:r w:rsidRPr="002B786D">
        <w:rPr>
          <w:sz w:val="24"/>
          <w:lang w:val="sl-SI"/>
        </w:rPr>
        <w:tab/>
        <w:t>Uredba (EU) 2022/858 Evropskega parlamenta in Sveta z dne 30. maja 2022 o pilotni ureditvi za tržne infrastrukture na podlagi tehnologije razpršene evidence ter spremembi uredb (EU) št. 600/2014 in (EU) št. 909/2014 ter Direktive 2014/65/EU (UL L 151, 2.6.2022, str. </w:t>
      </w:r>
      <w:r w:rsidRPr="002B786D">
        <w:rPr>
          <w:sz w:val="24"/>
          <w:lang w:val="sl-SI"/>
        </w:rPr>
        <w:t xml:space="preserve">1, ELI: </w:t>
      </w:r>
      <w:hyperlink r:id="rId2" w:tgtFrame="http://data.europa.eu/eli/reg/2022/858/oj" w:history="1">
        <w:r w:rsidRPr="002B786D">
          <w:rPr>
            <w:rStyle w:val="Hyperlink"/>
            <w:sz w:val="24"/>
            <w:lang w:val="sl-SI"/>
          </w:rPr>
          <w:t>http://data.europa.eu/eli/reg/2022/858/oj)</w:t>
        </w:r>
      </w:hyperlink>
      <w:r w:rsidRPr="002B786D">
        <w:rPr>
          <w:sz w:val="24"/>
          <w:lang w:val="sl-SI"/>
        </w:rPr>
        <w:t>.</w:t>
      </w:r>
    </w:p>
  </w:footnote>
  <w:footnote w:id="4">
    <w:p w14:paraId="79005486" w14:textId="624A2F92" w:rsidR="00DE35E4" w:rsidRPr="002B786D" w:rsidRDefault="00DE35E4" w:rsidP="002B786D">
      <w:pPr>
        <w:pStyle w:val="FootnoteText"/>
        <w:ind w:left="567" w:hanging="567"/>
        <w:rPr>
          <w:sz w:val="24"/>
          <w:lang w:val="sl-SI"/>
        </w:rPr>
      </w:pPr>
      <w:r>
        <w:rPr>
          <w:rStyle w:val="FootnoteReference"/>
        </w:rPr>
        <w:footnoteRef/>
      </w:r>
      <w:r w:rsidRPr="002B786D">
        <w:rPr>
          <w:sz w:val="24"/>
          <w:lang w:val="sl-SI"/>
        </w:rPr>
        <w:t xml:space="preserve"> </w:t>
      </w:r>
      <w:r w:rsidRPr="002B786D">
        <w:rPr>
          <w:sz w:val="24"/>
          <w:lang w:val="sl-SI"/>
        </w:rPr>
        <w:tab/>
        <w:t>Uredba (EU) 2023/1114 Evropskega parlamenta in Sveta z dne 31. maja 2023 o trgih kriptosredstev in spremembi uredb (EU) št. 1093/2010 in (EU) št. 1095/2010 ter direktiv 2013/36/EU in (EU) 2019/1937 (UL L 150, 9.6.2023, str. </w:t>
      </w:r>
      <w:r w:rsidRPr="002B786D">
        <w:rPr>
          <w:sz w:val="24"/>
          <w:lang w:val="sl-SI"/>
        </w:rPr>
        <w:t xml:space="preserve">40, ELI: </w:t>
      </w:r>
      <w:hyperlink r:id="rId3" w:tgtFrame="http://data.europa.eu/eli/reg/2023/1114/oj" w:history="1">
        <w:r w:rsidRPr="002B786D">
          <w:rPr>
            <w:rStyle w:val="Hyperlink"/>
            <w:sz w:val="24"/>
            <w:lang w:val="sl-SI"/>
          </w:rPr>
          <w:t>http://data.europa.eu/eli/reg/2023/1114/oj</w:t>
        </w:r>
      </w:hyperlink>
      <w:r w:rsidRPr="002B786D">
        <w:rPr>
          <w:sz w:val="24"/>
          <w:lang w:val="sl-SI"/>
        </w:rPr>
        <w:t>).</w:t>
      </w:r>
    </w:p>
  </w:footnote>
  <w:footnote w:id="5">
    <w:p w14:paraId="081AF0B4" w14:textId="269E7917" w:rsidR="00DE35E4" w:rsidRPr="002B786D" w:rsidRDefault="00DE35E4" w:rsidP="002B786D">
      <w:pPr>
        <w:pStyle w:val="FootnoteText"/>
        <w:ind w:left="567" w:hanging="567"/>
        <w:rPr>
          <w:sz w:val="24"/>
          <w:lang w:val="sl-SI"/>
        </w:rPr>
      </w:pPr>
      <w:r>
        <w:rPr>
          <w:rStyle w:val="FootnoteReference"/>
        </w:rPr>
        <w:footnoteRef/>
      </w:r>
      <w:r w:rsidRPr="002B786D">
        <w:rPr>
          <w:sz w:val="24"/>
          <w:lang w:val="sl-SI"/>
        </w:rPr>
        <w:t xml:space="preserve"> </w:t>
      </w:r>
      <w:r w:rsidRPr="002B786D">
        <w:rPr>
          <w:sz w:val="24"/>
          <w:lang w:val="sl-SI"/>
        </w:rPr>
        <w:tab/>
        <w:t>Uredba (EU) 2023/1113 Evropskega parlamenta in Sveta z dne 31. maja 2023 o informacijah, ki spremljajo prenose sredstev in nekaterih kriptosredstev, in spremembi Direktive (EU) 2015/849 (UL L 150, 9.6.2023, str. </w:t>
      </w:r>
      <w:r w:rsidRPr="002B786D">
        <w:rPr>
          <w:sz w:val="24"/>
          <w:lang w:val="sl-SI"/>
        </w:rPr>
        <w:t xml:space="preserve">1, ELI: </w:t>
      </w:r>
      <w:hyperlink r:id="rId4" w:tgtFrame="http://data.europa.eu/eli/reg/2023/1113/oj" w:history="1">
        <w:r w:rsidRPr="002B786D">
          <w:rPr>
            <w:rStyle w:val="Hyperlink"/>
            <w:sz w:val="24"/>
            <w:lang w:val="sl-SI"/>
          </w:rPr>
          <w:t>http://data.europa.eu/eli/reg/2023/1113/oj</w:t>
        </w:r>
      </w:hyperlink>
      <w:r w:rsidRPr="002B786D">
        <w:rPr>
          <w:sz w:val="24"/>
          <w:lang w:val="sl-SI"/>
        </w:rPr>
        <w:t>).</w:t>
      </w:r>
    </w:p>
  </w:footnote>
  <w:footnote w:id="6">
    <w:p w14:paraId="54C2855B" w14:textId="43911841" w:rsidR="00DE35E4" w:rsidRPr="002B786D" w:rsidRDefault="00DE35E4" w:rsidP="002B786D">
      <w:pPr>
        <w:pStyle w:val="FootnoteText"/>
        <w:ind w:left="567" w:hanging="567"/>
        <w:rPr>
          <w:sz w:val="24"/>
          <w:lang w:val="sl-SI"/>
        </w:rPr>
      </w:pPr>
      <w:r>
        <w:rPr>
          <w:rStyle w:val="FootnoteReference"/>
        </w:rPr>
        <w:footnoteRef/>
      </w:r>
      <w:r w:rsidRPr="002B786D">
        <w:rPr>
          <w:sz w:val="24"/>
          <w:lang w:val="sl-SI"/>
        </w:rPr>
        <w:t xml:space="preserve"> </w:t>
      </w:r>
      <w:r w:rsidRPr="002B786D">
        <w:rPr>
          <w:sz w:val="24"/>
          <w:lang w:val="sl-SI"/>
        </w:rPr>
        <w:tab/>
        <w:t>Predlog Komisije z dne 28. junija 2023 za direktivo Evropskega parlamenta in Sveta o plačilnih storitvah in storitvah elektronskega denarja na notranjem trgu, spremembi Direktive 98/26/ES ter razveljavitvi direktiv 2015/2366/EU in 2009/110/ES (COM(2023)0366).</w:t>
      </w:r>
    </w:p>
  </w:footnote>
  <w:footnote w:id="7">
    <w:p w14:paraId="02163B86" w14:textId="3F62AB9A" w:rsidR="00DE35E4" w:rsidRPr="002B786D" w:rsidRDefault="00DE35E4" w:rsidP="002B786D">
      <w:pPr>
        <w:pStyle w:val="FootnoteText"/>
        <w:ind w:left="567" w:hanging="567"/>
        <w:rPr>
          <w:sz w:val="24"/>
          <w:lang w:val="sl-SI"/>
        </w:rPr>
      </w:pPr>
      <w:r>
        <w:rPr>
          <w:rStyle w:val="FootnoteReference"/>
        </w:rPr>
        <w:footnoteRef/>
      </w:r>
      <w:r w:rsidRPr="002B786D">
        <w:rPr>
          <w:sz w:val="24"/>
          <w:lang w:val="sl-SI"/>
        </w:rPr>
        <w:t xml:space="preserve"> </w:t>
      </w:r>
      <w:r w:rsidRPr="002B786D">
        <w:rPr>
          <w:sz w:val="24"/>
          <w:lang w:val="sl-SI"/>
        </w:rPr>
        <w:tab/>
        <w:t>Predlog Komisije z dne 28. junija 2023 za uredbo Evropskega parlamenta in Sveta o plačilnih storitvah na notranjem trgu in spremembi Uredbe (EU) št.</w:t>
      </w:r>
      <w:r w:rsidR="00E10EE9">
        <w:rPr>
          <w:sz w:val="24"/>
          <w:lang w:val="sl-SI"/>
        </w:rPr>
        <w:t> </w:t>
      </w:r>
      <w:r w:rsidRPr="002B786D">
        <w:rPr>
          <w:sz w:val="24"/>
          <w:lang w:val="sl-SI"/>
        </w:rPr>
        <w:t>1093/2010 (COM(0367)</w:t>
      </w:r>
      <w:r w:rsidR="00816A43">
        <w:rPr>
          <w:sz w:val="24"/>
          <w:lang w:val="sl-SI"/>
        </w:rPr>
        <w:t>)</w:t>
      </w:r>
      <w:r w:rsidRPr="002B786D">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BCA1" w14:textId="77777777" w:rsidR="00064002" w:rsidRPr="002B786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DDA54" w14:textId="77777777" w:rsidR="00064002" w:rsidRPr="002B786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670D" w14:textId="77777777" w:rsidR="00064002" w:rsidRPr="002B78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9187763">
    <w:abstractNumId w:val="9"/>
  </w:num>
  <w:num w:numId="2" w16cid:durableId="125205583">
    <w:abstractNumId w:val="9"/>
  </w:num>
  <w:num w:numId="3" w16cid:durableId="194664013">
    <w:abstractNumId w:val="7"/>
  </w:num>
  <w:num w:numId="4" w16cid:durableId="577982060">
    <w:abstractNumId w:val="7"/>
  </w:num>
  <w:num w:numId="5" w16cid:durableId="1971209553">
    <w:abstractNumId w:val="6"/>
  </w:num>
  <w:num w:numId="6" w16cid:durableId="1613047665">
    <w:abstractNumId w:val="6"/>
  </w:num>
  <w:num w:numId="7" w16cid:durableId="848833639">
    <w:abstractNumId w:val="5"/>
  </w:num>
  <w:num w:numId="8" w16cid:durableId="1819765054">
    <w:abstractNumId w:val="5"/>
  </w:num>
  <w:num w:numId="9" w16cid:durableId="1891964184">
    <w:abstractNumId w:val="4"/>
  </w:num>
  <w:num w:numId="10" w16cid:durableId="259653955">
    <w:abstractNumId w:val="4"/>
  </w:num>
  <w:num w:numId="11" w16cid:durableId="1717852853">
    <w:abstractNumId w:val="8"/>
  </w:num>
  <w:num w:numId="12" w16cid:durableId="1707676340">
    <w:abstractNumId w:val="8"/>
  </w:num>
  <w:num w:numId="13" w16cid:durableId="1798647079">
    <w:abstractNumId w:val="3"/>
  </w:num>
  <w:num w:numId="14" w16cid:durableId="669529568">
    <w:abstractNumId w:val="3"/>
  </w:num>
  <w:num w:numId="15" w16cid:durableId="431439822">
    <w:abstractNumId w:val="2"/>
  </w:num>
  <w:num w:numId="16" w16cid:durableId="866723146">
    <w:abstractNumId w:val="2"/>
  </w:num>
  <w:num w:numId="17" w16cid:durableId="1981571147">
    <w:abstractNumId w:val="1"/>
  </w:num>
  <w:num w:numId="18" w16cid:durableId="655567632">
    <w:abstractNumId w:val="1"/>
  </w:num>
  <w:num w:numId="19" w16cid:durableId="228733285">
    <w:abstractNumId w:val="0"/>
  </w:num>
  <w:num w:numId="20" w16cid:durableId="1726757481">
    <w:abstractNumId w:val="0"/>
  </w:num>
  <w:num w:numId="21" w16cid:durableId="2134013981">
    <w:abstractNumId w:val="9"/>
  </w:num>
  <w:num w:numId="22" w16cid:durableId="2053536394">
    <w:abstractNumId w:val="7"/>
  </w:num>
  <w:num w:numId="23" w16cid:durableId="2134057343">
    <w:abstractNumId w:val="6"/>
  </w:num>
  <w:num w:numId="24" w16cid:durableId="1507818706">
    <w:abstractNumId w:val="5"/>
  </w:num>
  <w:num w:numId="25" w16cid:durableId="701712862">
    <w:abstractNumId w:val="4"/>
  </w:num>
  <w:num w:numId="26" w16cid:durableId="2042853195">
    <w:abstractNumId w:val="8"/>
  </w:num>
  <w:num w:numId="27" w16cid:durableId="444547264">
    <w:abstractNumId w:val="3"/>
  </w:num>
  <w:num w:numId="28" w16cid:durableId="876311625">
    <w:abstractNumId w:val="2"/>
  </w:num>
  <w:num w:numId="29" w16cid:durableId="797645771">
    <w:abstractNumId w:val="1"/>
  </w:num>
  <w:num w:numId="30" w16cid:durableId="531649202">
    <w:abstractNumId w:val="0"/>
  </w:num>
  <w:num w:numId="31" w16cid:durableId="1961909455">
    <w:abstractNumId w:val="9"/>
  </w:num>
  <w:num w:numId="32" w16cid:durableId="610286908">
    <w:abstractNumId w:val="7"/>
  </w:num>
  <w:num w:numId="33" w16cid:durableId="2058163539">
    <w:abstractNumId w:val="6"/>
  </w:num>
  <w:num w:numId="34" w16cid:durableId="158740295">
    <w:abstractNumId w:val="5"/>
  </w:num>
  <w:num w:numId="35" w16cid:durableId="1396735590">
    <w:abstractNumId w:val="4"/>
  </w:num>
  <w:num w:numId="36" w16cid:durableId="385956680">
    <w:abstractNumId w:val="8"/>
  </w:num>
  <w:num w:numId="37" w16cid:durableId="1485121387">
    <w:abstractNumId w:val="3"/>
  </w:num>
  <w:num w:numId="38" w16cid:durableId="1828787712">
    <w:abstractNumId w:val="2"/>
  </w:num>
  <w:num w:numId="39" w16cid:durableId="1117675502">
    <w:abstractNumId w:val="1"/>
  </w:num>
  <w:num w:numId="40" w16cid:durableId="872612557">
    <w:abstractNumId w:val="0"/>
  </w:num>
  <w:num w:numId="41" w16cid:durableId="1779718193">
    <w:abstractNumId w:val="10"/>
  </w:num>
  <w:num w:numId="42" w16cid:durableId="277030491">
    <w:abstractNumId w:val="10"/>
  </w:num>
  <w:num w:numId="43" w16cid:durableId="189224255">
    <w:abstractNumId w:val="10"/>
  </w:num>
  <w:num w:numId="44" w16cid:durableId="13131715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SL"/>
    <w:docVar w:name="dvnumam" w:val="0"/>
    <w:docVar w:name="dvpe" w:val="784.381"/>
    <w:docVar w:name="dvrapporteur" w:val="Poročevalec: "/>
    <w:docVar w:name="dvtitre" w:val="Resolucija Evropskega parlamenta z dne … 2026 o digitalnih sredstvih – izzivi za konkurenčnost in integriteto finančnega sistema Evropske unije(2025/2208(INI))"/>
  </w:docVars>
  <w:rsids>
    <w:rsidRoot w:val="00A779B0"/>
    <w:rsid w:val="00002272"/>
    <w:rsid w:val="00064002"/>
    <w:rsid w:val="000677B9"/>
    <w:rsid w:val="000831BA"/>
    <w:rsid w:val="000A42CC"/>
    <w:rsid w:val="000E7DD9"/>
    <w:rsid w:val="0010095E"/>
    <w:rsid w:val="00125B37"/>
    <w:rsid w:val="00187494"/>
    <w:rsid w:val="001F32AE"/>
    <w:rsid w:val="002767FF"/>
    <w:rsid w:val="002B18FE"/>
    <w:rsid w:val="002B5493"/>
    <w:rsid w:val="002B786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2F0C"/>
    <w:rsid w:val="006631B6"/>
    <w:rsid w:val="00680577"/>
    <w:rsid w:val="006E2ACC"/>
    <w:rsid w:val="006F74FA"/>
    <w:rsid w:val="00731ADD"/>
    <w:rsid w:val="00734777"/>
    <w:rsid w:val="00747932"/>
    <w:rsid w:val="00751A4A"/>
    <w:rsid w:val="00756632"/>
    <w:rsid w:val="00762C74"/>
    <w:rsid w:val="00786EC0"/>
    <w:rsid w:val="007D1690"/>
    <w:rsid w:val="007E22AD"/>
    <w:rsid w:val="00816A43"/>
    <w:rsid w:val="00817416"/>
    <w:rsid w:val="00842779"/>
    <w:rsid w:val="008608E6"/>
    <w:rsid w:val="00865F67"/>
    <w:rsid w:val="00881A7B"/>
    <w:rsid w:val="008840E5"/>
    <w:rsid w:val="00887B3E"/>
    <w:rsid w:val="008C2AC6"/>
    <w:rsid w:val="008F40E6"/>
    <w:rsid w:val="00930C23"/>
    <w:rsid w:val="0093193B"/>
    <w:rsid w:val="009509D8"/>
    <w:rsid w:val="00950B64"/>
    <w:rsid w:val="00981893"/>
    <w:rsid w:val="00A1687D"/>
    <w:rsid w:val="00A43E52"/>
    <w:rsid w:val="00A4678D"/>
    <w:rsid w:val="00A778C7"/>
    <w:rsid w:val="00A779B0"/>
    <w:rsid w:val="00AB441E"/>
    <w:rsid w:val="00AB6293"/>
    <w:rsid w:val="00AE0928"/>
    <w:rsid w:val="00AF3B82"/>
    <w:rsid w:val="00B12E95"/>
    <w:rsid w:val="00B22876"/>
    <w:rsid w:val="00B558F0"/>
    <w:rsid w:val="00BC43AD"/>
    <w:rsid w:val="00BD48FE"/>
    <w:rsid w:val="00BD7BD8"/>
    <w:rsid w:val="00BE6ADC"/>
    <w:rsid w:val="00C05BFE"/>
    <w:rsid w:val="00C23CD4"/>
    <w:rsid w:val="00C61C0C"/>
    <w:rsid w:val="00C941CB"/>
    <w:rsid w:val="00CC2357"/>
    <w:rsid w:val="00CC7257"/>
    <w:rsid w:val="00CF071A"/>
    <w:rsid w:val="00D058B8"/>
    <w:rsid w:val="00D56C11"/>
    <w:rsid w:val="00D834A0"/>
    <w:rsid w:val="00D872DF"/>
    <w:rsid w:val="00D91E21"/>
    <w:rsid w:val="00DA7FCD"/>
    <w:rsid w:val="00DE35E4"/>
    <w:rsid w:val="00E10EE9"/>
    <w:rsid w:val="00E365E1"/>
    <w:rsid w:val="00E820A4"/>
    <w:rsid w:val="00EA46FF"/>
    <w:rsid w:val="00EB006A"/>
    <w:rsid w:val="00EB4772"/>
    <w:rsid w:val="00EB4BA6"/>
    <w:rsid w:val="00ED169E"/>
    <w:rsid w:val="00ED4235"/>
    <w:rsid w:val="00F04346"/>
    <w:rsid w:val="00F075DC"/>
    <w:rsid w:val="00F149E9"/>
    <w:rsid w:val="00F5134D"/>
    <w:rsid w:val="00F74202"/>
    <w:rsid w:val="00F87713"/>
    <w:rsid w:val="00FA12F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862F48"/>
  <w15:chartTrackingRefBased/>
  <w15:docId w15:val="{E4E83143-7C92-453F-B760-628F92B2B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C43AD"/>
    <w:pPr>
      <w:widowControl/>
      <w:spacing w:after="240"/>
    </w:pPr>
    <w:rPr>
      <w:szCs w:val="24"/>
      <w:lang w:eastAsia="en-US"/>
    </w:rPr>
  </w:style>
  <w:style w:type="paragraph" w:customStyle="1" w:styleId="NormalHanging12a">
    <w:name w:val="NormalHanging12a"/>
    <w:basedOn w:val="Normal"/>
    <w:rsid w:val="00BC43AD"/>
    <w:pPr>
      <w:widowControl/>
      <w:spacing w:after="240"/>
      <w:ind w:left="566" w:hanging="566"/>
    </w:pPr>
    <w:rPr>
      <w:szCs w:val="24"/>
      <w:lang w:eastAsia="en-US"/>
    </w:rPr>
  </w:style>
  <w:style w:type="paragraph" w:customStyle="1" w:styleId="Normal12">
    <w:name w:val="Normal12"/>
    <w:basedOn w:val="Normal"/>
    <w:rsid w:val="00BC43AD"/>
    <w:pPr>
      <w:spacing w:after="240"/>
    </w:pPr>
    <w:rPr>
      <w:szCs w:val="24"/>
      <w:lang w:eastAsia="en-US"/>
    </w:rPr>
  </w:style>
  <w:style w:type="paragraph" w:customStyle="1" w:styleId="NormalHanging">
    <w:name w:val="NormalHanging"/>
    <w:basedOn w:val="Normal"/>
    <w:rsid w:val="00BC43AD"/>
    <w:pPr>
      <w:spacing w:after="240"/>
      <w:ind w:left="566" w:hanging="566"/>
    </w:pPr>
    <w:rPr>
      <w:szCs w:val="24"/>
      <w:lang w:eastAsia="en-US"/>
    </w:rPr>
  </w:style>
  <w:style w:type="paragraph" w:customStyle="1" w:styleId="NormalCenter12a">
    <w:name w:val="NormalCenter12a"/>
    <w:basedOn w:val="Normal"/>
    <w:rsid w:val="00BC43AD"/>
    <w:pPr>
      <w:widowControl/>
      <w:spacing w:after="240"/>
      <w:jc w:val="center"/>
    </w:pPr>
    <w:rPr>
      <w:szCs w:val="24"/>
      <w:lang w:eastAsia="en-US"/>
    </w:rPr>
  </w:style>
  <w:style w:type="character" w:styleId="Hyperlink">
    <w:name w:val="Hyperlink"/>
    <w:basedOn w:val="DefaultParagraphFont"/>
    <w:rsid w:val="00BC43AD"/>
    <w:rPr>
      <w:color w:val="0000FF"/>
      <w:u w:val="single"/>
    </w:rPr>
  </w:style>
  <w:style w:type="paragraph" w:styleId="Revision">
    <w:name w:val="Revision"/>
    <w:hidden/>
    <w:uiPriority w:val="99"/>
    <w:semiHidden/>
    <w:rsid w:val="00DE35E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2445</Words>
  <Characters>15823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2026-07-07T13:07:00Z</dcterms:created>
  <dcterms:modified xsi:type="dcterms:W3CDTF">2026-07-07T13:07:00Z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A10-0186/2026</vt:lpwstr>
  </property>
  <property fmtid="{D5CDD505-2E9C-101B-9397-08002B2CF9AE}" pid="4" name="&lt;Type&gt;">
    <vt:lpwstr>RR</vt:lpwstr>
  </property>
</Properties>
</file>