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5D72" w14:paraId="4E302C40" w14:textId="77777777" w:rsidTr="0010095E">
        <w:trPr>
          <w:trHeight w:hRule="exact" w:val="1418"/>
        </w:trPr>
        <w:tc>
          <w:tcPr>
            <w:tcW w:w="6804" w:type="dxa"/>
            <w:shd w:val="clear" w:color="auto" w:fill="auto"/>
            <w:vAlign w:val="center"/>
          </w:tcPr>
          <w:p w14:paraId="0A389CFF" w14:textId="2BF7E69F" w:rsidR="00751A4A" w:rsidRPr="002D5D72" w:rsidRDefault="007947F1" w:rsidP="0010095E">
            <w:pPr>
              <w:pStyle w:val="EPName"/>
            </w:pPr>
            <w:r w:rsidRPr="002D5D72">
              <w:t>Europaparlamentet</w:t>
            </w:r>
          </w:p>
          <w:p w14:paraId="38EB93A4" w14:textId="77777777" w:rsidR="00751A4A" w:rsidRPr="002D5D72" w:rsidRDefault="005F1B17" w:rsidP="005F1B17">
            <w:pPr>
              <w:pStyle w:val="EPTerm"/>
              <w:rPr>
                <w:rStyle w:val="HideTWBExt"/>
                <w:noProof w:val="0"/>
                <w:vanish w:val="0"/>
                <w:color w:val="auto"/>
              </w:rPr>
            </w:pPr>
            <w:r w:rsidRPr="002D5D72">
              <w:t>2024</w:t>
            </w:r>
            <w:r w:rsidR="00817416" w:rsidRPr="002D5D72">
              <w:t>-202</w:t>
            </w:r>
            <w:r w:rsidRPr="002D5D72">
              <w:t>9</w:t>
            </w:r>
          </w:p>
        </w:tc>
        <w:tc>
          <w:tcPr>
            <w:tcW w:w="2268" w:type="dxa"/>
            <w:shd w:val="clear" w:color="auto" w:fill="auto"/>
          </w:tcPr>
          <w:p w14:paraId="408BCC7A" w14:textId="77777777" w:rsidR="00751A4A" w:rsidRPr="002D5D72" w:rsidRDefault="00187494" w:rsidP="0010095E">
            <w:pPr>
              <w:pStyle w:val="EPLogo"/>
            </w:pPr>
            <w:r w:rsidRPr="002D5D72">
              <w:rPr>
                <w:noProof/>
                <w:lang w:eastAsia="ja-JP"/>
              </w:rPr>
              <w:drawing>
                <wp:inline distT="0" distB="0" distL="0" distR="0" wp14:anchorId="4A920D3B" wp14:editId="60125E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1E7B7A" w14:textId="77777777" w:rsidR="00D058B8" w:rsidRPr="002D5D72" w:rsidRDefault="00D058B8" w:rsidP="004C5D52">
      <w:pPr>
        <w:pStyle w:val="LineTop"/>
      </w:pPr>
    </w:p>
    <w:p w14:paraId="1173C433" w14:textId="0B2690AF" w:rsidR="00680577" w:rsidRPr="002D5D72" w:rsidRDefault="007947F1" w:rsidP="00680577">
      <w:pPr>
        <w:pStyle w:val="EPBodyTA1"/>
      </w:pPr>
      <w:r w:rsidRPr="002D5D72">
        <w:t>ANTAGNA TEXTER</w:t>
      </w:r>
    </w:p>
    <w:p w14:paraId="213A99F1" w14:textId="77777777" w:rsidR="00D058B8" w:rsidRPr="002D5D72" w:rsidRDefault="00D058B8" w:rsidP="00D058B8">
      <w:pPr>
        <w:pStyle w:val="LineBottom"/>
      </w:pPr>
    </w:p>
    <w:p w14:paraId="58F4C392" w14:textId="64715FAC" w:rsidR="007947F1" w:rsidRPr="002D5D72" w:rsidRDefault="007947F1" w:rsidP="007947F1">
      <w:pPr>
        <w:pStyle w:val="ATHeading1"/>
      </w:pPr>
      <w:bookmarkStart w:id="0" w:name="TANumber"/>
      <w:r w:rsidRPr="002D5D72">
        <w:t>P10_TA(2026)</w:t>
      </w:r>
      <w:bookmarkEnd w:id="0"/>
      <w:r w:rsidR="00F30626" w:rsidRPr="002D5D72">
        <w:t>0</w:t>
      </w:r>
      <w:r w:rsidR="00F30626">
        <w:t>251</w:t>
      </w:r>
    </w:p>
    <w:p w14:paraId="647C598E" w14:textId="5B3B0822" w:rsidR="007947F1" w:rsidRPr="00094B13" w:rsidRDefault="005611D3" w:rsidP="007947F1">
      <w:pPr>
        <w:pStyle w:val="ATHeading2"/>
      </w:pPr>
      <w:bookmarkStart w:id="1" w:name="title"/>
      <w:r w:rsidRPr="00094B13">
        <w:t>Digitala tillgångar – utmaningar för konkurrenskraften och integriteten i Europeiska unionens finansiella system</w:t>
      </w:r>
      <w:bookmarkEnd w:id="1"/>
    </w:p>
    <w:p w14:paraId="0F2F59EB" w14:textId="77777777" w:rsidR="007947F1" w:rsidRPr="002D5D72" w:rsidRDefault="007947F1" w:rsidP="007947F1">
      <w:pPr>
        <w:rPr>
          <w:i/>
          <w:vanish/>
        </w:rPr>
      </w:pPr>
      <w:r w:rsidRPr="00094B13">
        <w:rPr>
          <w:i/>
        </w:rPr>
        <w:fldChar w:fldCharType="begin"/>
      </w:r>
      <w:r w:rsidRPr="00094B13">
        <w:rPr>
          <w:i/>
        </w:rPr>
        <w:instrText xml:space="preserve"> TC"(</w:instrText>
      </w:r>
      <w:bookmarkStart w:id="2" w:name="DocNumber"/>
      <w:r w:rsidRPr="00094B13">
        <w:rPr>
          <w:i/>
        </w:rPr>
        <w:instrText>A10-0186/2026</w:instrText>
      </w:r>
      <w:bookmarkEnd w:id="2"/>
      <w:r w:rsidRPr="00094B13">
        <w:rPr>
          <w:i/>
        </w:rPr>
        <w:instrText xml:space="preserve"> - Föredragande: Johan Van </w:instrText>
      </w:r>
      <w:proofErr w:type="spellStart"/>
      <w:r w:rsidRPr="00094B13">
        <w:rPr>
          <w:i/>
        </w:rPr>
        <w:instrText>Overtveldt</w:instrText>
      </w:r>
      <w:proofErr w:type="spellEnd"/>
      <w:r w:rsidRPr="00094B13">
        <w:rPr>
          <w:i/>
        </w:rPr>
        <w:instrText xml:space="preserve">)"\l3 \n&gt; \* MERGEFORMAT </w:instrText>
      </w:r>
      <w:r w:rsidRPr="00094B13">
        <w:rPr>
          <w:i/>
        </w:rPr>
        <w:fldChar w:fldCharType="end"/>
      </w:r>
    </w:p>
    <w:p w14:paraId="5BB5FBBB" w14:textId="77777777" w:rsidR="007947F1" w:rsidRPr="002D5D72" w:rsidRDefault="007947F1" w:rsidP="007947F1">
      <w:pPr>
        <w:rPr>
          <w:vanish/>
        </w:rPr>
      </w:pPr>
      <w:bookmarkStart w:id="3" w:name="Commission"/>
      <w:r w:rsidRPr="002D5D72">
        <w:rPr>
          <w:vanish/>
        </w:rPr>
        <w:t>Utskottet för ekonomi och valutafrågor</w:t>
      </w:r>
      <w:bookmarkEnd w:id="3"/>
    </w:p>
    <w:p w14:paraId="571B41DC" w14:textId="77777777" w:rsidR="007947F1" w:rsidRPr="002D5D72" w:rsidRDefault="007947F1" w:rsidP="007947F1">
      <w:pPr>
        <w:rPr>
          <w:vanish/>
        </w:rPr>
      </w:pPr>
      <w:bookmarkStart w:id="4" w:name="PE"/>
      <w:r w:rsidRPr="002D5D72">
        <w:rPr>
          <w:vanish/>
        </w:rPr>
        <w:t>PE784.381</w:t>
      </w:r>
      <w:bookmarkEnd w:id="4"/>
    </w:p>
    <w:p w14:paraId="60D839B0" w14:textId="7CB04501" w:rsidR="007947F1" w:rsidRPr="005D3947" w:rsidRDefault="007947F1" w:rsidP="007947F1">
      <w:pPr>
        <w:pStyle w:val="ATHeading3"/>
      </w:pPr>
      <w:bookmarkStart w:id="5" w:name="Sujet"/>
      <w:r w:rsidRPr="005D3947">
        <w:t xml:space="preserve">Europaparlamentets resolution av den </w:t>
      </w:r>
      <w:r w:rsidR="005611D3" w:rsidRPr="005D3947">
        <w:t xml:space="preserve">7 juli </w:t>
      </w:r>
      <w:r w:rsidRPr="005D3947">
        <w:t>2026 om digitala tillgångar – utmaningar för konkurrenskraften och integriteten i Europeiska unionens finansiella system</w:t>
      </w:r>
      <w:bookmarkEnd w:id="5"/>
      <w:r w:rsidRPr="005D3947">
        <w:t xml:space="preserve"> </w:t>
      </w:r>
      <w:bookmarkStart w:id="6" w:name="References"/>
      <w:r w:rsidRPr="005D3947">
        <w:t>(2025/2208(INI))</w:t>
      </w:r>
      <w:bookmarkEnd w:id="6"/>
    </w:p>
    <w:p w14:paraId="48400497" w14:textId="77777777" w:rsidR="00E64123" w:rsidRPr="005D3947" w:rsidRDefault="00E64123" w:rsidP="00E64123">
      <w:pPr>
        <w:pStyle w:val="Normal12"/>
        <w:rPr>
          <w:i/>
          <w:iCs/>
        </w:rPr>
      </w:pPr>
      <w:r w:rsidRPr="005D3947">
        <w:rPr>
          <w:i/>
          <w:iCs/>
        </w:rPr>
        <w:t>Europaparlamentet utfärdar denna resolution</w:t>
      </w:r>
    </w:p>
    <w:p w14:paraId="5AFCDD3C" w14:textId="77777777" w:rsidR="00E64123" w:rsidRPr="005D3947" w:rsidRDefault="00E64123" w:rsidP="00E64123">
      <w:pPr>
        <w:pStyle w:val="NormalHanging"/>
      </w:pPr>
      <w:r w:rsidRPr="005D3947">
        <w:t>–</w:t>
      </w:r>
      <w:r w:rsidRPr="005D3947">
        <w:tab/>
        <w:t>med beaktande av Europeiska centralbankens (ECB) granskning av den finansiella stabiliteten från november 2025 (</w:t>
      </w:r>
      <w:proofErr w:type="spellStart"/>
      <w:r w:rsidRPr="005D3947">
        <w:t>Financial</w:t>
      </w:r>
      <w:proofErr w:type="spellEnd"/>
      <w:r w:rsidRPr="005D3947">
        <w:t xml:space="preserve"> </w:t>
      </w:r>
      <w:proofErr w:type="spellStart"/>
      <w:r w:rsidRPr="005D3947">
        <w:t>Stability</w:t>
      </w:r>
      <w:proofErr w:type="spellEnd"/>
      <w:r w:rsidRPr="005D3947">
        <w:t xml:space="preserve"> Review),</w:t>
      </w:r>
    </w:p>
    <w:p w14:paraId="31C03278" w14:textId="77777777" w:rsidR="00E64123" w:rsidRPr="005D3947" w:rsidRDefault="00E64123" w:rsidP="00E64123">
      <w:pPr>
        <w:pStyle w:val="NormalHanging"/>
      </w:pPr>
      <w:r w:rsidRPr="005D3947">
        <w:t>–</w:t>
      </w:r>
      <w:r w:rsidRPr="005D3947">
        <w:tab/>
        <w:t>med beaktande av ECB:s arbetsdokument nr 3199 av den 3 mars 2026 ”</w:t>
      </w:r>
      <w:proofErr w:type="spellStart"/>
      <w:r w:rsidRPr="005D3947">
        <w:t>Stablecoins</w:t>
      </w:r>
      <w:proofErr w:type="spellEnd"/>
      <w:r w:rsidRPr="005D3947">
        <w:t xml:space="preserve"> and </w:t>
      </w:r>
      <w:proofErr w:type="spellStart"/>
      <w:r w:rsidRPr="005D3947">
        <w:t>money</w:t>
      </w:r>
      <w:proofErr w:type="spellEnd"/>
      <w:r w:rsidRPr="005D3947">
        <w:t xml:space="preserve"> policy transmission”,</w:t>
      </w:r>
    </w:p>
    <w:p w14:paraId="355D001C" w14:textId="77777777" w:rsidR="00E64123" w:rsidRPr="005D3947" w:rsidRDefault="00E64123" w:rsidP="00E64123">
      <w:pPr>
        <w:pStyle w:val="NormalHanging"/>
      </w:pPr>
      <w:r w:rsidRPr="005D3947">
        <w:t>–</w:t>
      </w:r>
      <w:r w:rsidRPr="005D3947">
        <w:tab/>
        <w:t xml:space="preserve">med beaktande av Europeiska systemrisknämndens (ESRB) rekommendation av den 25 september 2025 om </w:t>
      </w:r>
      <w:proofErr w:type="spellStart"/>
      <w:r w:rsidRPr="005D3947">
        <w:t>stablecoin</w:t>
      </w:r>
      <w:proofErr w:type="spellEnd"/>
      <w:r w:rsidRPr="005D3947">
        <w:t xml:space="preserve">-upplägg med flera </w:t>
      </w:r>
      <w:proofErr w:type="spellStart"/>
      <w:r w:rsidRPr="005D3947">
        <w:t>emittenter</w:t>
      </w:r>
      <w:proofErr w:type="spellEnd"/>
      <w:r w:rsidRPr="005D3947">
        <w:t xml:space="preserve"> i tredjeländer,</w:t>
      </w:r>
    </w:p>
    <w:p w14:paraId="4BD9F5D5" w14:textId="77777777" w:rsidR="00E64123" w:rsidRPr="005D3947" w:rsidRDefault="00E64123" w:rsidP="00E64123">
      <w:pPr>
        <w:pStyle w:val="NormalHanging"/>
      </w:pPr>
      <w:r w:rsidRPr="005D3947">
        <w:t>–</w:t>
      </w:r>
      <w:r w:rsidRPr="005D3947">
        <w:tab/>
        <w:t xml:space="preserve">med beaktande av </w:t>
      </w:r>
      <w:proofErr w:type="spellStart"/>
      <w:r w:rsidRPr="005D3947">
        <w:t>ESRB:s</w:t>
      </w:r>
      <w:proofErr w:type="spellEnd"/>
      <w:r w:rsidRPr="005D3947">
        <w:t xml:space="preserve"> rapport från oktober 2025 ”</w:t>
      </w:r>
      <w:proofErr w:type="spellStart"/>
      <w:r w:rsidRPr="005D3947">
        <w:t>Crypto</w:t>
      </w:r>
      <w:proofErr w:type="spellEnd"/>
      <w:r w:rsidRPr="005D3947">
        <w:t xml:space="preserve">-assets and </w:t>
      </w:r>
      <w:proofErr w:type="spellStart"/>
      <w:r w:rsidRPr="005D3947">
        <w:t>decentralised</w:t>
      </w:r>
      <w:proofErr w:type="spellEnd"/>
      <w:r w:rsidRPr="005D3947">
        <w:t xml:space="preserve"> </w:t>
      </w:r>
      <w:proofErr w:type="spellStart"/>
      <w:r w:rsidRPr="005D3947">
        <w:t>finance</w:t>
      </w:r>
      <w:proofErr w:type="spellEnd"/>
      <w:r w:rsidRPr="005D3947">
        <w:t xml:space="preserve"> – </w:t>
      </w:r>
      <w:proofErr w:type="spellStart"/>
      <w:r w:rsidRPr="005D3947">
        <w:t>Report</w:t>
      </w:r>
      <w:proofErr w:type="spellEnd"/>
      <w:r w:rsidRPr="005D3947">
        <w:t xml:space="preserve"> on </w:t>
      </w:r>
      <w:proofErr w:type="spellStart"/>
      <w:r w:rsidRPr="005D3947">
        <w:t>stablecoins</w:t>
      </w:r>
      <w:proofErr w:type="spellEnd"/>
      <w:r w:rsidRPr="005D3947">
        <w:t xml:space="preserve">, </w:t>
      </w:r>
      <w:proofErr w:type="spellStart"/>
      <w:r w:rsidRPr="005D3947">
        <w:t>crypinvestment</w:t>
      </w:r>
      <w:proofErr w:type="spellEnd"/>
      <w:r w:rsidRPr="005D3947">
        <w:t xml:space="preserve"> </w:t>
      </w:r>
      <w:proofErr w:type="spellStart"/>
      <w:r w:rsidRPr="005D3947">
        <w:t>products</w:t>
      </w:r>
      <w:proofErr w:type="spellEnd"/>
      <w:r w:rsidRPr="005D3947">
        <w:t xml:space="preserve"> and multi-</w:t>
      </w:r>
      <w:proofErr w:type="spellStart"/>
      <w:r w:rsidRPr="005D3947">
        <w:t>function</w:t>
      </w:r>
      <w:proofErr w:type="spellEnd"/>
      <w:r w:rsidRPr="005D3947">
        <w:t xml:space="preserve"> </w:t>
      </w:r>
      <w:proofErr w:type="spellStart"/>
      <w:r w:rsidRPr="005D3947">
        <w:t>groups</w:t>
      </w:r>
      <w:proofErr w:type="spellEnd"/>
      <w:r w:rsidRPr="005D3947">
        <w:t>”,</w:t>
      </w:r>
    </w:p>
    <w:p w14:paraId="03B8C70C" w14:textId="77777777" w:rsidR="00E64123" w:rsidRPr="005D3947" w:rsidRDefault="00E64123" w:rsidP="00E64123">
      <w:pPr>
        <w:pStyle w:val="NormalHanging"/>
      </w:pPr>
      <w:r w:rsidRPr="005D3947">
        <w:t>–</w:t>
      </w:r>
      <w:r w:rsidRPr="005D3947">
        <w:tab/>
        <w:t>med beaktande av Europeiska värdepappers- och marknadsmyndighetens (</w:t>
      </w:r>
      <w:proofErr w:type="spellStart"/>
      <w:r w:rsidRPr="005D3947">
        <w:t>Esma</w:t>
      </w:r>
      <w:proofErr w:type="spellEnd"/>
      <w:r w:rsidRPr="005D3947">
        <w:t>) riktlinjer av den 19 mars 2025 om villkor och kriterier för att kvalificera kryptotillgångar som finansiella instrument,</w:t>
      </w:r>
    </w:p>
    <w:p w14:paraId="62B8C297" w14:textId="77777777" w:rsidR="00E64123" w:rsidRPr="005D3947" w:rsidRDefault="00E64123" w:rsidP="00E64123">
      <w:pPr>
        <w:pStyle w:val="NormalHanging"/>
      </w:pPr>
      <w:r w:rsidRPr="005D3947">
        <w:t>–</w:t>
      </w:r>
      <w:r w:rsidRPr="005D3947">
        <w:tab/>
        <w:t>med beaktande av rapporten i december 2024 från Europeiska bankmyndigheten (EBA) ”</w:t>
      </w:r>
      <w:proofErr w:type="spellStart"/>
      <w:r w:rsidRPr="005D3947">
        <w:t>Report</w:t>
      </w:r>
      <w:proofErr w:type="spellEnd"/>
      <w:r w:rsidRPr="005D3947">
        <w:t xml:space="preserve"> on </w:t>
      </w:r>
      <w:proofErr w:type="spellStart"/>
      <w:r w:rsidRPr="005D3947">
        <w:t>tokenised</w:t>
      </w:r>
      <w:proofErr w:type="spellEnd"/>
      <w:r w:rsidRPr="005D3947">
        <w:t xml:space="preserve"> </w:t>
      </w:r>
      <w:proofErr w:type="spellStart"/>
      <w:r w:rsidRPr="005D3947">
        <w:t>deposits</w:t>
      </w:r>
      <w:proofErr w:type="spellEnd"/>
      <w:r w:rsidRPr="005D3947">
        <w:t>”,</w:t>
      </w:r>
    </w:p>
    <w:p w14:paraId="650E13A3" w14:textId="77777777" w:rsidR="00E64123" w:rsidRPr="005D3947" w:rsidRDefault="00E64123" w:rsidP="00E64123">
      <w:pPr>
        <w:pStyle w:val="NormalHanging"/>
        <w:rPr>
          <w:lang w:val="en-GB"/>
        </w:rPr>
      </w:pPr>
      <w:r w:rsidRPr="005D3947">
        <w:rPr>
          <w:lang w:val="en-GB"/>
        </w:rPr>
        <w:t>–</w:t>
      </w:r>
      <w:r w:rsidRPr="005D3947">
        <w:rPr>
          <w:lang w:val="en-GB"/>
        </w:rPr>
        <w:tab/>
        <w:t xml:space="preserve">med </w:t>
      </w:r>
      <w:proofErr w:type="spellStart"/>
      <w:r w:rsidRPr="005D3947">
        <w:rPr>
          <w:lang w:val="en-GB"/>
        </w:rPr>
        <w:t>beaktande</w:t>
      </w:r>
      <w:proofErr w:type="spellEnd"/>
      <w:r w:rsidRPr="005D3947">
        <w:rPr>
          <w:lang w:val="en-GB"/>
        </w:rPr>
        <w:t xml:space="preserve"> </w:t>
      </w:r>
      <w:proofErr w:type="spellStart"/>
      <w:r w:rsidRPr="005D3947">
        <w:rPr>
          <w:lang w:val="en-GB"/>
        </w:rPr>
        <w:t>av</w:t>
      </w:r>
      <w:proofErr w:type="spellEnd"/>
      <w:r w:rsidRPr="005D3947">
        <w:rPr>
          <w:lang w:val="en-GB"/>
        </w:rPr>
        <w:t xml:space="preserve"> </w:t>
      </w:r>
      <w:proofErr w:type="gramStart"/>
      <w:r w:rsidRPr="005D3947">
        <w:rPr>
          <w:lang w:val="en-GB"/>
        </w:rPr>
        <w:t>EBA:s</w:t>
      </w:r>
      <w:proofErr w:type="gramEnd"/>
      <w:r w:rsidRPr="005D3947">
        <w:rPr>
          <w:lang w:val="en-GB"/>
        </w:rPr>
        <w:t xml:space="preserve"> rapport </w:t>
      </w:r>
      <w:proofErr w:type="spellStart"/>
      <w:r w:rsidRPr="005D3947">
        <w:rPr>
          <w:lang w:val="en-GB"/>
        </w:rPr>
        <w:t>från</w:t>
      </w:r>
      <w:proofErr w:type="spellEnd"/>
      <w:r w:rsidRPr="005D3947">
        <w:rPr>
          <w:lang w:val="en-GB"/>
        </w:rPr>
        <w:t xml:space="preserve"> </w:t>
      </w:r>
      <w:proofErr w:type="spellStart"/>
      <w:r w:rsidRPr="005D3947">
        <w:rPr>
          <w:lang w:val="en-GB"/>
        </w:rPr>
        <w:t>oktober</w:t>
      </w:r>
      <w:proofErr w:type="spellEnd"/>
      <w:r w:rsidRPr="005D3947">
        <w:rPr>
          <w:lang w:val="en-GB"/>
        </w:rPr>
        <w:t xml:space="preserve"> 2025 ”Report on tackling ML/TF-risks in crypto-asset services through supervision - Lessons learned from recent cases”,</w:t>
      </w:r>
    </w:p>
    <w:p w14:paraId="68144CEC" w14:textId="034F7E51" w:rsidR="00E64123" w:rsidRPr="005D3947" w:rsidRDefault="00E64123" w:rsidP="00E64123">
      <w:pPr>
        <w:pStyle w:val="NormalHanging"/>
        <w:rPr>
          <w:lang w:val="en-GB"/>
        </w:rPr>
      </w:pPr>
      <w:r w:rsidRPr="005D3947">
        <w:rPr>
          <w:lang w:val="en-GB"/>
        </w:rPr>
        <w:t>–</w:t>
      </w:r>
      <w:r w:rsidRPr="005D3947">
        <w:rPr>
          <w:lang w:val="en-GB"/>
        </w:rPr>
        <w:tab/>
        <w:t xml:space="preserve">med </w:t>
      </w:r>
      <w:proofErr w:type="spellStart"/>
      <w:r w:rsidRPr="005D3947">
        <w:rPr>
          <w:lang w:val="en-GB"/>
        </w:rPr>
        <w:t>beaktande</w:t>
      </w:r>
      <w:proofErr w:type="spellEnd"/>
      <w:r w:rsidRPr="005D3947">
        <w:rPr>
          <w:lang w:val="en-GB"/>
        </w:rPr>
        <w:t xml:space="preserve"> </w:t>
      </w:r>
      <w:proofErr w:type="spellStart"/>
      <w:r w:rsidRPr="005D3947">
        <w:rPr>
          <w:lang w:val="en-GB"/>
        </w:rPr>
        <w:t>av</w:t>
      </w:r>
      <w:proofErr w:type="spellEnd"/>
      <w:r w:rsidRPr="005D3947">
        <w:rPr>
          <w:lang w:val="en-GB"/>
        </w:rPr>
        <w:t xml:space="preserve"> </w:t>
      </w:r>
      <w:proofErr w:type="spellStart"/>
      <w:r w:rsidRPr="005D3947">
        <w:rPr>
          <w:lang w:val="en-GB"/>
        </w:rPr>
        <w:t>septemberutgåvan</w:t>
      </w:r>
      <w:proofErr w:type="spellEnd"/>
      <w:r w:rsidRPr="005D3947">
        <w:rPr>
          <w:lang w:val="en-GB"/>
        </w:rPr>
        <w:t xml:space="preserve"> 2025 </w:t>
      </w:r>
      <w:proofErr w:type="spellStart"/>
      <w:r w:rsidRPr="005D3947">
        <w:rPr>
          <w:lang w:val="en-GB"/>
        </w:rPr>
        <w:t>av</w:t>
      </w:r>
      <w:proofErr w:type="spellEnd"/>
      <w:r w:rsidRPr="005D3947">
        <w:rPr>
          <w:lang w:val="en-GB"/>
        </w:rPr>
        <w:t xml:space="preserve"> IMF-</w:t>
      </w:r>
      <w:proofErr w:type="spellStart"/>
      <w:proofErr w:type="gramStart"/>
      <w:r w:rsidRPr="005D3947">
        <w:rPr>
          <w:lang w:val="en-GB"/>
        </w:rPr>
        <w:t>tidskriften</w:t>
      </w:r>
      <w:proofErr w:type="spellEnd"/>
      <w:r w:rsidRPr="005D3947">
        <w:rPr>
          <w:lang w:val="en-GB"/>
        </w:rPr>
        <w:t xml:space="preserve"> ”Finance</w:t>
      </w:r>
      <w:proofErr w:type="gramEnd"/>
      <w:r w:rsidRPr="005D3947">
        <w:rPr>
          <w:lang w:val="en-GB"/>
        </w:rPr>
        <w:t xml:space="preserve"> and Development” med </w:t>
      </w:r>
      <w:proofErr w:type="spellStart"/>
      <w:r w:rsidRPr="005D3947">
        <w:rPr>
          <w:lang w:val="en-GB"/>
        </w:rPr>
        <w:t>titeln</w:t>
      </w:r>
      <w:proofErr w:type="spellEnd"/>
      <w:r w:rsidRPr="005D3947">
        <w:rPr>
          <w:lang w:val="en-GB"/>
        </w:rPr>
        <w:t xml:space="preserve"> ”Stablecoins and the future of finance”</w:t>
      </w:r>
      <w:r w:rsidR="005611D3" w:rsidRPr="005D3947">
        <w:rPr>
          <w:rStyle w:val="FootnoteReference"/>
          <w:lang w:val="en-GB"/>
        </w:rPr>
        <w:footnoteReference w:id="1"/>
      </w:r>
      <w:r w:rsidRPr="005D3947">
        <w:rPr>
          <w:lang w:val="en-GB"/>
        </w:rPr>
        <w:t>,</w:t>
      </w:r>
    </w:p>
    <w:p w14:paraId="6DD7EB79" w14:textId="77777777" w:rsidR="00E64123" w:rsidRPr="005D3947" w:rsidRDefault="00E64123" w:rsidP="00E64123">
      <w:pPr>
        <w:pStyle w:val="NormalHanging"/>
        <w:rPr>
          <w:lang w:val="en-GB"/>
        </w:rPr>
      </w:pPr>
      <w:r w:rsidRPr="005D3947">
        <w:rPr>
          <w:lang w:val="en-GB"/>
        </w:rPr>
        <w:lastRenderedPageBreak/>
        <w:t>–</w:t>
      </w:r>
      <w:r w:rsidRPr="005D3947">
        <w:rPr>
          <w:lang w:val="en-GB"/>
        </w:rPr>
        <w:tab/>
        <w:t xml:space="preserve">med </w:t>
      </w:r>
      <w:proofErr w:type="spellStart"/>
      <w:r w:rsidRPr="005D3947">
        <w:rPr>
          <w:lang w:val="en-GB"/>
        </w:rPr>
        <w:t>beaktande</w:t>
      </w:r>
      <w:proofErr w:type="spellEnd"/>
      <w:r w:rsidRPr="005D3947">
        <w:rPr>
          <w:lang w:val="en-GB"/>
        </w:rPr>
        <w:t xml:space="preserve"> </w:t>
      </w:r>
      <w:proofErr w:type="spellStart"/>
      <w:r w:rsidRPr="005D3947">
        <w:rPr>
          <w:lang w:val="en-GB"/>
        </w:rPr>
        <w:t>av</w:t>
      </w:r>
      <w:proofErr w:type="spellEnd"/>
      <w:r w:rsidRPr="005D3947">
        <w:rPr>
          <w:lang w:val="en-GB"/>
        </w:rPr>
        <w:t xml:space="preserve"> </w:t>
      </w:r>
      <w:proofErr w:type="spellStart"/>
      <w:r w:rsidRPr="005D3947">
        <w:rPr>
          <w:lang w:val="en-GB"/>
        </w:rPr>
        <w:t>rapporten</w:t>
      </w:r>
      <w:proofErr w:type="spellEnd"/>
      <w:r w:rsidRPr="005D3947">
        <w:rPr>
          <w:lang w:val="en-GB"/>
        </w:rPr>
        <w:t xml:space="preserve"> </w:t>
      </w:r>
      <w:proofErr w:type="spellStart"/>
      <w:r w:rsidRPr="005D3947">
        <w:rPr>
          <w:lang w:val="en-GB"/>
        </w:rPr>
        <w:t>i</w:t>
      </w:r>
      <w:proofErr w:type="spellEnd"/>
      <w:r w:rsidRPr="005D3947">
        <w:rPr>
          <w:lang w:val="en-GB"/>
        </w:rPr>
        <w:t xml:space="preserve"> </w:t>
      </w:r>
      <w:proofErr w:type="spellStart"/>
      <w:r w:rsidRPr="005D3947">
        <w:rPr>
          <w:lang w:val="en-GB"/>
        </w:rPr>
        <w:t>november</w:t>
      </w:r>
      <w:proofErr w:type="spellEnd"/>
      <w:r w:rsidRPr="005D3947">
        <w:rPr>
          <w:lang w:val="en-GB"/>
        </w:rPr>
        <w:t xml:space="preserve"> 2025 </w:t>
      </w:r>
      <w:proofErr w:type="spellStart"/>
      <w:r w:rsidRPr="005D3947">
        <w:rPr>
          <w:lang w:val="en-GB"/>
        </w:rPr>
        <w:t>från</w:t>
      </w:r>
      <w:proofErr w:type="spellEnd"/>
      <w:r w:rsidRPr="005D3947">
        <w:rPr>
          <w:lang w:val="en-GB"/>
        </w:rPr>
        <w:t xml:space="preserve"> </w:t>
      </w:r>
      <w:proofErr w:type="spellStart"/>
      <w:r w:rsidRPr="005D3947">
        <w:rPr>
          <w:lang w:val="en-GB"/>
        </w:rPr>
        <w:t>Internationella</w:t>
      </w:r>
      <w:proofErr w:type="spellEnd"/>
      <w:r w:rsidRPr="005D3947">
        <w:rPr>
          <w:lang w:val="en-GB"/>
        </w:rPr>
        <w:t xml:space="preserve"> </w:t>
      </w:r>
      <w:proofErr w:type="spellStart"/>
      <w:r w:rsidRPr="005D3947">
        <w:rPr>
          <w:lang w:val="en-GB"/>
        </w:rPr>
        <w:t>organisationen</w:t>
      </w:r>
      <w:proofErr w:type="spellEnd"/>
      <w:r w:rsidRPr="005D3947">
        <w:rPr>
          <w:lang w:val="en-GB"/>
        </w:rPr>
        <w:t xml:space="preserve"> för </w:t>
      </w:r>
      <w:proofErr w:type="spellStart"/>
      <w:proofErr w:type="gramStart"/>
      <w:r w:rsidRPr="005D3947">
        <w:rPr>
          <w:lang w:val="en-GB"/>
        </w:rPr>
        <w:t>värdepapperstillsyn</w:t>
      </w:r>
      <w:proofErr w:type="spellEnd"/>
      <w:r w:rsidRPr="005D3947">
        <w:rPr>
          <w:lang w:val="en-GB"/>
        </w:rPr>
        <w:t xml:space="preserve"> ”Tokenisation</w:t>
      </w:r>
      <w:proofErr w:type="gramEnd"/>
      <w:r w:rsidRPr="005D3947">
        <w:rPr>
          <w:lang w:val="en-GB"/>
        </w:rPr>
        <w:t xml:space="preserve"> of financial assets”,</w:t>
      </w:r>
    </w:p>
    <w:p w14:paraId="0F7176D3" w14:textId="77777777" w:rsidR="00E64123" w:rsidRPr="005D3947" w:rsidRDefault="00E64123" w:rsidP="00E64123">
      <w:pPr>
        <w:pStyle w:val="NormalHanging"/>
      </w:pPr>
      <w:r w:rsidRPr="005D3947">
        <w:t>–</w:t>
      </w:r>
      <w:r w:rsidRPr="005D3947">
        <w:tab/>
        <w:t>med beaktande av den ekonomiska årsrapporten i juni 2025 från Banken för internationell betalningsutjämning (BIS),</w:t>
      </w:r>
    </w:p>
    <w:p w14:paraId="0EE8257E" w14:textId="77777777" w:rsidR="00E64123" w:rsidRPr="005D3947" w:rsidRDefault="00E64123" w:rsidP="00E64123">
      <w:pPr>
        <w:pStyle w:val="NormalHanging"/>
      </w:pPr>
      <w:r w:rsidRPr="005D3947">
        <w:t>–</w:t>
      </w:r>
      <w:r w:rsidRPr="005D3947">
        <w:tab/>
        <w:t>med beaktande av rapporten från rådet för finansiell stabilitet (FSB) av den 16 oktober 2025 ”</w:t>
      </w:r>
      <w:proofErr w:type="spellStart"/>
      <w:r w:rsidRPr="005D3947">
        <w:t>Thematic</w:t>
      </w:r>
      <w:proofErr w:type="spellEnd"/>
      <w:r w:rsidRPr="005D3947">
        <w:t xml:space="preserve"> Review on FSB Global </w:t>
      </w:r>
      <w:proofErr w:type="spellStart"/>
      <w:r w:rsidRPr="005D3947">
        <w:t>Regulatory</w:t>
      </w:r>
      <w:proofErr w:type="spellEnd"/>
      <w:r w:rsidRPr="005D3947">
        <w:t xml:space="preserve"> </w:t>
      </w:r>
      <w:proofErr w:type="spellStart"/>
      <w:r w:rsidRPr="005D3947">
        <w:t>Framework</w:t>
      </w:r>
      <w:proofErr w:type="spellEnd"/>
      <w:r w:rsidRPr="005D3947">
        <w:t xml:space="preserve"> for </w:t>
      </w:r>
      <w:proofErr w:type="spellStart"/>
      <w:r w:rsidRPr="005D3947">
        <w:t>Crypto</w:t>
      </w:r>
      <w:proofErr w:type="spellEnd"/>
      <w:r w:rsidRPr="005D3947">
        <w:t xml:space="preserve">-asset </w:t>
      </w:r>
      <w:proofErr w:type="spellStart"/>
      <w:r w:rsidRPr="005D3947">
        <w:t>activities</w:t>
      </w:r>
      <w:proofErr w:type="spellEnd"/>
      <w:r w:rsidRPr="005D3947">
        <w:t>”,</w:t>
      </w:r>
    </w:p>
    <w:p w14:paraId="7AF30605" w14:textId="77777777" w:rsidR="00E64123" w:rsidRPr="005D3947" w:rsidRDefault="00E64123" w:rsidP="00E64123">
      <w:pPr>
        <w:pStyle w:val="NormalHanging"/>
      </w:pPr>
      <w:r w:rsidRPr="005D3947">
        <w:t>–</w:t>
      </w:r>
      <w:r w:rsidRPr="005D3947">
        <w:tab/>
        <w:t xml:space="preserve">med beaktande av FSB:s lägesrapport av den 22 oktober 2024 ”G20 </w:t>
      </w:r>
      <w:proofErr w:type="spellStart"/>
      <w:r w:rsidRPr="005D3947">
        <w:t>crypto</w:t>
      </w:r>
      <w:proofErr w:type="spellEnd"/>
      <w:r w:rsidRPr="005D3947">
        <w:t xml:space="preserve">-asset policy implementation </w:t>
      </w:r>
      <w:proofErr w:type="spellStart"/>
      <w:r w:rsidRPr="005D3947">
        <w:t>roadmap</w:t>
      </w:r>
      <w:proofErr w:type="spellEnd"/>
      <w:r w:rsidRPr="005D3947">
        <w:t>”,</w:t>
      </w:r>
    </w:p>
    <w:p w14:paraId="583AF74F" w14:textId="77777777" w:rsidR="00E64123" w:rsidRPr="005D3947" w:rsidRDefault="00E64123" w:rsidP="00E64123">
      <w:pPr>
        <w:pStyle w:val="NormalHanging"/>
      </w:pPr>
      <w:r w:rsidRPr="005D3947">
        <w:t>–</w:t>
      </w:r>
      <w:r w:rsidRPr="005D3947">
        <w:tab/>
        <w:t xml:space="preserve">med beaktande av FSB:s lägesrapport av den 22 oktober 2024 ”The </w:t>
      </w:r>
      <w:proofErr w:type="spellStart"/>
      <w:r w:rsidRPr="005D3947">
        <w:t>financial</w:t>
      </w:r>
      <w:proofErr w:type="spellEnd"/>
      <w:r w:rsidRPr="005D3947">
        <w:t xml:space="preserve"> </w:t>
      </w:r>
      <w:proofErr w:type="spellStart"/>
      <w:r w:rsidRPr="005D3947">
        <w:t>stability</w:t>
      </w:r>
      <w:proofErr w:type="spellEnd"/>
      <w:r w:rsidRPr="005D3947">
        <w:t xml:space="preserve"> </w:t>
      </w:r>
      <w:proofErr w:type="spellStart"/>
      <w:r w:rsidRPr="005D3947">
        <w:t>implications</w:t>
      </w:r>
      <w:proofErr w:type="spellEnd"/>
      <w:r w:rsidRPr="005D3947">
        <w:t xml:space="preserve"> </w:t>
      </w:r>
      <w:proofErr w:type="spellStart"/>
      <w:r w:rsidRPr="005D3947">
        <w:t>of</w:t>
      </w:r>
      <w:proofErr w:type="spellEnd"/>
      <w:r w:rsidRPr="005D3947">
        <w:t xml:space="preserve"> </w:t>
      </w:r>
      <w:proofErr w:type="spellStart"/>
      <w:r w:rsidRPr="005D3947">
        <w:t>tokenisation</w:t>
      </w:r>
      <w:proofErr w:type="spellEnd"/>
      <w:r w:rsidRPr="005D3947">
        <w:t>”,</w:t>
      </w:r>
    </w:p>
    <w:p w14:paraId="692E7786" w14:textId="77777777" w:rsidR="00E64123" w:rsidRPr="005D3947" w:rsidRDefault="00E64123" w:rsidP="00E64123">
      <w:pPr>
        <w:pStyle w:val="NormalHanging"/>
      </w:pPr>
      <w:r w:rsidRPr="005D3947">
        <w:t>–</w:t>
      </w:r>
      <w:r w:rsidRPr="005D3947">
        <w:tab/>
        <w:t xml:space="preserve">med beaktande av Bank </w:t>
      </w:r>
      <w:proofErr w:type="spellStart"/>
      <w:r w:rsidRPr="005D3947">
        <w:t>of</w:t>
      </w:r>
      <w:proofErr w:type="spellEnd"/>
      <w:r w:rsidRPr="005D3947">
        <w:t xml:space="preserve"> Englands samrådsdokument av den 10 november 2025 ”</w:t>
      </w:r>
      <w:proofErr w:type="spellStart"/>
      <w:r w:rsidRPr="005D3947">
        <w:t>Proposed</w:t>
      </w:r>
      <w:proofErr w:type="spellEnd"/>
      <w:r w:rsidRPr="005D3947">
        <w:t xml:space="preserve"> </w:t>
      </w:r>
      <w:proofErr w:type="spellStart"/>
      <w:r w:rsidRPr="005D3947">
        <w:t>regulatory</w:t>
      </w:r>
      <w:proofErr w:type="spellEnd"/>
      <w:r w:rsidRPr="005D3947">
        <w:t xml:space="preserve"> </w:t>
      </w:r>
      <w:proofErr w:type="spellStart"/>
      <w:r w:rsidRPr="005D3947">
        <w:t>regime</w:t>
      </w:r>
      <w:proofErr w:type="spellEnd"/>
      <w:r w:rsidRPr="005D3947">
        <w:t xml:space="preserve"> for sterling-</w:t>
      </w:r>
      <w:proofErr w:type="spellStart"/>
      <w:r w:rsidRPr="005D3947">
        <w:t>denomined</w:t>
      </w:r>
      <w:proofErr w:type="spellEnd"/>
      <w:r w:rsidRPr="005D3947">
        <w:t xml:space="preserve"> </w:t>
      </w:r>
      <w:proofErr w:type="spellStart"/>
      <w:r w:rsidRPr="005D3947">
        <w:t>systemic</w:t>
      </w:r>
      <w:proofErr w:type="spellEnd"/>
      <w:r w:rsidRPr="005D3947">
        <w:t xml:space="preserve"> </w:t>
      </w:r>
      <w:proofErr w:type="spellStart"/>
      <w:r w:rsidRPr="005D3947">
        <w:t>stablecoins</w:t>
      </w:r>
      <w:proofErr w:type="spellEnd"/>
      <w:r w:rsidRPr="005D3947">
        <w:t>”,</w:t>
      </w:r>
    </w:p>
    <w:p w14:paraId="36AC4A1D" w14:textId="77777777" w:rsidR="00E64123" w:rsidRPr="005D3947" w:rsidRDefault="00E64123" w:rsidP="00E64123">
      <w:pPr>
        <w:pStyle w:val="NormalHanging"/>
      </w:pPr>
      <w:r w:rsidRPr="005D3947">
        <w:t>–</w:t>
      </w:r>
      <w:r w:rsidRPr="005D3947">
        <w:tab/>
        <w:t xml:space="preserve">med beaktande av briefingen från enheten för granskning av den ekonomiska styrningen och av EMU från november 2025 ”Digital assets: EU </w:t>
      </w:r>
      <w:proofErr w:type="spellStart"/>
      <w:r w:rsidRPr="005D3947">
        <w:t>regulatory</w:t>
      </w:r>
      <w:proofErr w:type="spellEnd"/>
      <w:r w:rsidRPr="005D3947">
        <w:t xml:space="preserve"> </w:t>
      </w:r>
      <w:proofErr w:type="spellStart"/>
      <w:r w:rsidRPr="005D3947">
        <w:t>framework</w:t>
      </w:r>
      <w:proofErr w:type="spellEnd"/>
      <w:r w:rsidRPr="005D3947">
        <w:t xml:space="preserve">, market </w:t>
      </w:r>
      <w:proofErr w:type="spellStart"/>
      <w:r w:rsidRPr="005D3947">
        <w:t>uptake</w:t>
      </w:r>
      <w:proofErr w:type="spellEnd"/>
      <w:r w:rsidRPr="005D3947">
        <w:t xml:space="preserve">, risks and </w:t>
      </w:r>
      <w:proofErr w:type="spellStart"/>
      <w:r w:rsidRPr="005D3947">
        <w:t>challenges</w:t>
      </w:r>
      <w:proofErr w:type="spellEnd"/>
      <w:r w:rsidRPr="005D3947">
        <w:t>”,</w:t>
      </w:r>
    </w:p>
    <w:p w14:paraId="0AA40CBC" w14:textId="31BA67FE" w:rsidR="00E64123" w:rsidRPr="005D3947" w:rsidRDefault="00E64123" w:rsidP="00E64123">
      <w:pPr>
        <w:pStyle w:val="NormalHanging"/>
      </w:pPr>
      <w:r w:rsidRPr="005D3947">
        <w:t>–</w:t>
      </w:r>
      <w:r w:rsidRPr="005D3947">
        <w:tab/>
        <w:t>med beaktande av policydokumentet från Organisationen för ekonomiskt samarbete och utveckling (OECD) av den 9 januari 2025 ”</w:t>
      </w:r>
      <w:proofErr w:type="spellStart"/>
      <w:r w:rsidRPr="005D3947">
        <w:t>Tokenisation</w:t>
      </w:r>
      <w:proofErr w:type="spellEnd"/>
      <w:r w:rsidRPr="005D3947">
        <w:t xml:space="preserve"> </w:t>
      </w:r>
      <w:proofErr w:type="spellStart"/>
      <w:r w:rsidRPr="005D3947">
        <w:t>of</w:t>
      </w:r>
      <w:proofErr w:type="spellEnd"/>
      <w:r w:rsidRPr="005D3947">
        <w:t xml:space="preserve"> assets and </w:t>
      </w:r>
      <w:proofErr w:type="spellStart"/>
      <w:r w:rsidRPr="005D3947">
        <w:t>distributed</w:t>
      </w:r>
      <w:proofErr w:type="spellEnd"/>
      <w:r w:rsidRPr="005D3947">
        <w:t xml:space="preserve"> </w:t>
      </w:r>
      <w:proofErr w:type="spellStart"/>
      <w:r w:rsidRPr="005D3947">
        <w:t>ledger</w:t>
      </w:r>
      <w:proofErr w:type="spellEnd"/>
      <w:r w:rsidRPr="005D3947">
        <w:t xml:space="preserve"> </w:t>
      </w:r>
      <w:proofErr w:type="spellStart"/>
      <w:r w:rsidRPr="005D3947">
        <w:t>technologies</w:t>
      </w:r>
      <w:proofErr w:type="spellEnd"/>
      <w:r w:rsidRPr="005D3947">
        <w:t xml:space="preserve"> in </w:t>
      </w:r>
      <w:proofErr w:type="spellStart"/>
      <w:r w:rsidRPr="005D3947">
        <w:t>financial</w:t>
      </w:r>
      <w:proofErr w:type="spellEnd"/>
      <w:r w:rsidRPr="005D3947">
        <w:t xml:space="preserve"> markets – Potential impediments to market </w:t>
      </w:r>
      <w:proofErr w:type="spellStart"/>
      <w:r w:rsidRPr="005D3947">
        <w:t>development</w:t>
      </w:r>
      <w:proofErr w:type="spellEnd"/>
      <w:r w:rsidRPr="005D3947">
        <w:t xml:space="preserve"> and policy </w:t>
      </w:r>
      <w:proofErr w:type="spellStart"/>
      <w:r w:rsidRPr="005D3947">
        <w:t>implications</w:t>
      </w:r>
      <w:proofErr w:type="spellEnd"/>
      <w:r w:rsidRPr="005D3947">
        <w:t>”</w:t>
      </w:r>
      <w:r w:rsidR="005611D3" w:rsidRPr="005D3947">
        <w:rPr>
          <w:rStyle w:val="FootnoteReference"/>
        </w:rPr>
        <w:footnoteReference w:id="2"/>
      </w:r>
      <w:r w:rsidRPr="005D3947">
        <w:t>,</w:t>
      </w:r>
    </w:p>
    <w:p w14:paraId="528945BD" w14:textId="77777777" w:rsidR="00E64123" w:rsidRPr="005D3947" w:rsidRDefault="00E64123" w:rsidP="00E64123">
      <w:pPr>
        <w:pStyle w:val="NormalHanging"/>
      </w:pPr>
      <w:r w:rsidRPr="005D3947">
        <w:t>–</w:t>
      </w:r>
      <w:r w:rsidRPr="005D3947">
        <w:tab/>
        <w:t>med beaktande av artikel 55 i arbetsordningen,</w:t>
      </w:r>
    </w:p>
    <w:p w14:paraId="77453B66" w14:textId="77777777" w:rsidR="00E64123" w:rsidRPr="005D3947" w:rsidRDefault="00E64123" w:rsidP="00E64123">
      <w:pPr>
        <w:pStyle w:val="NormalHanging"/>
      </w:pPr>
      <w:r w:rsidRPr="005D3947">
        <w:t>–</w:t>
      </w:r>
      <w:r w:rsidRPr="005D3947">
        <w:tab/>
        <w:t>med beaktande av betänkandet från utskottet för ekonomi och valutafrågor (A10-0186/2026), och av följande skäl:</w:t>
      </w:r>
    </w:p>
    <w:p w14:paraId="3604ACCB" w14:textId="77777777" w:rsidR="00E64123" w:rsidRPr="005D3947" w:rsidRDefault="00E64123" w:rsidP="00E64123">
      <w:pPr>
        <w:pStyle w:val="NormalHanging"/>
      </w:pPr>
      <w:r w:rsidRPr="005D3947">
        <w:t>A.</w:t>
      </w:r>
      <w:r w:rsidRPr="005D3947">
        <w:tab/>
        <w:t xml:space="preserve">Enligt ECB:s </w:t>
      </w:r>
      <w:proofErr w:type="spellStart"/>
      <w:r w:rsidRPr="005D3947">
        <w:t>Consumer</w:t>
      </w:r>
      <w:proofErr w:type="spellEnd"/>
      <w:r w:rsidRPr="005D3947">
        <w:t xml:space="preserve"> </w:t>
      </w:r>
      <w:proofErr w:type="spellStart"/>
      <w:r w:rsidRPr="005D3947">
        <w:t>Expectations</w:t>
      </w:r>
      <w:proofErr w:type="spellEnd"/>
      <w:r w:rsidRPr="005D3947">
        <w:t xml:space="preserve"> Survey från november 2024 ägde i genomsnitt 9,7 % av uppgiftslämnarna eller någon i deras hushåll kryptotillgångar, varav 54 % rapporterade innehav med ett värde under 1 000 euro och 91 % rapporterade innehav med ett värde under 20 000 euro.</w:t>
      </w:r>
    </w:p>
    <w:p w14:paraId="6C65C195" w14:textId="77777777" w:rsidR="00E64123" w:rsidRPr="005D3947" w:rsidRDefault="00E64123" w:rsidP="00E64123">
      <w:pPr>
        <w:pStyle w:val="NormalHanging"/>
      </w:pPr>
      <w:r w:rsidRPr="005D3947">
        <w:t>B.</w:t>
      </w:r>
      <w:r w:rsidRPr="005D3947">
        <w:tab/>
        <w:t xml:space="preserve">Det totala globala marknadsvärdet för kryptotillgångar uppgick till 2,03 biljoner euro den 10 februari 2026, med en marknadsandel på 12,9 % eller 261 miljarder euro, för </w:t>
      </w:r>
      <w:proofErr w:type="spellStart"/>
      <w:r w:rsidRPr="005D3947">
        <w:t>stablecoins</w:t>
      </w:r>
      <w:proofErr w:type="spellEnd"/>
      <w:r w:rsidRPr="005D3947">
        <w:t xml:space="preserve">, enligt privata datakällor. Enligt ECB:s arbetsdokument nr 3199 tyder marknadens förväntningar på en robust ökning av utgivningen av </w:t>
      </w:r>
      <w:proofErr w:type="spellStart"/>
      <w:r w:rsidRPr="005D3947">
        <w:t>stablecoin</w:t>
      </w:r>
      <w:proofErr w:type="spellEnd"/>
      <w:r w:rsidRPr="005D3947">
        <w:t>.</w:t>
      </w:r>
    </w:p>
    <w:p w14:paraId="16C0692B" w14:textId="77777777" w:rsidR="00E64123" w:rsidRPr="005D3947" w:rsidRDefault="00E64123" w:rsidP="00E64123">
      <w:pPr>
        <w:pStyle w:val="NormalHanging"/>
      </w:pPr>
      <w:r w:rsidRPr="005D3947">
        <w:t>C.</w:t>
      </w:r>
      <w:r w:rsidRPr="005D3947">
        <w:tab/>
      </w:r>
      <w:proofErr w:type="spellStart"/>
      <w:r w:rsidRPr="005D3947">
        <w:t>Tokeniserade</w:t>
      </w:r>
      <w:proofErr w:type="spellEnd"/>
      <w:r w:rsidRPr="005D3947">
        <w:t xml:space="preserve"> tillgångar utgjorde omkring 1 % av de globala digitala tillgångarna i februari 2026, en andel som växer snabbt, baserat på icke-harmoniserade privata datakällor.</w:t>
      </w:r>
    </w:p>
    <w:p w14:paraId="6E8F49CB" w14:textId="77777777" w:rsidR="00E64123" w:rsidRPr="005D3947" w:rsidRDefault="00E64123" w:rsidP="00E64123">
      <w:pPr>
        <w:pStyle w:val="NormalHanging"/>
      </w:pPr>
      <w:r w:rsidRPr="005D3947">
        <w:t>D.</w:t>
      </w:r>
      <w:r w:rsidRPr="005D3947">
        <w:tab/>
        <w:t>År 2025 uppgick den globala kryptoarbetskraften till över 1,6 miljoner yrkesverksamma, där EU har en stor men minskande andel, enligt privata datakällor.</w:t>
      </w:r>
    </w:p>
    <w:p w14:paraId="0A0EF346" w14:textId="2284E468" w:rsidR="00E64123" w:rsidRPr="005D3947" w:rsidRDefault="00E64123" w:rsidP="00E64123">
      <w:pPr>
        <w:pStyle w:val="NormalHanging"/>
      </w:pPr>
      <w:r w:rsidRPr="005D3947">
        <w:lastRenderedPageBreak/>
        <w:t>E.</w:t>
      </w:r>
      <w:r w:rsidRPr="005D3947">
        <w:tab/>
        <w:t>I artikel 2.1 i förordning (EU) 2022/858</w:t>
      </w:r>
      <w:r w:rsidR="005611D3" w:rsidRPr="005D3947">
        <w:rPr>
          <w:rStyle w:val="FootnoteReference"/>
        </w:rPr>
        <w:footnoteReference w:id="3"/>
      </w:r>
      <w:r w:rsidRPr="005D3947">
        <w:t xml:space="preserve"> om en pilotordning för marknadsinfrastrukturer som baseras på teknik för distribuerade liggare definieras ”teknik för distribuerade liggare” eller ”DLT” som ”en teknik som möjliggör drift och användning av distribuerade liggare”. I artikel 2.2 definieras ”distribuerad liggare” som ”ett informationsregister över transaktioner som delas via, och är synkroniserat mellan, ett antal DLT-nätverksnoder med hjälp av en konsensusmekanism”.</w:t>
      </w:r>
    </w:p>
    <w:p w14:paraId="7A978816" w14:textId="1FECD92A" w:rsidR="00E64123" w:rsidRPr="005D3947" w:rsidRDefault="00E64123" w:rsidP="00E64123">
      <w:pPr>
        <w:pStyle w:val="NormalHanging"/>
      </w:pPr>
      <w:r w:rsidRPr="005D3947">
        <w:t>F.</w:t>
      </w:r>
      <w:r w:rsidRPr="005D3947">
        <w:tab/>
        <w:t>Genom förordning (EU) 2023/1114 om marknader för kryptotillgångar</w:t>
      </w:r>
      <w:r w:rsidR="005611D3" w:rsidRPr="005D3947">
        <w:rPr>
          <w:rStyle w:val="FootnoteReference"/>
        </w:rPr>
        <w:footnoteReference w:id="4"/>
      </w:r>
      <w:r w:rsidRPr="005D3947">
        <w:t xml:space="preserve"> (</w:t>
      </w:r>
      <w:proofErr w:type="spellStart"/>
      <w:r w:rsidRPr="005D3947">
        <w:t>MiCA</w:t>
      </w:r>
      <w:proofErr w:type="spellEnd"/>
      <w:r w:rsidRPr="005D3947">
        <w:t>-förordningen) inrättas en harmoniserad ram i EU för kryptotillgångar genom att skilja mellan tre huvudkategorier, nämligen e-pengatoken, som syftar till att stabilisera sitt värde genom att hänvisa till en enda officiell valuta, tillgångsanknutna token, som syftar till att upprätthålla ett stabilt värde genom att hänvisa till ett annat värde eller en annan rättighet eller en kombination av dessa, inbegripet en eller flera officiella valutor, och andra kryptotillgångar, dvs. en digital representation av ett värde eller en rättighet som kan överföras och lagras elektroniskt med hjälp av en distribuerad liggare eller liknande teknik, och som inte omfattas av de andra kategorierna.</w:t>
      </w:r>
    </w:p>
    <w:p w14:paraId="224CB505" w14:textId="77777777" w:rsidR="00E64123" w:rsidRPr="005D3947" w:rsidRDefault="00E64123" w:rsidP="00E64123">
      <w:pPr>
        <w:pStyle w:val="NormalHanging"/>
      </w:pPr>
      <w:r w:rsidRPr="005D3947">
        <w:t>G.</w:t>
      </w:r>
      <w:r w:rsidRPr="005D3947">
        <w:tab/>
        <w:t xml:space="preserve">Enligt artikel 2.4 i </w:t>
      </w:r>
      <w:proofErr w:type="spellStart"/>
      <w:r w:rsidRPr="005D3947">
        <w:t>MiCA</w:t>
      </w:r>
      <w:proofErr w:type="spellEnd"/>
      <w:r w:rsidRPr="005D3947">
        <w:t xml:space="preserve">-förordningen omfattar dess tillämpningsområde inte kryptotillgångar som klassificeras som finansiella instrument, insättningar, fonder, </w:t>
      </w:r>
      <w:proofErr w:type="spellStart"/>
      <w:r w:rsidRPr="005D3947">
        <w:t>värdepapperiseringar</w:t>
      </w:r>
      <w:proofErr w:type="spellEnd"/>
      <w:r w:rsidRPr="005D3947">
        <w:t>, försäkrings- eller pensionsprodukter enligt gällande EU-lagstiftning, vilket säkerställer att sådana kryptotillgångar fortsätter att omfattas av relevanta sektorsspecifika lagstiftningsramar och återspeglar den produktbaserade tillsynsmodellen i EU:s lagstiftning om finansiella tjänster.</w:t>
      </w:r>
    </w:p>
    <w:p w14:paraId="73C9528F" w14:textId="77777777" w:rsidR="00E64123" w:rsidRPr="005D3947" w:rsidRDefault="00E64123" w:rsidP="00E64123">
      <w:pPr>
        <w:pStyle w:val="NormalHanging"/>
      </w:pPr>
      <w:r w:rsidRPr="005D3947">
        <w:t>H.</w:t>
      </w:r>
      <w:r w:rsidRPr="005D3947">
        <w:tab/>
        <w:t xml:space="preserve">Den nya amerikanska administrationen är betydligt mer öppen för kryptotillgångar, vilket har lett till antagandet av centrala lagstiftningsåtgärder samt en mindre strikt strategi för tillsyn av tillsynsmyndigheterna. Regleringsstrategin i Förenta staterna är fortfarande under utveckling och amerikanska politiska beslutsfattare och tillsynsmyndigheter hänvisar i stället generellt sett till ”digitala tillgångar”, som allmänt anses omfatta kryptografiskt digitala representationer av värde eller rättigheter som är säkrade i en distribuerad liggare, inbegripet kryptovalutor, </w:t>
      </w:r>
      <w:proofErr w:type="spellStart"/>
      <w:r w:rsidRPr="005D3947">
        <w:t>stablecoins</w:t>
      </w:r>
      <w:proofErr w:type="spellEnd"/>
      <w:r w:rsidRPr="005D3947">
        <w:t xml:space="preserve"> och vissa </w:t>
      </w:r>
      <w:proofErr w:type="spellStart"/>
      <w:r w:rsidRPr="005D3947">
        <w:t>tokeniserade</w:t>
      </w:r>
      <w:proofErr w:type="spellEnd"/>
      <w:r w:rsidRPr="005D3947">
        <w:t xml:space="preserve"> instrument.</w:t>
      </w:r>
    </w:p>
    <w:p w14:paraId="0D713EAC" w14:textId="77777777" w:rsidR="00E64123" w:rsidRPr="005D3947" w:rsidRDefault="00E64123" w:rsidP="00E64123">
      <w:pPr>
        <w:pStyle w:val="Normal12a"/>
      </w:pPr>
      <w:r w:rsidRPr="005D3947">
        <w:rPr>
          <w:b/>
          <w:i/>
        </w:rPr>
        <w:t>Översikt</w:t>
      </w:r>
    </w:p>
    <w:p w14:paraId="4C7E16BD" w14:textId="77777777" w:rsidR="00E64123" w:rsidRPr="005D3947" w:rsidRDefault="00E64123" w:rsidP="00E64123">
      <w:pPr>
        <w:pStyle w:val="NormalHanging12a"/>
      </w:pPr>
      <w:r w:rsidRPr="005D3947">
        <w:t>1.</w:t>
      </w:r>
      <w:r w:rsidRPr="005D3947">
        <w:tab/>
        <w:t>Europaparlamentet stöder det långsiktiga målet om en systemomfattande, aktivitetsbaserad och teknikneutral strategi för EU:s regelverk för finansiella tjänster.</w:t>
      </w:r>
    </w:p>
    <w:p w14:paraId="1C3B2ABA" w14:textId="77777777" w:rsidR="00E64123" w:rsidRPr="005D3947" w:rsidRDefault="00E64123" w:rsidP="00E64123">
      <w:pPr>
        <w:pStyle w:val="NormalHanging12a"/>
      </w:pPr>
      <w:r w:rsidRPr="005D3947">
        <w:t>2.</w:t>
      </w:r>
      <w:r w:rsidRPr="005D3947">
        <w:tab/>
        <w:t xml:space="preserve">Europaparlamentet betonar att DLT-teknik och </w:t>
      </w:r>
      <w:proofErr w:type="spellStart"/>
      <w:r w:rsidRPr="005D3947">
        <w:t>tokenisering</w:t>
      </w:r>
      <w:proofErr w:type="spellEnd"/>
      <w:r w:rsidRPr="005D3947">
        <w:t xml:space="preserve"> av tillgångar har potential att stödja målen för spar- och investeringsunionen genom att underlätta gränsöverskridande investeringar, minska marknadsfragmentering och möjliggöra en </w:t>
      </w:r>
      <w:r w:rsidRPr="005D3947">
        <w:lastRenderedPageBreak/>
        <w:t xml:space="preserve">mer effektiv kapitalmarknadsinfrastruktur inom EU. Parlamentet understryker den avgörande rollen av </w:t>
      </w:r>
      <w:proofErr w:type="spellStart"/>
      <w:r w:rsidRPr="005D3947">
        <w:t>interoperabilitet</w:t>
      </w:r>
      <w:proofErr w:type="spellEnd"/>
      <w:r w:rsidRPr="005D3947">
        <w:t>.</w:t>
      </w:r>
    </w:p>
    <w:p w14:paraId="24E2E1C9" w14:textId="334A4FDE" w:rsidR="00E64123" w:rsidRPr="005D3947" w:rsidRDefault="00E64123" w:rsidP="00E64123">
      <w:pPr>
        <w:pStyle w:val="NormalHanging12a"/>
      </w:pPr>
      <w:r w:rsidRPr="005D3947">
        <w:t>3.</w:t>
      </w:r>
      <w:r w:rsidRPr="005D3947">
        <w:tab/>
        <w:t xml:space="preserve">Europaparlamentet betonar att framväxten av ny teknik inom finanssektorn innebär nya utmaningar för reglerings- och tillsynsramen. Parlamentet noterar mångfalden av digitala tillgångar och erkänner att de tillhörande riskerna och affärspotentialen skiljer sig från en kategori till en annan. Parlamentet bekräftar sitt engagemang för en riktad översyn av EU:s regelverk för att utveckla robusta kapitalmarknader och betalningsinfrastruktur i EU som möjliggör digitala tillgångar. Kommissionen uppmanas med kraft att bedöma behovet och genomförbarheten av att reglera utlåning och upplåning av kryptotillgångar, inbegripet </w:t>
      </w:r>
      <w:proofErr w:type="spellStart"/>
      <w:r w:rsidRPr="005D3947">
        <w:t>staking</w:t>
      </w:r>
      <w:proofErr w:type="spellEnd"/>
      <w:r w:rsidRPr="005D3947">
        <w:t>, icke-</w:t>
      </w:r>
      <w:proofErr w:type="spellStart"/>
      <w:r w:rsidRPr="005D3947">
        <w:t>fungibla</w:t>
      </w:r>
      <w:proofErr w:type="spellEnd"/>
      <w:r w:rsidRPr="005D3947">
        <w:t xml:space="preserve"> token och decentraliserad finansiering, inom ramen för </w:t>
      </w:r>
      <w:proofErr w:type="spellStart"/>
      <w:r w:rsidRPr="005D3947">
        <w:t>MiCA</w:t>
      </w:r>
      <w:proofErr w:type="spellEnd"/>
      <w:r w:rsidRPr="005D3947">
        <w:t>-förordningen.</w:t>
      </w:r>
    </w:p>
    <w:p w14:paraId="2EFCA90C" w14:textId="77777777" w:rsidR="00E64123" w:rsidRPr="005D3947" w:rsidRDefault="00E64123" w:rsidP="00E64123">
      <w:pPr>
        <w:pStyle w:val="NormalHanging12a"/>
      </w:pPr>
      <w:r w:rsidRPr="005D3947">
        <w:t>4.</w:t>
      </w:r>
      <w:r w:rsidRPr="005D3947">
        <w:tab/>
        <w:t xml:space="preserve">Europaparlamentet understryker den potentiella innovations- och </w:t>
      </w:r>
      <w:proofErr w:type="spellStart"/>
      <w:r w:rsidRPr="005D3947">
        <w:t>konnektivitetskapaciteten</w:t>
      </w:r>
      <w:proofErr w:type="spellEnd"/>
      <w:r w:rsidRPr="005D3947">
        <w:t xml:space="preserve"> hos kryptografiskt säkrade distribuerade liggare och liknande teknik för infrastruktur för finansiella tjänster, både inom EU och för EU:s globala roll. Parlamentet betonar att ett förutsägbart och innovationsvänligt regelverk kommer att vara avgörande för att säkerställa att investeringar och teknisk utveckling stannar inom EU och för att främja konkurrenskraften och förtroendet för den </w:t>
      </w:r>
      <w:proofErr w:type="spellStart"/>
      <w:r w:rsidRPr="005D3947">
        <w:t>eurodenominerade</w:t>
      </w:r>
      <w:proofErr w:type="spellEnd"/>
      <w:r w:rsidRPr="005D3947">
        <w:t xml:space="preserve"> finansiella infrastrukturen.</w:t>
      </w:r>
    </w:p>
    <w:p w14:paraId="2DEE00B6" w14:textId="77777777" w:rsidR="00E64123" w:rsidRPr="005D3947" w:rsidRDefault="00E64123" w:rsidP="00E64123">
      <w:pPr>
        <w:pStyle w:val="Normal12a"/>
      </w:pPr>
      <w:r w:rsidRPr="005D3947">
        <w:rPr>
          <w:b/>
          <w:i/>
        </w:rPr>
        <w:t>Kryptotillgångar</w:t>
      </w:r>
    </w:p>
    <w:p w14:paraId="1E9E074F" w14:textId="7F4F7A8B" w:rsidR="00E64123" w:rsidRPr="005D3947" w:rsidRDefault="00E64123" w:rsidP="00E64123">
      <w:pPr>
        <w:pStyle w:val="NormalHanging12a"/>
      </w:pPr>
      <w:r w:rsidRPr="005D3947">
        <w:t>5.</w:t>
      </w:r>
      <w:r w:rsidRPr="005D3947">
        <w:tab/>
        <w:t xml:space="preserve">Europaparlamentet konstaterar att EU var bland de första jurisdiktionerna att anta och genomföra en särskild ordning för kryptotillgångar, med </w:t>
      </w:r>
      <w:proofErr w:type="spellStart"/>
      <w:r w:rsidRPr="005D3947">
        <w:t>MiCA</w:t>
      </w:r>
      <w:proofErr w:type="spellEnd"/>
      <w:r w:rsidRPr="005D3947">
        <w:t xml:space="preserve">-förordningen, och att tillämpa DLT-teknik inom finanssektorn. Parlamentet uppmanar kommissionen att i nära samarbete med EBA, </w:t>
      </w:r>
      <w:proofErr w:type="spellStart"/>
      <w:r w:rsidRPr="005D3947">
        <w:t>Esma</w:t>
      </w:r>
      <w:proofErr w:type="spellEnd"/>
      <w:r w:rsidRPr="005D3947">
        <w:t>, myndigheten för bekämpning av penningtvätt och finansiering av terrorism (</w:t>
      </w:r>
      <w:proofErr w:type="spellStart"/>
      <w:r w:rsidRPr="005D3947">
        <w:t>Amla</w:t>
      </w:r>
      <w:proofErr w:type="spellEnd"/>
      <w:r w:rsidRPr="005D3947">
        <w:t xml:space="preserve">) och nationella behöriga myndigheter säkerställa ett effektivt genomförande av </w:t>
      </w:r>
      <w:proofErr w:type="spellStart"/>
      <w:r w:rsidRPr="005D3947">
        <w:t>MiCA</w:t>
      </w:r>
      <w:proofErr w:type="spellEnd"/>
      <w:r w:rsidRPr="005D3947">
        <w:t xml:space="preserve">-förordningen. Parlamentet uppmanar medlemsstaterna att avstå från att införa ytterligare krav och skyldigheter utöver ramarna i </w:t>
      </w:r>
      <w:proofErr w:type="spellStart"/>
      <w:r w:rsidRPr="005D3947">
        <w:t>MiCA</w:t>
      </w:r>
      <w:proofErr w:type="spellEnd"/>
      <w:r w:rsidRPr="005D3947">
        <w:t>-förordningen eller förordningen om överföring av medel</w:t>
      </w:r>
      <w:r w:rsidR="005611D3" w:rsidRPr="005D3947">
        <w:rPr>
          <w:rStyle w:val="FootnoteReference"/>
        </w:rPr>
        <w:footnoteReference w:id="5"/>
      </w:r>
      <w:r w:rsidRPr="005D3947">
        <w:t>.</w:t>
      </w:r>
    </w:p>
    <w:p w14:paraId="2F8B163A" w14:textId="77777777" w:rsidR="00E64123" w:rsidRPr="005D3947" w:rsidRDefault="00E64123" w:rsidP="00E64123">
      <w:pPr>
        <w:pStyle w:val="NormalHanging12a"/>
      </w:pPr>
      <w:r w:rsidRPr="005D3947">
        <w:t>6.</w:t>
      </w:r>
      <w:r w:rsidRPr="005D3947">
        <w:tab/>
        <w:t>Europaparlamentet betonar vikten av att stärka datakapaciteten, särskilt när det gäller hävstångseffekten inom kryptobranschen och kopplingarna till sektorn för andra finansinstitut än banker. Parlamentet uppmanar kommissionen att fortsätta att övervaka kryptotillgångarnas koppling till det finansiella systemet. Parlamentet noterar att kryptotillgångar utan säkerhet kan vara utsatta för ytterligare risker och volatilitet.</w:t>
      </w:r>
    </w:p>
    <w:p w14:paraId="05E06F36" w14:textId="77777777" w:rsidR="00E64123" w:rsidRPr="005D3947" w:rsidRDefault="00E64123" w:rsidP="00E64123">
      <w:pPr>
        <w:pStyle w:val="NormalHanging12a"/>
      </w:pPr>
      <w:r w:rsidRPr="005D3947">
        <w:t>7.</w:t>
      </w:r>
      <w:r w:rsidRPr="005D3947">
        <w:tab/>
        <w:t xml:space="preserve">Europaparlamentet uppmanar EBA, </w:t>
      </w:r>
      <w:proofErr w:type="spellStart"/>
      <w:r w:rsidRPr="005D3947">
        <w:t>Esma</w:t>
      </w:r>
      <w:proofErr w:type="spellEnd"/>
      <w:r w:rsidRPr="005D3947">
        <w:t xml:space="preserve">, </w:t>
      </w:r>
      <w:proofErr w:type="spellStart"/>
      <w:r w:rsidRPr="005D3947">
        <w:t>Amla</w:t>
      </w:r>
      <w:proofErr w:type="spellEnd"/>
      <w:r w:rsidRPr="005D3947">
        <w:t>, Europeiska försäkrings- och tjänstepensionsmyndigheten (</w:t>
      </w:r>
      <w:proofErr w:type="spellStart"/>
      <w:r w:rsidRPr="005D3947">
        <w:t>Eiopa</w:t>
      </w:r>
      <w:proofErr w:type="spellEnd"/>
      <w:r w:rsidRPr="005D3947">
        <w:t xml:space="preserve">), de nationella behöriga myndigheterna, ECB och ESRB att stärka tillsynsdialogen när det gäller betydande multifunktionsgrupper (MFG). Parlamentet understryker behovet av att anpassa </w:t>
      </w:r>
      <w:proofErr w:type="spellStart"/>
      <w:r w:rsidRPr="005D3947">
        <w:t>MiCA</w:t>
      </w:r>
      <w:proofErr w:type="spellEnd"/>
      <w:r w:rsidRPr="005D3947">
        <w:t>-förordningens policyram för multifunktionsgrupper som inte är banker.</w:t>
      </w:r>
    </w:p>
    <w:p w14:paraId="0E1730AE" w14:textId="77777777" w:rsidR="00E64123" w:rsidRPr="005D3947" w:rsidRDefault="00E64123" w:rsidP="00E64123">
      <w:pPr>
        <w:pStyle w:val="NormalHanging12a"/>
      </w:pPr>
      <w:r w:rsidRPr="005D3947">
        <w:t>8.</w:t>
      </w:r>
      <w:r w:rsidRPr="005D3947">
        <w:tab/>
        <w:t xml:space="preserve">Europaparlamentet erkänner att teknik för distribuerade liggare innebär nya tekniska och operativa överväganden för finansiella tillsynsmyndigheter, inklusive frågor </w:t>
      </w:r>
      <w:r w:rsidRPr="005D3947">
        <w:lastRenderedPageBreak/>
        <w:t xml:space="preserve">kopplade till säkerhet i smarta kontrakt, styrning av decentraliserade nätverk, </w:t>
      </w:r>
      <w:proofErr w:type="spellStart"/>
      <w:r w:rsidRPr="005D3947">
        <w:t>cyberresiliens</w:t>
      </w:r>
      <w:proofErr w:type="spellEnd"/>
      <w:r w:rsidRPr="005D3947">
        <w:t xml:space="preserve"> samt hantering av operativa risker. Parlamentet uppmanar tillsynsmyndigheterna att utveckla tillräcklig teknisk expertis för att förstå och övervaka dessa framväxande marknadsinfrastrukturer på ett effektivt sätt.</w:t>
      </w:r>
    </w:p>
    <w:p w14:paraId="2AB33052" w14:textId="77777777" w:rsidR="00E64123" w:rsidRPr="005D3947" w:rsidRDefault="00E64123" w:rsidP="00E64123">
      <w:pPr>
        <w:pStyle w:val="NormalHanging12a"/>
      </w:pPr>
      <w:r w:rsidRPr="005D3947">
        <w:t>9.</w:t>
      </w:r>
      <w:r w:rsidRPr="005D3947">
        <w:tab/>
        <w:t>Europaparlamentet uttrycker oro över den roll som kryptotillgångar spelar för att kringgå bestämmelser och sanktioner för bekämpning av penningtvätt och finansiering av terrorism. Parlamentet betonar vikten av att stärka tillsynsverktyg och efterlevnadsstandarder för att hantera dessa risker, inbegripet effektiva standarder för kundkännedom och övervakning av betalningar. Parlamentet understryker att det är viktigt för utredande myndigheter att använda tekniken bakom kryptotillgångar för att avskräcka från kryptobrott och att samarbeta med varandra för att blockera upptäckta eller rapporterade olagliga transaktioner.</w:t>
      </w:r>
    </w:p>
    <w:p w14:paraId="37517A9A" w14:textId="77777777" w:rsidR="00E64123" w:rsidRPr="005D3947" w:rsidRDefault="00E64123" w:rsidP="00E64123">
      <w:pPr>
        <w:pStyle w:val="NormalHanging12a"/>
      </w:pPr>
      <w:r w:rsidRPr="005D3947">
        <w:t>10.</w:t>
      </w:r>
      <w:r w:rsidRPr="005D3947">
        <w:tab/>
        <w:t>Europaparlamentet noterar framväxten av hybridprodukter som kombinerar egenskaper hos kryptotillgångar och traditionella finansiella instrument, vilket kan skapa rättsosäkerhet.</w:t>
      </w:r>
    </w:p>
    <w:p w14:paraId="4BD9445B" w14:textId="77777777" w:rsidR="00E64123" w:rsidRPr="005D3947" w:rsidRDefault="00E64123" w:rsidP="00E64123">
      <w:pPr>
        <w:pStyle w:val="Normal12a"/>
      </w:pPr>
      <w:proofErr w:type="spellStart"/>
      <w:r w:rsidRPr="005D3947">
        <w:rPr>
          <w:b/>
          <w:i/>
        </w:rPr>
        <w:t>Tokenisering</w:t>
      </w:r>
      <w:proofErr w:type="spellEnd"/>
      <w:r w:rsidRPr="005D3947">
        <w:rPr>
          <w:b/>
          <w:i/>
        </w:rPr>
        <w:t xml:space="preserve"> av finansiella instrument</w:t>
      </w:r>
    </w:p>
    <w:p w14:paraId="69202BCD" w14:textId="77777777" w:rsidR="00E64123" w:rsidRPr="005D3947" w:rsidRDefault="00E64123" w:rsidP="00E64123">
      <w:pPr>
        <w:pStyle w:val="NormalHanging12a"/>
      </w:pPr>
      <w:r w:rsidRPr="005D3947">
        <w:t>11.</w:t>
      </w:r>
      <w:r w:rsidRPr="005D3947">
        <w:tab/>
        <w:t>Europaparlamentet noterar att i skäl 3 i förordning (EU) 2022/858 definieras ”</w:t>
      </w:r>
      <w:proofErr w:type="spellStart"/>
      <w:r w:rsidRPr="005D3947">
        <w:t>tokenisering</w:t>
      </w:r>
      <w:proofErr w:type="spellEnd"/>
      <w:r w:rsidRPr="005D3947">
        <w:t xml:space="preserve">” av finansiella instrument som digital representation av finansiella instrument i distribuerade liggare eller emission av traditionella tillgångsklasser i </w:t>
      </w:r>
      <w:proofErr w:type="spellStart"/>
      <w:r w:rsidRPr="005D3947">
        <w:t>tokeniserad</w:t>
      </w:r>
      <w:proofErr w:type="spellEnd"/>
      <w:r w:rsidRPr="005D3947">
        <w:t xml:space="preserve"> form så att de kan emitteras, lagras och överföras i en distribuerad liggare.</w:t>
      </w:r>
    </w:p>
    <w:p w14:paraId="123D4206" w14:textId="77777777" w:rsidR="00E64123" w:rsidRPr="005D3947" w:rsidRDefault="00E64123" w:rsidP="00E64123">
      <w:pPr>
        <w:pStyle w:val="NormalHanging12a"/>
      </w:pPr>
      <w:r w:rsidRPr="005D3947">
        <w:t>12.</w:t>
      </w:r>
      <w:r w:rsidRPr="005D3947">
        <w:tab/>
        <w:t xml:space="preserve">Europaparlamentet understryker att </w:t>
      </w:r>
      <w:proofErr w:type="spellStart"/>
      <w:r w:rsidRPr="005D3947">
        <w:t>tokenisering</w:t>
      </w:r>
      <w:proofErr w:type="spellEnd"/>
      <w:r w:rsidRPr="005D3947">
        <w:t xml:space="preserve"> av finansiella tillgångar i sig inte förändrar dessa tillgångars rättsliga natur eller grundläggande ekonomiska egenskaper. Parlamentet betonar att </w:t>
      </w:r>
      <w:proofErr w:type="spellStart"/>
      <w:r w:rsidRPr="005D3947">
        <w:t>tokeniserade</w:t>
      </w:r>
      <w:proofErr w:type="spellEnd"/>
      <w:r w:rsidRPr="005D3947">
        <w:t xml:space="preserve"> finansiella instrument måste ge rättigheter motsvarande dem som är knutna till traditionella värdepapper för att förhindra regelarbitrage och säkerställa investerarskydd.</w:t>
      </w:r>
    </w:p>
    <w:p w14:paraId="531A9EE5" w14:textId="77777777" w:rsidR="00E64123" w:rsidRPr="005D3947" w:rsidRDefault="00E64123" w:rsidP="00E64123">
      <w:pPr>
        <w:pStyle w:val="NormalHanging12a"/>
      </w:pPr>
      <w:r w:rsidRPr="005D3947">
        <w:t>13.</w:t>
      </w:r>
      <w:r w:rsidRPr="005D3947">
        <w:tab/>
        <w:t xml:space="preserve">Europaparlamentet välkomnar de potentiella fördelarna med </w:t>
      </w:r>
      <w:proofErr w:type="spellStart"/>
      <w:r w:rsidRPr="005D3947">
        <w:t>tokenisering</w:t>
      </w:r>
      <w:proofErr w:type="spellEnd"/>
      <w:r w:rsidRPr="005D3947">
        <w:t xml:space="preserve"> för handel med finansiella tillgångar, såsom ökad effektivitet och transparens, minskade motpartsrisker och operativa kostnader, smarta kontrakt och förbättrad likviditet genom delat ägande, men noterar samtidigt att dess sårbarheter bör övervakas.</w:t>
      </w:r>
    </w:p>
    <w:p w14:paraId="3F4E924E" w14:textId="77777777" w:rsidR="00E64123" w:rsidRPr="005D3947" w:rsidRDefault="00E64123" w:rsidP="00E64123">
      <w:pPr>
        <w:pStyle w:val="NormalHanging12a"/>
      </w:pPr>
      <w:r w:rsidRPr="005D3947">
        <w:t>14.</w:t>
      </w:r>
      <w:r w:rsidRPr="005D3947">
        <w:tab/>
        <w:t xml:space="preserve">Europaparlamentet uppmanar med kraft kommissionen att underlätta och uppmuntra </w:t>
      </w:r>
      <w:proofErr w:type="spellStart"/>
      <w:r w:rsidRPr="005D3947">
        <w:t>tokenisering</w:t>
      </w:r>
      <w:proofErr w:type="spellEnd"/>
      <w:r w:rsidRPr="005D3947">
        <w:t xml:space="preserve"> av olika finansiella tjänster, insistera på </w:t>
      </w:r>
      <w:proofErr w:type="spellStart"/>
      <w:r w:rsidRPr="005D3947">
        <w:t>interoperabilitet</w:t>
      </w:r>
      <w:proofErr w:type="spellEnd"/>
      <w:r w:rsidRPr="005D3947">
        <w:t xml:space="preserve"> och förhindra fragmentering genom att upprätthålla standarder på hela den inre marknaden och tillhandahålla infrastruktur.</w:t>
      </w:r>
    </w:p>
    <w:p w14:paraId="444F8F61" w14:textId="77777777" w:rsidR="00E64123" w:rsidRPr="005D3947" w:rsidRDefault="00E64123" w:rsidP="00E64123">
      <w:pPr>
        <w:pStyle w:val="NormalHanging12a"/>
      </w:pPr>
      <w:r w:rsidRPr="005D3947">
        <w:t>15.</w:t>
      </w:r>
      <w:r w:rsidRPr="005D3947">
        <w:tab/>
        <w:t xml:space="preserve">Europaparlamentet erkänner ECB:s insatser för att tillhandahålla lösningar, inbegripet infrastruktur som erbjuder ett alternativ för digital centralbanksvaluta i grossistledet som gör det möjligt att avveckla kontant- och tillgångsdelen i en gemensam liggare, som ett komplement till </w:t>
      </w:r>
      <w:proofErr w:type="spellStart"/>
      <w:r w:rsidRPr="005D3947">
        <w:t>tokeniserade</w:t>
      </w:r>
      <w:proofErr w:type="spellEnd"/>
      <w:r w:rsidRPr="005D3947">
        <w:t xml:space="preserve"> insättningar från kommersiella banker och </w:t>
      </w:r>
      <w:proofErr w:type="spellStart"/>
      <w:r w:rsidRPr="005D3947">
        <w:t>stablecoins</w:t>
      </w:r>
      <w:proofErr w:type="spellEnd"/>
      <w:r w:rsidRPr="005D3947">
        <w:t>.</w:t>
      </w:r>
    </w:p>
    <w:p w14:paraId="3B3C5C4C" w14:textId="77777777" w:rsidR="00E64123" w:rsidRPr="005D3947" w:rsidRDefault="00E64123" w:rsidP="00E64123">
      <w:pPr>
        <w:pStyle w:val="NormalHanging12a"/>
      </w:pPr>
      <w:r w:rsidRPr="005D3947">
        <w:t>16.</w:t>
      </w:r>
      <w:r w:rsidRPr="005D3947">
        <w:tab/>
        <w:t xml:space="preserve">Europaparlamentet understryker potentialen för global </w:t>
      </w:r>
      <w:proofErr w:type="spellStart"/>
      <w:r w:rsidRPr="005D3947">
        <w:t>konnektivitet</w:t>
      </w:r>
      <w:proofErr w:type="spellEnd"/>
      <w:r w:rsidRPr="005D3947">
        <w:t xml:space="preserve"> på den europeiska </w:t>
      </w:r>
      <w:proofErr w:type="spellStart"/>
      <w:r w:rsidRPr="005D3947">
        <w:t>tokeniserade</w:t>
      </w:r>
      <w:proofErr w:type="spellEnd"/>
      <w:r w:rsidRPr="005D3947">
        <w:t xml:space="preserve"> marknaden. Parlamentet understryker vikten av internationellt samarbete för att harmonisera kategoriseringskriterier, principer och standarder. Parlamentet stöder arbetet inom BIS i olika initiativ för det gränsöverskridande betalningssamarbetet.</w:t>
      </w:r>
    </w:p>
    <w:p w14:paraId="15ADA435" w14:textId="77777777" w:rsidR="00E64123" w:rsidRPr="005D3947" w:rsidRDefault="00E64123" w:rsidP="00E64123">
      <w:pPr>
        <w:pStyle w:val="NormalHanging12a"/>
      </w:pPr>
      <w:r w:rsidRPr="005D3947">
        <w:lastRenderedPageBreak/>
        <w:t>17.</w:t>
      </w:r>
      <w:r w:rsidRPr="005D3947">
        <w:tab/>
        <w:t>Europaparlamentet välkomnar de pågående diskussionerna om DLT-pilotordningen som en del av paketet för marknadsintegration och tillsyn.</w:t>
      </w:r>
    </w:p>
    <w:p w14:paraId="41813B81" w14:textId="77777777" w:rsidR="00E64123" w:rsidRPr="005D3947" w:rsidRDefault="00E64123" w:rsidP="00E64123">
      <w:pPr>
        <w:pStyle w:val="Normal12a"/>
      </w:pPr>
      <w:proofErr w:type="spellStart"/>
      <w:r w:rsidRPr="005D3947">
        <w:rPr>
          <w:b/>
          <w:i/>
        </w:rPr>
        <w:t>Stablecoins</w:t>
      </w:r>
      <w:proofErr w:type="spellEnd"/>
    </w:p>
    <w:p w14:paraId="15D48AD3" w14:textId="77777777" w:rsidR="00E64123" w:rsidRPr="005D3947" w:rsidRDefault="00E64123" w:rsidP="00E64123">
      <w:pPr>
        <w:pStyle w:val="NormalHanging12a"/>
      </w:pPr>
      <w:r w:rsidRPr="005D3947">
        <w:t>18.</w:t>
      </w:r>
      <w:r w:rsidRPr="005D3947">
        <w:tab/>
        <w:t xml:space="preserve">Europaparlamentet noterar att </w:t>
      </w:r>
      <w:proofErr w:type="spellStart"/>
      <w:r w:rsidRPr="005D3947">
        <w:t>stablecoins</w:t>
      </w:r>
      <w:proofErr w:type="spellEnd"/>
      <w:r w:rsidRPr="005D3947">
        <w:t xml:space="preserve"> kan falla inom två kategorier inom </w:t>
      </w:r>
      <w:proofErr w:type="spellStart"/>
      <w:r w:rsidRPr="005D3947">
        <w:t>MiCA</w:t>
      </w:r>
      <w:proofErr w:type="spellEnd"/>
      <w:r w:rsidRPr="005D3947">
        <w:t>-förordningens rättsliga ram, såsom tillgångsanknutna tokens och såsom elektroniska penningtokens (e-pengatokens).</w:t>
      </w:r>
    </w:p>
    <w:p w14:paraId="15DE74A8" w14:textId="77777777" w:rsidR="00E64123" w:rsidRPr="005D3947" w:rsidRDefault="00E64123" w:rsidP="00E64123">
      <w:pPr>
        <w:pStyle w:val="NormalHanging12a"/>
      </w:pPr>
      <w:r w:rsidRPr="005D3947">
        <w:t>19.</w:t>
      </w:r>
      <w:r w:rsidRPr="005D3947">
        <w:tab/>
        <w:t xml:space="preserve">Europaparlamentet noterar att </w:t>
      </w:r>
      <w:proofErr w:type="spellStart"/>
      <w:r w:rsidRPr="005D3947">
        <w:t>stablecoins</w:t>
      </w:r>
      <w:proofErr w:type="spellEnd"/>
      <w:r w:rsidRPr="005D3947">
        <w:t xml:space="preserve"> är en form av skapande av privata pengar och att deras ekonomiska funktion uppvisar likheter med fasta växelkurser, penningmarknadsfonder och banker med snävt uppdrag. Parlamentet betonar dock att </w:t>
      </w:r>
      <w:proofErr w:type="spellStart"/>
      <w:r w:rsidRPr="005D3947">
        <w:t>MiCA</w:t>
      </w:r>
      <w:proofErr w:type="spellEnd"/>
      <w:r w:rsidRPr="005D3947">
        <w:t xml:space="preserve">-förordningen förbjuder </w:t>
      </w:r>
      <w:proofErr w:type="spellStart"/>
      <w:r w:rsidRPr="005D3947">
        <w:t>emittenter</w:t>
      </w:r>
      <w:proofErr w:type="spellEnd"/>
      <w:r w:rsidRPr="005D3947">
        <w:t xml:space="preserve"> av e-pengatoken och leverantörer av kryptotillgångstjänster att direkt eller indirekt bevilja ränta för e-pengatoken, och att </w:t>
      </w:r>
      <w:proofErr w:type="spellStart"/>
      <w:r w:rsidRPr="005D3947">
        <w:t>stablecoins</w:t>
      </w:r>
      <w:proofErr w:type="spellEnd"/>
      <w:r w:rsidRPr="005D3947">
        <w:t xml:space="preserve"> inte har direkt tillgång till centralbanker och inte omfattas av offentliga insättningsgarantier. Parlamentet noterar devalveringsriskerna, riskerna för släppta kopplingar och disintermedieringsriskerna i samband med </w:t>
      </w:r>
      <w:proofErr w:type="spellStart"/>
      <w:r w:rsidRPr="005D3947">
        <w:t>stablecoins</w:t>
      </w:r>
      <w:proofErr w:type="spellEnd"/>
      <w:r w:rsidRPr="005D3947">
        <w:t>.</w:t>
      </w:r>
    </w:p>
    <w:p w14:paraId="0626E8B7" w14:textId="5CEF2EC5" w:rsidR="003E2C5F" w:rsidRPr="005D3947" w:rsidRDefault="004A4BB8" w:rsidP="00E64123">
      <w:pPr>
        <w:pStyle w:val="NormalHanging12a"/>
      </w:pPr>
      <w:r w:rsidRPr="005D3947">
        <w:t>20</w:t>
      </w:r>
      <w:r w:rsidR="003E2C5F" w:rsidRPr="005D3947">
        <w:t>.</w:t>
      </w:r>
      <w:r w:rsidR="003E2C5F" w:rsidRPr="005D3947">
        <w:tab/>
        <w:t xml:space="preserve">Europaparlamentet noterar med oro den fortsatta snabba expansionen och dominansen av </w:t>
      </w:r>
      <w:proofErr w:type="spellStart"/>
      <w:r w:rsidR="003E2C5F" w:rsidRPr="005D3947">
        <w:t>stablecoins</w:t>
      </w:r>
      <w:proofErr w:type="spellEnd"/>
      <w:r w:rsidR="003E2C5F" w:rsidRPr="005D3947">
        <w:t xml:space="preserve"> </w:t>
      </w:r>
      <w:proofErr w:type="spellStart"/>
      <w:r w:rsidR="003E2C5F" w:rsidRPr="005D3947">
        <w:t>denomi</w:t>
      </w:r>
      <w:r w:rsidR="008B7C04" w:rsidRPr="005D3947">
        <w:t>n</w:t>
      </w:r>
      <w:r w:rsidR="003E2C5F" w:rsidRPr="005D3947">
        <w:t>erade</w:t>
      </w:r>
      <w:proofErr w:type="spellEnd"/>
      <w:r w:rsidR="003E2C5F" w:rsidRPr="005D3947">
        <w:t xml:space="preserve"> i US-dollar, vilket skulle kunna försvaga EU:s monetära suveränitet, öka riskerna för den finansiella stabiliteten, försämra transmissionen av penningpolitiken och stärka det externa beroendet för betalningar.</w:t>
      </w:r>
    </w:p>
    <w:p w14:paraId="122E06C2" w14:textId="5EE222D1" w:rsidR="00E64123" w:rsidRPr="005D3947" w:rsidRDefault="00E64123" w:rsidP="00E64123">
      <w:pPr>
        <w:pStyle w:val="NormalHanging12a"/>
      </w:pPr>
      <w:r w:rsidRPr="005D3947">
        <w:t>2</w:t>
      </w:r>
      <w:r w:rsidR="004A4BB8" w:rsidRPr="005D3947">
        <w:t>1</w:t>
      </w:r>
      <w:r w:rsidRPr="005D3947">
        <w:t>.</w:t>
      </w:r>
      <w:r w:rsidRPr="005D3947">
        <w:tab/>
        <w:t xml:space="preserve">Europaparlamentet välkomnar framväxten av </w:t>
      </w:r>
      <w:proofErr w:type="spellStart"/>
      <w:r w:rsidRPr="005D3947">
        <w:t>eurodenominerade</w:t>
      </w:r>
      <w:proofErr w:type="spellEnd"/>
      <w:r w:rsidRPr="005D3947">
        <w:t xml:space="preserve"> e-pengatoken inom ramen för </w:t>
      </w:r>
      <w:proofErr w:type="spellStart"/>
      <w:r w:rsidRPr="005D3947">
        <w:t>MiCA</w:t>
      </w:r>
      <w:proofErr w:type="spellEnd"/>
      <w:r w:rsidRPr="005D3947">
        <w:t xml:space="preserve">-förordningen och uppmuntrar utvecklingen av dessa för att stödja EU:s betalningsinnovation, konkurrenskraften hos EU:s finansmarknader och eurons internationella roll, bland annat genom snabbare och billigare gränsöverskridande betalningar, som ett komplement till </w:t>
      </w:r>
      <w:proofErr w:type="spellStart"/>
      <w:r w:rsidRPr="005D3947">
        <w:t>tokeniserade</w:t>
      </w:r>
      <w:proofErr w:type="spellEnd"/>
      <w:r w:rsidRPr="005D3947">
        <w:t xml:space="preserve"> insättningar och digital centralbanksvaluta på grossistnivå. Parlamentet betonar vikten av harmoniserade ramar för likviditetsrisk och krishantering, inbegripet inlösensordningar och krav på separering av reserver. Parlamentet noterar att ECB vidhåller att </w:t>
      </w:r>
      <w:proofErr w:type="spellStart"/>
      <w:r w:rsidRPr="005D3947">
        <w:t>stablecoins</w:t>
      </w:r>
      <w:proofErr w:type="spellEnd"/>
      <w:r w:rsidRPr="005D3947">
        <w:t xml:space="preserve"> i andra valutor än euro kan utgöra en risk för penningpolitiken om användningen av dem blir utbredd. Parlamentet varnar för missbruk av klausulen om ”kundinitierade kontakter”.</w:t>
      </w:r>
    </w:p>
    <w:p w14:paraId="0AC5FD06" w14:textId="245E914E" w:rsidR="00E64123" w:rsidRPr="005D3947" w:rsidRDefault="00E64123" w:rsidP="00E64123">
      <w:pPr>
        <w:pStyle w:val="NormalHanging12a"/>
      </w:pPr>
      <w:r w:rsidRPr="005D3947">
        <w:t>2</w:t>
      </w:r>
      <w:r w:rsidR="004A4BB8" w:rsidRPr="005D3947">
        <w:t>2</w:t>
      </w:r>
      <w:r w:rsidRPr="005D3947">
        <w:t>.</w:t>
      </w:r>
      <w:r w:rsidRPr="005D3947">
        <w:tab/>
        <w:t xml:space="preserve">Europaparlamentet erkänner behovet av rättssäkerhet i EU-lagstiftningen när det gäller möjligheten för en EU-enhet och en enhet utanför EU att multiemittera, där de digitala </w:t>
      </w:r>
      <w:proofErr w:type="spellStart"/>
      <w:r w:rsidRPr="005D3947">
        <w:t>stablecoins</w:t>
      </w:r>
      <w:proofErr w:type="spellEnd"/>
      <w:r w:rsidRPr="005D3947">
        <w:t xml:space="preserve"> som emitteras av de båda enheterna är helt </w:t>
      </w:r>
      <w:proofErr w:type="spellStart"/>
      <w:r w:rsidRPr="005D3947">
        <w:t>fungibla</w:t>
      </w:r>
      <w:proofErr w:type="spellEnd"/>
      <w:r w:rsidRPr="005D3947">
        <w:t xml:space="preserve"> och omöjliga att särskilja. Parlamentet påminner om att ESRB har varnat för multiemissioner som en potentiell smittokanal. Parlamentet betonar behovet av att säkerställa att driften av sådana system i EU bygger på rättssäkerhet och ett robust regelverk som tillhandahåller starka försiktighetsåtgärder, robusta samarbetsarrangemang och förbättrade krishanteringsprotokoll. Parlamentet understryker vikten av att främja internationell samordning när det gäller reglering och övervakning av globala </w:t>
      </w:r>
      <w:proofErr w:type="spellStart"/>
      <w:r w:rsidRPr="005D3947">
        <w:t>stablecoins</w:t>
      </w:r>
      <w:proofErr w:type="spellEnd"/>
      <w:r w:rsidRPr="005D3947">
        <w:t>, i syfte att utveckla internationella standarder.</w:t>
      </w:r>
    </w:p>
    <w:p w14:paraId="688879A9" w14:textId="5AF92DF5" w:rsidR="00E64123" w:rsidRPr="005D3947" w:rsidRDefault="00E64123" w:rsidP="00E64123">
      <w:pPr>
        <w:pStyle w:val="NormalHanging12a"/>
      </w:pPr>
      <w:r w:rsidRPr="005D3947">
        <w:lastRenderedPageBreak/>
        <w:t>2</w:t>
      </w:r>
      <w:r w:rsidR="004A4BB8" w:rsidRPr="005D3947">
        <w:t>3</w:t>
      </w:r>
      <w:r w:rsidRPr="005D3947">
        <w:t>.</w:t>
      </w:r>
      <w:r w:rsidRPr="005D3947">
        <w:tab/>
        <w:t>Europaparlamentet välkomnar den preliminära överenskommelsen om ett direktiv</w:t>
      </w:r>
      <w:r w:rsidR="005611D3" w:rsidRPr="005D3947">
        <w:rPr>
          <w:rStyle w:val="FootnoteReference"/>
        </w:rPr>
        <w:footnoteReference w:id="6"/>
      </w:r>
      <w:r w:rsidRPr="005D3947">
        <w:t xml:space="preserve"> och en förordning</w:t>
      </w:r>
      <w:r w:rsidR="005611D3" w:rsidRPr="005D3947">
        <w:rPr>
          <w:rStyle w:val="FootnoteReference"/>
        </w:rPr>
        <w:footnoteReference w:id="7"/>
      </w:r>
      <w:r w:rsidRPr="005D3947">
        <w:t xml:space="preserve"> om betalningstjänster och den förenklade auktorisationslösningen för leverantörer av kryptotillgångstjänster som redan är auktoriserade enligt </w:t>
      </w:r>
      <w:proofErr w:type="spellStart"/>
      <w:r w:rsidRPr="005D3947">
        <w:t>MiCA</w:t>
      </w:r>
      <w:proofErr w:type="spellEnd"/>
      <w:r w:rsidRPr="005D3947">
        <w:t>-förordningen, i syfte att undvika onödig regulatorisk överlappning, och som skulle omfattas av ett förenklat förfarande, samtidigt som lämpliga riskkontroller bibehålls och endast de tjänster som anges i ansökan tillhandahålls.</w:t>
      </w:r>
    </w:p>
    <w:p w14:paraId="56B04839" w14:textId="77777777" w:rsidR="00E64123" w:rsidRPr="005D3947" w:rsidRDefault="00E64123" w:rsidP="00E64123">
      <w:pPr>
        <w:pStyle w:val="Normal12a"/>
      </w:pPr>
      <w:r w:rsidRPr="005D3947">
        <w:rPr>
          <w:b/>
          <w:i/>
        </w:rPr>
        <w:t>Övergripande överväganden</w:t>
      </w:r>
    </w:p>
    <w:p w14:paraId="43CF87E7" w14:textId="2464FAEE" w:rsidR="00E64123" w:rsidRPr="005D3947" w:rsidRDefault="00E64123" w:rsidP="00E64123">
      <w:pPr>
        <w:pStyle w:val="NormalHanging12a"/>
      </w:pPr>
      <w:r w:rsidRPr="005D3947">
        <w:t>2</w:t>
      </w:r>
      <w:r w:rsidR="004A4BB8" w:rsidRPr="005D3947">
        <w:t>4</w:t>
      </w:r>
      <w:r w:rsidRPr="005D3947">
        <w:t>.</w:t>
      </w:r>
      <w:r w:rsidRPr="005D3947">
        <w:tab/>
        <w:t xml:space="preserve">Europaparlamentet understryker att </w:t>
      </w:r>
      <w:proofErr w:type="spellStart"/>
      <w:r w:rsidRPr="005D3947">
        <w:t>interoperabilitet</w:t>
      </w:r>
      <w:proofErr w:type="spellEnd"/>
      <w:r w:rsidRPr="005D3947">
        <w:t xml:space="preserve"> är avgörande inom digitala finanser, vilket till exempel kräver portabel identitet och verifierbara identifikationsuppgifter som möjliggörande komponenter i nätöverskridande marknadsinfrastruktur. Parlamentet betonar att metoder av typen identifieringskod för juridiska personer/verifierbar identifieringstyp för juridiska personer bör bedömas som infrastrukturverktyg. Parlamentet uppmanar kommissionen att arbeta tillsammans med europeiska och internationella standardiseringsorganisationer för att utveckla gemensamma tekniska standarder och protokoll för digitala tillgångar, smarta kontrakt och digitala identiteter, i syfte att säkerställa </w:t>
      </w:r>
      <w:proofErr w:type="spellStart"/>
      <w:r w:rsidRPr="005D3947">
        <w:t>interoperabilitet</w:t>
      </w:r>
      <w:proofErr w:type="spellEnd"/>
      <w:r w:rsidRPr="005D3947">
        <w:t xml:space="preserve"> och undvika marknadsfragmentering.</w:t>
      </w:r>
    </w:p>
    <w:p w14:paraId="0B9D708E" w14:textId="50FB37A7" w:rsidR="00E64123" w:rsidRPr="005D3947" w:rsidRDefault="00E64123" w:rsidP="00E64123">
      <w:pPr>
        <w:pStyle w:val="NormalHanging12a"/>
      </w:pPr>
      <w:r w:rsidRPr="005D3947">
        <w:t>2</w:t>
      </w:r>
      <w:r w:rsidR="004A4BB8" w:rsidRPr="005D3947">
        <w:t>5</w:t>
      </w:r>
      <w:r w:rsidRPr="005D3947">
        <w:t>.</w:t>
      </w:r>
      <w:r w:rsidRPr="005D3947">
        <w:tab/>
        <w:t>Europaparlamentet välkomnar de pågående diskussionerna om den digitala euron, inklusive förberedelser för såväl massbetalnings- som storbetalningsanvändning, samt stöder de pågående kortfristiga (</w:t>
      </w:r>
      <w:proofErr w:type="spellStart"/>
      <w:r w:rsidRPr="005D3947">
        <w:t>Pontes</w:t>
      </w:r>
      <w:proofErr w:type="spellEnd"/>
      <w:r w:rsidRPr="005D3947">
        <w:t xml:space="preserve">) och långsiktiga (Appia) spåren för projekten med distribuerade liggare för avveckling av centralbankspengar i grossistledet. Parlamentet uppmanar kommissionen och ECB att säkerställa att framtida lösningar för den digitala euron utformas för att underlätta </w:t>
      </w:r>
      <w:proofErr w:type="spellStart"/>
      <w:r w:rsidRPr="005D3947">
        <w:t>interoperabilitet</w:t>
      </w:r>
      <w:proofErr w:type="spellEnd"/>
      <w:r w:rsidRPr="005D3947">
        <w:t xml:space="preserve"> med DLT-infrastrukturer och säkerställa </w:t>
      </w:r>
      <w:proofErr w:type="spellStart"/>
      <w:r w:rsidRPr="005D3947">
        <w:t>komplementaritet</w:t>
      </w:r>
      <w:proofErr w:type="spellEnd"/>
      <w:r w:rsidRPr="005D3947">
        <w:t xml:space="preserve"> vid sidan av kontanter.</w:t>
      </w:r>
    </w:p>
    <w:p w14:paraId="31F39D93" w14:textId="5092EE8A" w:rsidR="00E64123" w:rsidRPr="005D3947" w:rsidRDefault="00E64123" w:rsidP="00E64123">
      <w:pPr>
        <w:pStyle w:val="NormalHanging12a"/>
      </w:pPr>
      <w:r w:rsidRPr="005D3947">
        <w:t>2</w:t>
      </w:r>
      <w:r w:rsidR="004A4BB8" w:rsidRPr="005D3947">
        <w:t>6</w:t>
      </w:r>
      <w:r w:rsidRPr="005D3947">
        <w:t>.</w:t>
      </w:r>
      <w:r w:rsidRPr="005D3947">
        <w:tab/>
        <w:t>Europaparlamentet beklagar EU:s beroende av tjänsteleverantörer utanför EU för DLT-infrastruktur. Parlamentet betonar att den amerikanska administrationens behandling av digitala tillgångar noga bör följas upp.</w:t>
      </w:r>
    </w:p>
    <w:p w14:paraId="69F0EDC3" w14:textId="2FD5FB0D" w:rsidR="00E64123" w:rsidRPr="005D3947" w:rsidRDefault="00E64123" w:rsidP="00E64123">
      <w:pPr>
        <w:pStyle w:val="NormalHanging12a"/>
      </w:pPr>
      <w:r w:rsidRPr="005D3947">
        <w:t>2</w:t>
      </w:r>
      <w:r w:rsidR="004A4BB8" w:rsidRPr="005D3947">
        <w:t>7</w:t>
      </w:r>
      <w:r w:rsidRPr="005D3947">
        <w:t>.</w:t>
      </w:r>
      <w:r w:rsidRPr="005D3947">
        <w:tab/>
        <w:t xml:space="preserve">Europaparlamentet noterar de pågående diskussionerna om tillsynen av leverantörer av kryptotillgångstjänster när det gäller </w:t>
      </w:r>
      <w:proofErr w:type="spellStart"/>
      <w:r w:rsidRPr="005D3947">
        <w:t>Esmas</w:t>
      </w:r>
      <w:proofErr w:type="spellEnd"/>
      <w:r w:rsidRPr="005D3947">
        <w:t xml:space="preserve"> roll som en del av paketet för marknadsintegration och tillsyn.</w:t>
      </w:r>
    </w:p>
    <w:p w14:paraId="5ADE381E" w14:textId="77777777" w:rsidR="00E64123" w:rsidRPr="005D3947" w:rsidRDefault="00E64123" w:rsidP="00E64123">
      <w:pPr>
        <w:pStyle w:val="NormalCenter12a"/>
      </w:pPr>
      <w:r w:rsidRPr="005D3947">
        <w:t>°</w:t>
      </w:r>
    </w:p>
    <w:p w14:paraId="1A1BAE6B" w14:textId="77777777" w:rsidR="00E64123" w:rsidRPr="005D3947" w:rsidRDefault="00E64123" w:rsidP="00E64123">
      <w:pPr>
        <w:pStyle w:val="NormalCenter12a"/>
      </w:pPr>
      <w:r w:rsidRPr="005D3947">
        <w:t>°</w:t>
      </w:r>
      <w:r w:rsidRPr="005D3947">
        <w:tab/>
        <w:t>°</w:t>
      </w:r>
    </w:p>
    <w:p w14:paraId="32FEF858" w14:textId="3F0CF02C" w:rsidR="002D5D72" w:rsidRPr="002D5D72" w:rsidRDefault="00E64123" w:rsidP="002D5D72">
      <w:pPr>
        <w:pStyle w:val="NormalHanging12a"/>
      </w:pPr>
      <w:r w:rsidRPr="005D3947">
        <w:t>2</w:t>
      </w:r>
      <w:r w:rsidR="004A4BB8" w:rsidRPr="005D3947">
        <w:t>8</w:t>
      </w:r>
      <w:r w:rsidRPr="005D3947">
        <w:t>.</w:t>
      </w:r>
      <w:r w:rsidRPr="005D3947">
        <w:tab/>
        <w:t>Europaparlamentet uppdrar åt talmannen att översända denna resolution till rådet och kommissionen.</w:t>
      </w:r>
    </w:p>
    <w:p w14:paraId="5FF657E7" w14:textId="684A3887" w:rsidR="00E365E1" w:rsidRPr="002D5D72" w:rsidRDefault="00E365E1" w:rsidP="007947F1"/>
    <w:sectPr w:rsidR="00E365E1" w:rsidRPr="002D5D72" w:rsidSect="002D5D7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2F087" w14:textId="77777777" w:rsidR="007947F1" w:rsidRPr="002D5D72" w:rsidRDefault="007947F1">
      <w:r w:rsidRPr="002D5D72">
        <w:separator/>
      </w:r>
    </w:p>
  </w:endnote>
  <w:endnote w:type="continuationSeparator" w:id="0">
    <w:p w14:paraId="2DEDF098" w14:textId="77777777" w:rsidR="007947F1" w:rsidRPr="002D5D72" w:rsidRDefault="007947F1">
      <w:r w:rsidRPr="002D5D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55A0" w14:textId="77777777" w:rsidR="00064002" w:rsidRPr="002D5D7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B4A3" w14:textId="77777777" w:rsidR="00064002" w:rsidRPr="002D5D7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BEE44" w14:textId="77777777" w:rsidR="00064002" w:rsidRPr="002D5D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DE739" w14:textId="77777777" w:rsidR="007947F1" w:rsidRPr="002D5D72" w:rsidRDefault="007947F1">
      <w:r w:rsidRPr="002D5D72">
        <w:separator/>
      </w:r>
    </w:p>
  </w:footnote>
  <w:footnote w:type="continuationSeparator" w:id="0">
    <w:p w14:paraId="55F9782D" w14:textId="77777777" w:rsidR="007947F1" w:rsidRPr="002D5D72" w:rsidRDefault="007947F1">
      <w:r w:rsidRPr="002D5D72">
        <w:continuationSeparator/>
      </w:r>
    </w:p>
  </w:footnote>
  <w:footnote w:id="1">
    <w:p w14:paraId="0DD018AE" w14:textId="6DB6E39C" w:rsidR="005611D3" w:rsidRPr="002D5D72" w:rsidRDefault="005611D3" w:rsidP="002D5D72">
      <w:pPr>
        <w:pStyle w:val="FootnoteText"/>
        <w:ind w:left="567" w:hanging="567"/>
        <w:rPr>
          <w:sz w:val="24"/>
          <w:lang w:val="sv-SE"/>
        </w:rPr>
      </w:pPr>
      <w:r>
        <w:rPr>
          <w:rStyle w:val="FootnoteReference"/>
        </w:rPr>
        <w:footnoteRef/>
      </w:r>
      <w:r w:rsidRPr="002D5D72">
        <w:rPr>
          <w:sz w:val="24"/>
          <w:lang w:val="sv-SE"/>
        </w:rPr>
        <w:t xml:space="preserve"> </w:t>
      </w:r>
      <w:r w:rsidRPr="002D5D72">
        <w:rPr>
          <w:sz w:val="24"/>
          <w:lang w:val="sv-SE"/>
        </w:rPr>
        <w:tab/>
        <w:t>Internationella valutafonden, ”</w:t>
      </w:r>
      <w:proofErr w:type="spellStart"/>
      <w:r w:rsidRPr="002D5D72">
        <w:rPr>
          <w:sz w:val="24"/>
          <w:lang w:val="sv-SE"/>
        </w:rPr>
        <w:t>Stablecoins</w:t>
      </w:r>
      <w:proofErr w:type="spellEnd"/>
      <w:r w:rsidRPr="002D5D72">
        <w:rPr>
          <w:sz w:val="24"/>
          <w:lang w:val="sv-SE"/>
        </w:rPr>
        <w:t xml:space="preserve"> and the </w:t>
      </w:r>
      <w:proofErr w:type="spellStart"/>
      <w:r w:rsidRPr="002D5D72">
        <w:rPr>
          <w:sz w:val="24"/>
          <w:lang w:val="sv-SE"/>
        </w:rPr>
        <w:t>future</w:t>
      </w:r>
      <w:proofErr w:type="spellEnd"/>
      <w:r w:rsidRPr="002D5D72">
        <w:rPr>
          <w:sz w:val="24"/>
          <w:lang w:val="sv-SE"/>
        </w:rPr>
        <w:t xml:space="preserve"> </w:t>
      </w:r>
      <w:proofErr w:type="spellStart"/>
      <w:r w:rsidRPr="002D5D72">
        <w:rPr>
          <w:sz w:val="24"/>
          <w:lang w:val="sv-SE"/>
        </w:rPr>
        <w:t>of</w:t>
      </w:r>
      <w:proofErr w:type="spellEnd"/>
      <w:r w:rsidRPr="002D5D72">
        <w:rPr>
          <w:sz w:val="24"/>
          <w:lang w:val="sv-SE"/>
        </w:rPr>
        <w:t xml:space="preserve"> </w:t>
      </w:r>
      <w:proofErr w:type="spellStart"/>
      <w:r w:rsidRPr="002D5D72">
        <w:rPr>
          <w:sz w:val="24"/>
          <w:lang w:val="sv-SE"/>
        </w:rPr>
        <w:t>finance</w:t>
      </w:r>
      <w:proofErr w:type="spellEnd"/>
      <w:r w:rsidRPr="002D5D72">
        <w:rPr>
          <w:sz w:val="24"/>
          <w:lang w:val="sv-SE"/>
        </w:rPr>
        <w:t xml:space="preserve">” i </w:t>
      </w:r>
      <w:proofErr w:type="spellStart"/>
      <w:r w:rsidRPr="002D5D72">
        <w:rPr>
          <w:sz w:val="24"/>
          <w:lang w:val="sv-SE"/>
        </w:rPr>
        <w:t>Finance</w:t>
      </w:r>
      <w:proofErr w:type="spellEnd"/>
      <w:r w:rsidRPr="002D5D72">
        <w:rPr>
          <w:sz w:val="24"/>
          <w:lang w:val="sv-SE"/>
        </w:rPr>
        <w:t xml:space="preserve"> &amp; </w:t>
      </w:r>
      <w:proofErr w:type="spellStart"/>
      <w:r w:rsidRPr="002D5D72">
        <w:rPr>
          <w:sz w:val="24"/>
          <w:lang w:val="sv-SE"/>
        </w:rPr>
        <w:t>Development</w:t>
      </w:r>
      <w:proofErr w:type="spellEnd"/>
      <w:r w:rsidRPr="002D5D72">
        <w:rPr>
          <w:sz w:val="24"/>
          <w:lang w:val="sv-SE"/>
        </w:rPr>
        <w:t xml:space="preserve">, volym 62, utgåva 3, 3 september 2025, Internationella valutafonden, Washington, </w:t>
      </w:r>
      <w:hyperlink r:id="rId1" w:tgtFrame="https://doi.org/10.5089/9798400297649.022" w:history="1">
        <w:r w:rsidRPr="002D5D72">
          <w:rPr>
            <w:rStyle w:val="Hyperlink"/>
            <w:sz w:val="24"/>
            <w:lang w:val="sv-SE"/>
          </w:rPr>
          <w:t>https://doi.org/10.5089/9798400297649.022</w:t>
        </w:r>
      </w:hyperlink>
      <w:r w:rsidRPr="002D5D72">
        <w:rPr>
          <w:sz w:val="24"/>
          <w:lang w:val="sv-SE"/>
        </w:rPr>
        <w:t>.</w:t>
      </w:r>
    </w:p>
  </w:footnote>
  <w:footnote w:id="2">
    <w:p w14:paraId="109EA8B2" w14:textId="0A62115D" w:rsidR="005611D3" w:rsidRPr="00094B13" w:rsidRDefault="005611D3" w:rsidP="002D5D72">
      <w:pPr>
        <w:pStyle w:val="FootnoteText"/>
        <w:ind w:left="567" w:hanging="567"/>
        <w:rPr>
          <w:sz w:val="24"/>
          <w:lang w:val="en-GB"/>
        </w:rPr>
      </w:pPr>
      <w:r>
        <w:rPr>
          <w:rStyle w:val="FootnoteReference"/>
        </w:rPr>
        <w:footnoteRef/>
      </w:r>
      <w:r w:rsidRPr="00094B13">
        <w:rPr>
          <w:sz w:val="24"/>
          <w:lang w:val="en-GB"/>
        </w:rPr>
        <w:t xml:space="preserve"> </w:t>
      </w:r>
      <w:r w:rsidRPr="00094B13">
        <w:rPr>
          <w:sz w:val="24"/>
          <w:lang w:val="en-GB"/>
        </w:rPr>
        <w:tab/>
        <w:t>OECD Business and Finance Policy Papers, nr 75.</w:t>
      </w:r>
    </w:p>
  </w:footnote>
  <w:footnote w:id="3">
    <w:p w14:paraId="5031D353" w14:textId="7B6DCCAB" w:rsidR="005611D3" w:rsidRPr="002D5D72" w:rsidRDefault="005611D3" w:rsidP="002D5D72">
      <w:pPr>
        <w:pStyle w:val="FootnoteText"/>
        <w:ind w:left="567" w:hanging="567"/>
        <w:rPr>
          <w:sz w:val="24"/>
          <w:lang w:val="sv-SE"/>
        </w:rPr>
      </w:pPr>
      <w:r>
        <w:rPr>
          <w:rStyle w:val="FootnoteReference"/>
        </w:rPr>
        <w:footnoteRef/>
      </w:r>
      <w:r w:rsidRPr="002D5D72">
        <w:rPr>
          <w:sz w:val="24"/>
          <w:lang w:val="sv-SE"/>
        </w:rPr>
        <w:t xml:space="preserve"> </w:t>
      </w:r>
      <w:r w:rsidRPr="002D5D72">
        <w:rPr>
          <w:sz w:val="24"/>
          <w:lang w:val="sv-SE"/>
        </w:rPr>
        <w:tab/>
        <w:t xml:space="preserve">Europaparlamentets och rådets förordning (EU) 2022/858 av den 30 maj 2022 om en pilotordning för marknadsinfrastrukturer som baseras på teknik för distribuerade liggare och om ändring av förordningarna (EU) nr 600/2014 och (EU) nr 909/2014 samt direktiv 2014/65/EU (EUT L 151, 2.6.2022, s. 1, ELI: </w:t>
      </w:r>
      <w:hyperlink r:id="rId2" w:tgtFrame="http://data.europa.eu/eli/reg/2022/858/oj" w:history="1">
        <w:r w:rsidRPr="002D5D72">
          <w:rPr>
            <w:rStyle w:val="Hyperlink"/>
            <w:sz w:val="24"/>
            <w:lang w:val="sv-SE"/>
          </w:rPr>
          <w:t>http://data.europa.eu/eli/reg/2022/858/oj)</w:t>
        </w:r>
      </w:hyperlink>
      <w:r w:rsidRPr="002D5D72">
        <w:rPr>
          <w:sz w:val="24"/>
          <w:lang w:val="sv-SE"/>
        </w:rPr>
        <w:t>.</w:t>
      </w:r>
    </w:p>
  </w:footnote>
  <w:footnote w:id="4">
    <w:p w14:paraId="64F4D719" w14:textId="174AA0D5" w:rsidR="005611D3" w:rsidRPr="002D5D72" w:rsidRDefault="005611D3" w:rsidP="002D5D72">
      <w:pPr>
        <w:pStyle w:val="FootnoteText"/>
        <w:ind w:left="567" w:hanging="567"/>
        <w:rPr>
          <w:sz w:val="24"/>
          <w:lang w:val="sv-SE"/>
        </w:rPr>
      </w:pPr>
      <w:r>
        <w:rPr>
          <w:rStyle w:val="FootnoteReference"/>
        </w:rPr>
        <w:footnoteRef/>
      </w:r>
      <w:r w:rsidRPr="002D5D72">
        <w:rPr>
          <w:sz w:val="24"/>
          <w:lang w:val="sv-SE"/>
        </w:rPr>
        <w:t xml:space="preserve"> </w:t>
      </w:r>
      <w:r w:rsidRPr="002D5D72">
        <w:rPr>
          <w:sz w:val="24"/>
          <w:lang w:val="sv-SE"/>
        </w:rPr>
        <w:tab/>
        <w:t xml:space="preserve">Europaparlamentets och rådets förordning (EU) 2023/1114 av den 31 maj 2023 om marknader för kryptotillgångar och om ändring av förordningarna (EU) nr 1093/2010 och (EU) nr 1095/2010 samt direktiven 2013/36/EU och (EU) 2019/1937, EUT L 150, 9.6.2023, s. 40, ELI: </w:t>
      </w:r>
      <w:hyperlink r:id="rId3" w:tgtFrame="http://data.europa.eu/eli/reg/2023/1114/oj" w:history="1">
        <w:r w:rsidRPr="002D5D72">
          <w:rPr>
            <w:rStyle w:val="Hyperlink"/>
            <w:sz w:val="24"/>
            <w:lang w:val="sv-SE"/>
          </w:rPr>
          <w:t>http://data.europa.eu/eli/reg/2023/1114/oj</w:t>
        </w:r>
      </w:hyperlink>
      <w:r w:rsidRPr="002D5D72">
        <w:rPr>
          <w:sz w:val="24"/>
          <w:lang w:val="sv-SE"/>
        </w:rPr>
        <w:t>).</w:t>
      </w:r>
    </w:p>
  </w:footnote>
  <w:footnote w:id="5">
    <w:p w14:paraId="1905670F" w14:textId="25624731" w:rsidR="005611D3" w:rsidRPr="002D5D72" w:rsidRDefault="005611D3" w:rsidP="002D5D72">
      <w:pPr>
        <w:pStyle w:val="FootnoteText"/>
        <w:ind w:left="567" w:hanging="567"/>
        <w:rPr>
          <w:sz w:val="24"/>
          <w:lang w:val="sv-SE"/>
        </w:rPr>
      </w:pPr>
      <w:r>
        <w:rPr>
          <w:rStyle w:val="FootnoteReference"/>
        </w:rPr>
        <w:footnoteRef/>
      </w:r>
      <w:r w:rsidRPr="002D5D72">
        <w:rPr>
          <w:sz w:val="24"/>
          <w:lang w:val="sv-SE"/>
        </w:rPr>
        <w:t xml:space="preserve"> </w:t>
      </w:r>
      <w:r w:rsidRPr="002D5D72">
        <w:rPr>
          <w:sz w:val="24"/>
          <w:lang w:val="sv-SE"/>
        </w:rPr>
        <w:tab/>
        <w:t xml:space="preserve">Europaparlamentets och rådets förordning (EU) 2023/1113 av den 31 maj 2023 om uppgifter som ska åtfölja överföringar av medel och vissa kryptotillgångar och ändring av direktiv (EU) 2015/849 (EUT L 150, 9.6.2023, s. 1, ELI: </w:t>
      </w:r>
      <w:hyperlink r:id="rId4" w:tgtFrame="http://data.europa.eu/eli/reg/2023/1113/oj" w:history="1">
        <w:r w:rsidRPr="002D5D72">
          <w:rPr>
            <w:rStyle w:val="Hyperlink"/>
            <w:sz w:val="24"/>
            <w:lang w:val="sv-SE"/>
          </w:rPr>
          <w:t>http://data.europa.eu/eli/reg/2023/1113/oj</w:t>
        </w:r>
      </w:hyperlink>
      <w:r w:rsidRPr="002D5D72">
        <w:rPr>
          <w:sz w:val="24"/>
          <w:lang w:val="sv-SE"/>
        </w:rPr>
        <w:t>).</w:t>
      </w:r>
    </w:p>
  </w:footnote>
  <w:footnote w:id="6">
    <w:p w14:paraId="67FB7F64" w14:textId="44E6B371" w:rsidR="005611D3" w:rsidRPr="002D5D72" w:rsidRDefault="005611D3" w:rsidP="002D5D72">
      <w:pPr>
        <w:pStyle w:val="FootnoteText"/>
        <w:ind w:left="567" w:hanging="567"/>
        <w:rPr>
          <w:sz w:val="24"/>
          <w:lang w:val="sv-SE"/>
        </w:rPr>
      </w:pPr>
      <w:r>
        <w:rPr>
          <w:rStyle w:val="FootnoteReference"/>
        </w:rPr>
        <w:footnoteRef/>
      </w:r>
      <w:r w:rsidRPr="002D5D72">
        <w:rPr>
          <w:sz w:val="24"/>
          <w:lang w:val="sv-SE"/>
        </w:rPr>
        <w:t xml:space="preserve"> </w:t>
      </w:r>
      <w:r w:rsidRPr="002D5D72">
        <w:rPr>
          <w:sz w:val="24"/>
          <w:lang w:val="sv-SE"/>
        </w:rPr>
        <w:tab/>
        <w:t xml:space="preserve">Kommissionens förslag av den 28 juni 2023 till Europaparlamentets och rådets direktiv om betaltjänster och e-penningtjänster på den inre marknaden, om ändring av direktiv 98/26/EG och om upphävande av direktiven (EU) </w:t>
      </w:r>
      <w:r w:rsidR="007E3331">
        <w:rPr>
          <w:sz w:val="24"/>
          <w:lang w:val="sv-SE"/>
        </w:rPr>
        <w:t>2015</w:t>
      </w:r>
      <w:r w:rsidRPr="002D5D72">
        <w:rPr>
          <w:sz w:val="24"/>
          <w:lang w:val="sv-SE"/>
        </w:rPr>
        <w:t>/2366 och 2009/110/EG (COM(2023)0366).</w:t>
      </w:r>
    </w:p>
  </w:footnote>
  <w:footnote w:id="7">
    <w:p w14:paraId="66AEB74D" w14:textId="1811C7B9" w:rsidR="005611D3" w:rsidRPr="002D5D72" w:rsidRDefault="005611D3" w:rsidP="002D5D72">
      <w:pPr>
        <w:pStyle w:val="FootnoteText"/>
        <w:ind w:left="567" w:hanging="567"/>
        <w:rPr>
          <w:sz w:val="24"/>
          <w:lang w:val="sv-SE"/>
        </w:rPr>
      </w:pPr>
      <w:r>
        <w:rPr>
          <w:rStyle w:val="FootnoteReference"/>
        </w:rPr>
        <w:footnoteRef/>
      </w:r>
      <w:r w:rsidRPr="002D5D72">
        <w:rPr>
          <w:sz w:val="24"/>
          <w:lang w:val="sv-SE"/>
        </w:rPr>
        <w:t xml:space="preserve"> </w:t>
      </w:r>
      <w:r w:rsidRPr="002D5D72">
        <w:rPr>
          <w:sz w:val="24"/>
          <w:lang w:val="sv-SE"/>
        </w:rPr>
        <w:tab/>
        <w:t>Kommissionens förslag av den 28 juni 2023 till Europaparlamentets och rådets förordning om betaltjänster på den inre marknaden och om ändring av förordning (EU) nr 1093/</w:t>
      </w:r>
      <w:r w:rsidRPr="00094B13">
        <w:rPr>
          <w:sz w:val="24"/>
          <w:lang w:val="sv-SE"/>
        </w:rPr>
        <w:t>2010 (COM(2023)0367).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D0B93" w14:textId="77777777" w:rsidR="00064002" w:rsidRPr="002D5D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73CF" w14:textId="77777777" w:rsidR="00064002" w:rsidRPr="002D5D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3F8F" w14:textId="77777777" w:rsidR="00064002" w:rsidRPr="002D5D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1337272">
    <w:abstractNumId w:val="9"/>
  </w:num>
  <w:num w:numId="2" w16cid:durableId="426389742">
    <w:abstractNumId w:val="9"/>
  </w:num>
  <w:num w:numId="3" w16cid:durableId="1231381358">
    <w:abstractNumId w:val="7"/>
  </w:num>
  <w:num w:numId="4" w16cid:durableId="493835796">
    <w:abstractNumId w:val="7"/>
  </w:num>
  <w:num w:numId="5" w16cid:durableId="1075589410">
    <w:abstractNumId w:val="6"/>
  </w:num>
  <w:num w:numId="6" w16cid:durableId="1785030449">
    <w:abstractNumId w:val="6"/>
  </w:num>
  <w:num w:numId="7" w16cid:durableId="1377200558">
    <w:abstractNumId w:val="5"/>
  </w:num>
  <w:num w:numId="8" w16cid:durableId="1644308119">
    <w:abstractNumId w:val="5"/>
  </w:num>
  <w:num w:numId="9" w16cid:durableId="271472566">
    <w:abstractNumId w:val="4"/>
  </w:num>
  <w:num w:numId="10" w16cid:durableId="1262101395">
    <w:abstractNumId w:val="4"/>
  </w:num>
  <w:num w:numId="11" w16cid:durableId="43916587">
    <w:abstractNumId w:val="8"/>
  </w:num>
  <w:num w:numId="12" w16cid:durableId="1069230035">
    <w:abstractNumId w:val="8"/>
  </w:num>
  <w:num w:numId="13" w16cid:durableId="109280635">
    <w:abstractNumId w:val="3"/>
  </w:num>
  <w:num w:numId="14" w16cid:durableId="1410230514">
    <w:abstractNumId w:val="3"/>
  </w:num>
  <w:num w:numId="15" w16cid:durableId="1723019930">
    <w:abstractNumId w:val="2"/>
  </w:num>
  <w:num w:numId="16" w16cid:durableId="350422684">
    <w:abstractNumId w:val="2"/>
  </w:num>
  <w:num w:numId="17" w16cid:durableId="2250940">
    <w:abstractNumId w:val="1"/>
  </w:num>
  <w:num w:numId="18" w16cid:durableId="1977681733">
    <w:abstractNumId w:val="1"/>
  </w:num>
  <w:num w:numId="19" w16cid:durableId="456990921">
    <w:abstractNumId w:val="0"/>
  </w:num>
  <w:num w:numId="20" w16cid:durableId="551120098">
    <w:abstractNumId w:val="0"/>
  </w:num>
  <w:num w:numId="21" w16cid:durableId="130250356">
    <w:abstractNumId w:val="9"/>
  </w:num>
  <w:num w:numId="22" w16cid:durableId="1784692844">
    <w:abstractNumId w:val="7"/>
  </w:num>
  <w:num w:numId="23" w16cid:durableId="533661598">
    <w:abstractNumId w:val="6"/>
  </w:num>
  <w:num w:numId="24" w16cid:durableId="1548755910">
    <w:abstractNumId w:val="5"/>
  </w:num>
  <w:num w:numId="25" w16cid:durableId="759909984">
    <w:abstractNumId w:val="4"/>
  </w:num>
  <w:num w:numId="26" w16cid:durableId="4600178">
    <w:abstractNumId w:val="8"/>
  </w:num>
  <w:num w:numId="27" w16cid:durableId="163668352">
    <w:abstractNumId w:val="3"/>
  </w:num>
  <w:num w:numId="28" w16cid:durableId="724524107">
    <w:abstractNumId w:val="2"/>
  </w:num>
  <w:num w:numId="29" w16cid:durableId="567422395">
    <w:abstractNumId w:val="1"/>
  </w:num>
  <w:num w:numId="30" w16cid:durableId="1531798616">
    <w:abstractNumId w:val="0"/>
  </w:num>
  <w:num w:numId="31" w16cid:durableId="2147165077">
    <w:abstractNumId w:val="9"/>
  </w:num>
  <w:num w:numId="32" w16cid:durableId="96602554">
    <w:abstractNumId w:val="7"/>
  </w:num>
  <w:num w:numId="33" w16cid:durableId="253251375">
    <w:abstractNumId w:val="6"/>
  </w:num>
  <w:num w:numId="34" w16cid:durableId="1129934708">
    <w:abstractNumId w:val="5"/>
  </w:num>
  <w:num w:numId="35" w16cid:durableId="1987780940">
    <w:abstractNumId w:val="4"/>
  </w:num>
  <w:num w:numId="36" w16cid:durableId="2038117730">
    <w:abstractNumId w:val="8"/>
  </w:num>
  <w:num w:numId="37" w16cid:durableId="649600230">
    <w:abstractNumId w:val="3"/>
  </w:num>
  <w:num w:numId="38" w16cid:durableId="208028727">
    <w:abstractNumId w:val="2"/>
  </w:num>
  <w:num w:numId="39" w16cid:durableId="508060844">
    <w:abstractNumId w:val="1"/>
  </w:num>
  <w:num w:numId="40" w16cid:durableId="862978922">
    <w:abstractNumId w:val="0"/>
  </w:num>
  <w:num w:numId="41" w16cid:durableId="1407190453">
    <w:abstractNumId w:val="10"/>
  </w:num>
  <w:num w:numId="42" w16cid:durableId="1244295436">
    <w:abstractNumId w:val="10"/>
  </w:num>
  <w:num w:numId="43" w16cid:durableId="292101868">
    <w:abstractNumId w:val="10"/>
  </w:num>
  <w:num w:numId="44" w16cid:durableId="321213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SV"/>
    <w:docVar w:name="dvnumam" w:val="0"/>
    <w:docVar w:name="dvpe" w:val="784.381"/>
    <w:docVar w:name="dvrapporteur" w:val="Föredragande: "/>
    <w:docVar w:name="dvtitre" w:val="Europaparlamentets resolution av den xx xx 2026 om digitala tillgångar – utmaningar för konkurrenskraften och integriteten i Europeiska unionens finansiella system(2025/2208(INI))"/>
  </w:docVars>
  <w:rsids>
    <w:rsidRoot w:val="007947F1"/>
    <w:rsid w:val="00002272"/>
    <w:rsid w:val="00064002"/>
    <w:rsid w:val="000677B9"/>
    <w:rsid w:val="000831BA"/>
    <w:rsid w:val="00094B13"/>
    <w:rsid w:val="000A42CC"/>
    <w:rsid w:val="000E7DD9"/>
    <w:rsid w:val="0010095E"/>
    <w:rsid w:val="00125B37"/>
    <w:rsid w:val="00187494"/>
    <w:rsid w:val="001F32AE"/>
    <w:rsid w:val="002767FF"/>
    <w:rsid w:val="002B18FE"/>
    <w:rsid w:val="002B5493"/>
    <w:rsid w:val="002D5D72"/>
    <w:rsid w:val="00300AF1"/>
    <w:rsid w:val="00343214"/>
    <w:rsid w:val="00361C00"/>
    <w:rsid w:val="00395FA1"/>
    <w:rsid w:val="003E15D4"/>
    <w:rsid w:val="003E2C5F"/>
    <w:rsid w:val="00411CCE"/>
    <w:rsid w:val="0041666E"/>
    <w:rsid w:val="00421060"/>
    <w:rsid w:val="00471C19"/>
    <w:rsid w:val="004867E3"/>
    <w:rsid w:val="00494A28"/>
    <w:rsid w:val="004A4BB8"/>
    <w:rsid w:val="004C0004"/>
    <w:rsid w:val="004C5D52"/>
    <w:rsid w:val="0050519A"/>
    <w:rsid w:val="005072A1"/>
    <w:rsid w:val="00514517"/>
    <w:rsid w:val="00545827"/>
    <w:rsid w:val="00560270"/>
    <w:rsid w:val="005611D3"/>
    <w:rsid w:val="00584F0C"/>
    <w:rsid w:val="005C2568"/>
    <w:rsid w:val="005D3947"/>
    <w:rsid w:val="005D4A98"/>
    <w:rsid w:val="005F1B17"/>
    <w:rsid w:val="006037C0"/>
    <w:rsid w:val="006631B6"/>
    <w:rsid w:val="00680577"/>
    <w:rsid w:val="006F74FA"/>
    <w:rsid w:val="00731ADD"/>
    <w:rsid w:val="00734777"/>
    <w:rsid w:val="00747932"/>
    <w:rsid w:val="00751A4A"/>
    <w:rsid w:val="00756632"/>
    <w:rsid w:val="00762C74"/>
    <w:rsid w:val="00786EC0"/>
    <w:rsid w:val="007947F1"/>
    <w:rsid w:val="007D1690"/>
    <w:rsid w:val="007E22AD"/>
    <w:rsid w:val="007E3331"/>
    <w:rsid w:val="00817416"/>
    <w:rsid w:val="00842779"/>
    <w:rsid w:val="00865F67"/>
    <w:rsid w:val="00881A7B"/>
    <w:rsid w:val="008840E5"/>
    <w:rsid w:val="00887B3E"/>
    <w:rsid w:val="008B16D4"/>
    <w:rsid w:val="008B7C0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F8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6F0"/>
    <w:rsid w:val="00DA7FCD"/>
    <w:rsid w:val="00E365E1"/>
    <w:rsid w:val="00E4014B"/>
    <w:rsid w:val="00E64123"/>
    <w:rsid w:val="00E820A4"/>
    <w:rsid w:val="00EB006A"/>
    <w:rsid w:val="00EB4772"/>
    <w:rsid w:val="00ED169E"/>
    <w:rsid w:val="00ED4235"/>
    <w:rsid w:val="00F04346"/>
    <w:rsid w:val="00F075DC"/>
    <w:rsid w:val="00F149E9"/>
    <w:rsid w:val="00F3062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BB3CA3"/>
  <w15:chartTrackingRefBased/>
  <w15:docId w15:val="{4F727BB7-AE17-4D3A-B414-4D5D31E86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64123"/>
    <w:pPr>
      <w:widowControl/>
      <w:spacing w:after="240"/>
    </w:pPr>
    <w:rPr>
      <w:szCs w:val="24"/>
      <w:lang w:eastAsia="en-US"/>
    </w:rPr>
  </w:style>
  <w:style w:type="paragraph" w:customStyle="1" w:styleId="NormalHanging12a">
    <w:name w:val="NormalHanging12a"/>
    <w:basedOn w:val="Normal"/>
    <w:rsid w:val="00E64123"/>
    <w:pPr>
      <w:widowControl/>
      <w:spacing w:after="240"/>
      <w:ind w:left="566" w:hanging="566"/>
    </w:pPr>
    <w:rPr>
      <w:szCs w:val="24"/>
      <w:lang w:eastAsia="en-US"/>
    </w:rPr>
  </w:style>
  <w:style w:type="paragraph" w:customStyle="1" w:styleId="Normal12">
    <w:name w:val="Normal12"/>
    <w:basedOn w:val="Normal"/>
    <w:rsid w:val="00E64123"/>
    <w:pPr>
      <w:spacing w:after="240"/>
    </w:pPr>
    <w:rPr>
      <w:szCs w:val="24"/>
      <w:lang w:eastAsia="en-US"/>
    </w:rPr>
  </w:style>
  <w:style w:type="paragraph" w:customStyle="1" w:styleId="NormalHanging">
    <w:name w:val="NormalHanging"/>
    <w:basedOn w:val="Normal"/>
    <w:rsid w:val="00E64123"/>
    <w:pPr>
      <w:spacing w:after="240"/>
      <w:ind w:left="566" w:hanging="566"/>
    </w:pPr>
    <w:rPr>
      <w:szCs w:val="24"/>
      <w:lang w:eastAsia="en-US"/>
    </w:rPr>
  </w:style>
  <w:style w:type="paragraph" w:customStyle="1" w:styleId="NormalCenter12a">
    <w:name w:val="NormalCenter12a"/>
    <w:basedOn w:val="Normal"/>
    <w:rsid w:val="00E64123"/>
    <w:pPr>
      <w:widowControl/>
      <w:spacing w:after="240"/>
      <w:jc w:val="center"/>
    </w:pPr>
    <w:rPr>
      <w:szCs w:val="24"/>
      <w:lang w:eastAsia="en-US"/>
    </w:rPr>
  </w:style>
  <w:style w:type="character" w:styleId="Hyperlink">
    <w:name w:val="Hyperlink"/>
    <w:basedOn w:val="DefaultParagraphFont"/>
    <w:rsid w:val="00E64123"/>
    <w:rPr>
      <w:color w:val="0000FF"/>
      <w:u w:val="single"/>
    </w:rPr>
  </w:style>
  <w:style w:type="paragraph" w:styleId="Revision">
    <w:name w:val="Revision"/>
    <w:hidden/>
    <w:uiPriority w:val="99"/>
    <w:semiHidden/>
    <w:rsid w:val="005611D3"/>
    <w:rPr>
      <w:sz w:val="24"/>
      <w:lang w:val="sv-SE"/>
    </w:rPr>
  </w:style>
  <w:style w:type="character" w:styleId="CommentReference">
    <w:name w:val="annotation reference"/>
    <w:basedOn w:val="DefaultParagraphFont"/>
    <w:rsid w:val="007E3331"/>
    <w:rPr>
      <w:sz w:val="16"/>
      <w:szCs w:val="16"/>
    </w:rPr>
  </w:style>
  <w:style w:type="paragraph" w:styleId="CommentText">
    <w:name w:val="annotation text"/>
    <w:basedOn w:val="Normal"/>
    <w:link w:val="CommentTextChar"/>
    <w:rsid w:val="007E3331"/>
    <w:rPr>
      <w:sz w:val="20"/>
    </w:rPr>
  </w:style>
  <w:style w:type="character" w:customStyle="1" w:styleId="CommentTextChar">
    <w:name w:val="Comment Text Char"/>
    <w:basedOn w:val="DefaultParagraphFont"/>
    <w:link w:val="CommentText"/>
    <w:rsid w:val="007E3331"/>
    <w:rPr>
      <w:lang w:val="sv-SE"/>
    </w:rPr>
  </w:style>
  <w:style w:type="paragraph" w:styleId="CommentSubject">
    <w:name w:val="annotation subject"/>
    <w:basedOn w:val="CommentText"/>
    <w:next w:val="CommentText"/>
    <w:link w:val="CommentSubjectChar"/>
    <w:rsid w:val="007E3331"/>
    <w:rPr>
      <w:b/>
      <w:bCs/>
    </w:rPr>
  </w:style>
  <w:style w:type="character" w:customStyle="1" w:styleId="CommentSubjectChar">
    <w:name w:val="Comment Subject Char"/>
    <w:basedOn w:val="CommentTextChar"/>
    <w:link w:val="CommentSubject"/>
    <w:rsid w:val="007E3331"/>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2244</Words>
  <Characters>16122</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2026-07-07T13:13:00Z</dcterms:created>
  <dcterms:modified xsi:type="dcterms:W3CDTF">2026-07-07T13:13:00Z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A10-0186/2026</vt:lpwstr>
  </property>
  <property fmtid="{D5CDD505-2E9C-101B-9397-08002B2CF9AE}" pid="4" name="&lt;Type&gt;">
    <vt:lpwstr>RR</vt:lpwstr>
  </property>
</Properties>
</file>