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33E743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40A1" w:rsidP="0010095E" w14:paraId="17CE86A8" w14:textId="6684A1B8">
            <w:pPr>
              <w:pStyle w:val="EPName"/>
            </w:pPr>
            <w:r w:rsidRPr="005540A1">
              <w:t>Evropský parlament</w:t>
            </w:r>
          </w:p>
          <w:p w:rsidR="00751A4A" w:rsidRPr="005540A1" w:rsidP="005F1B17" w14:paraId="69109E1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40A1">
              <w:t>2024</w:t>
            </w:r>
            <w:r w:rsidRPr="005540A1" w:rsidR="00817416">
              <w:t>-202</w:t>
            </w:r>
            <w:r w:rsidRPr="005540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540A1" w:rsidP="0010095E" w14:paraId="3D8DC800" w14:textId="77777777">
            <w:pPr>
              <w:pStyle w:val="EPLogo"/>
            </w:pPr>
            <w:r w:rsidRPr="005540A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40A1" w:rsidP="004C5D52" w14:paraId="0DFCBE51" w14:textId="77777777">
      <w:pPr>
        <w:pStyle w:val="LineTop"/>
      </w:pPr>
    </w:p>
    <w:p w:rsidR="00680577" w:rsidRPr="005540A1" w:rsidP="00680577" w14:paraId="341DF196" w14:textId="0330B57B">
      <w:pPr>
        <w:pStyle w:val="EPBodyTA1"/>
      </w:pPr>
      <w:r w:rsidRPr="005540A1">
        <w:t>PŘIJATÉ TEXTY</w:t>
      </w:r>
    </w:p>
    <w:p w:rsidR="00D058B8" w:rsidRPr="005540A1" w:rsidP="00D058B8" w14:paraId="7BC9CEE5" w14:textId="77777777">
      <w:pPr>
        <w:pStyle w:val="LineBottom"/>
      </w:pPr>
    </w:p>
    <w:p w:rsidR="00EC1F6D" w:rsidRPr="005540A1" w:rsidP="00EC1F6D" w14:paraId="05F2D96B" w14:textId="7428E412">
      <w:pPr>
        <w:pStyle w:val="ATHeading1"/>
      </w:pPr>
      <w:bookmarkStart w:id="0" w:name="TANumber"/>
      <w:r w:rsidRPr="005540A1">
        <w:t>P10_TA(2026)0</w:t>
      </w:r>
      <w:r w:rsidR="00C37CEF">
        <w:t>252</w:t>
      </w:r>
      <w:bookmarkEnd w:id="0"/>
    </w:p>
    <w:p w:rsidR="00EC1F6D" w:rsidRPr="005540A1" w:rsidP="00EC1F6D" w14:paraId="1B1DBDE0" w14:textId="02DDFE6F">
      <w:pPr>
        <w:pStyle w:val="ATHeading2"/>
      </w:pPr>
      <w:bookmarkStart w:id="1" w:name="title"/>
      <w:bookmarkStart w:id="2" w:name="_Hlk234250168"/>
      <w:r w:rsidRPr="00DE42CE">
        <w:t xml:space="preserve">Námitka </w:t>
      </w:r>
      <w:r>
        <w:t>vůči</w:t>
      </w:r>
      <w:r w:rsidRPr="00DE42CE">
        <w:t xml:space="preserve"> aktu v přenesené pravomoci:</w:t>
      </w:r>
      <w:r w:rsidRPr="005540A1">
        <w:t xml:space="preserve"> trajektorie postupného snížení příspěvku biopaliv, biokapalin a paliv z biomasy s vysokým rizikem nepřímé změny ve využívání půdy k cílům v oblasti energie z obnovitelných zdrojů</w:t>
      </w:r>
      <w:bookmarkEnd w:id="1"/>
    </w:p>
    <w:bookmarkEnd w:id="2"/>
    <w:p w:rsidR="00EC1F6D" w:rsidRPr="005540A1" w:rsidP="00EC1F6D" w14:paraId="3BD98DA8" w14:textId="77777777">
      <w:pPr>
        <w:rPr>
          <w:i/>
          <w:vanish/>
        </w:rPr>
      </w:pPr>
      <w:r>
        <w:rPr>
          <w:i/>
        </w:rPr>
        <w:fldChar w:fldCharType="begin"/>
      </w:r>
      <w:r w:rsidRPr="005540A1">
        <w:rPr>
          <w:i/>
        </w:rPr>
        <w:instrText xml:space="preserve"> TC"(</w:instrText>
      </w:r>
      <w:bookmarkStart w:id="3" w:name="DocNumber"/>
      <w:r w:rsidRPr="005540A1">
        <w:rPr>
          <w:i/>
        </w:rPr>
        <w:instrText>B10-0337/2026</w:instrText>
      </w:r>
      <w:bookmarkEnd w:id="3"/>
      <w:r w:rsidRPr="005540A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C1F6D" w:rsidRPr="005540A1" w:rsidP="00EC1F6D" w14:paraId="4460C224" w14:textId="77777777">
      <w:pPr>
        <w:rPr>
          <w:vanish/>
        </w:rPr>
      </w:pPr>
      <w:bookmarkStart w:id="4" w:name="PE"/>
      <w:r w:rsidRPr="005540A1">
        <w:rPr>
          <w:vanish/>
        </w:rPr>
        <w:t>PE789.919</w:t>
      </w:r>
      <w:bookmarkEnd w:id="4"/>
    </w:p>
    <w:p w:rsidR="00EC1F6D" w:rsidRPr="005540A1" w:rsidP="00A53F01" w14:paraId="47F9960B" w14:textId="36053E44">
      <w:pPr>
        <w:pStyle w:val="ATHeading3"/>
      </w:pPr>
      <w:bookmarkStart w:id="5" w:name="Sujet"/>
      <w:r w:rsidRPr="005540A1">
        <w:t>Usnesení Evropského parlamentu ze dne</w:t>
      </w:r>
      <w:r w:rsidR="00A53F01">
        <w:t xml:space="preserve"> </w:t>
      </w:r>
      <w:r w:rsidR="00DE42CE">
        <w:t>8</w:t>
      </w:r>
      <w:r w:rsidR="00A53F01">
        <w:t>. července</w:t>
      </w:r>
      <w:r w:rsidRPr="005540A1">
        <w:t xml:space="preserve"> 2026 o nařízení Komise v přenesené pravomoci ze dne 10. dubna 2026, kterým se mění nařízení Komise v přenesené pravomoci (EU) 2019/807 za účelem zavedení trajektorie postupného snížení příspěvku biopaliv, biokapalin a paliv z biomasy s vysokým rizikem nepřímé změny ve využívání půdy k cílům v oblasti energie z obnovitelných zdrojů</w:t>
      </w:r>
      <w:bookmarkEnd w:id="5"/>
      <w:r w:rsidRPr="005540A1">
        <w:t xml:space="preserve"> </w:t>
      </w:r>
      <w:bookmarkStart w:id="6" w:name="References"/>
      <w:r w:rsidRPr="005540A1">
        <w:t>(C(2026)</w:t>
      </w:r>
      <w:r w:rsidRPr="005540A1">
        <w:t>02306 – 2026</w:t>
      </w:r>
      <w:r w:rsidRPr="005540A1">
        <w:t>/2680(DEA))</w:t>
      </w:r>
      <w:bookmarkEnd w:id="6"/>
    </w:p>
    <w:p w:rsidR="001C4C90" w:rsidRPr="005540A1" w:rsidP="001C4C90" w14:paraId="0DDC7E8F" w14:textId="77777777">
      <w:pPr>
        <w:pStyle w:val="EPComma"/>
      </w:pPr>
      <w:bookmarkStart w:id="7" w:name="TextBodyBegin"/>
      <w:bookmarkEnd w:id="7"/>
      <w:r w:rsidRPr="005540A1">
        <w:rPr>
          <w:i/>
        </w:rPr>
        <w:t>Evropský parlament</w:t>
      </w:r>
      <w:r w:rsidRPr="005540A1">
        <w:t>,</w:t>
      </w:r>
    </w:p>
    <w:p w:rsidR="001C4C90" w:rsidRPr="005540A1" w:rsidP="001C4C90" w14:paraId="5EEFEE2B" w14:textId="77777777">
      <w:pPr>
        <w:pStyle w:val="NormalHanging12a"/>
      </w:pPr>
      <w:r w:rsidRPr="005540A1">
        <w:t>–</w:t>
      </w:r>
      <w:r w:rsidRPr="005540A1">
        <w:tab/>
        <w:t>s ohledem na nařízení Komise v přenesené pravomoci (C(2026)02306),</w:t>
      </w:r>
    </w:p>
    <w:p w:rsidR="001C4C90" w:rsidRPr="005540A1" w:rsidP="001C4C90" w14:paraId="3590C6A2" w14:textId="77777777">
      <w:pPr>
        <w:pStyle w:val="NormalHanging12a"/>
      </w:pPr>
      <w:r w:rsidRPr="005540A1">
        <w:t>–</w:t>
      </w:r>
      <w:r w:rsidRPr="005540A1">
        <w:tab/>
        <w:t>s ohledem na článek 290 Smlouvy o fungování Evropské unie,</w:t>
      </w:r>
    </w:p>
    <w:p w:rsidR="001C4C90" w:rsidRPr="005540A1" w:rsidP="001C4C90" w14:paraId="0E20F49E" w14:textId="77777777">
      <w:pPr>
        <w:pStyle w:val="NormalHanging12a"/>
      </w:pPr>
      <w:r w:rsidRPr="005540A1">
        <w:t>–</w:t>
      </w:r>
      <w:r w:rsidRPr="005540A1">
        <w:tab/>
        <w:t xml:space="preserve">s ohledem na směrnici Evropského parlamentu a Rady </w:t>
      </w:r>
      <w:bookmarkStart w:id="8" w:name="_Hlk233819068"/>
      <w:r w:rsidRPr="005540A1">
        <w:t xml:space="preserve">(EU) 2018/2001 </w:t>
      </w:r>
      <w:bookmarkEnd w:id="8"/>
      <w:r w:rsidRPr="005540A1">
        <w:t xml:space="preserve">ze dne 11. prosince 2018 </w:t>
      </w:r>
      <w:bookmarkStart w:id="9" w:name="_Hlk233819121"/>
      <w:r w:rsidRPr="005540A1">
        <w:t>o podpoře využívání energie z obnovitelných zdrojů</w:t>
      </w:r>
      <w:r>
        <w:rPr>
          <w:rStyle w:val="FootnoteReference"/>
        </w:rPr>
        <w:footnoteReference w:id="2"/>
      </w:r>
      <w:r w:rsidRPr="005540A1">
        <w:t>, a zejména na čl. 26 odst. 2 pátý pododstavec a čl. 35 odst. 7 uvedené směrnice</w:t>
      </w:r>
      <w:bookmarkEnd w:id="9"/>
      <w:r w:rsidRPr="005540A1">
        <w:t>,</w:t>
      </w:r>
    </w:p>
    <w:p w:rsidR="001C4C90" w:rsidRPr="005540A1" w:rsidP="001C4C90" w14:paraId="21551AFB" w14:textId="77777777">
      <w:pPr>
        <w:pStyle w:val="NormalHanging12a"/>
      </w:pPr>
      <w:r w:rsidRPr="005540A1">
        <w:t>–</w:t>
      </w:r>
      <w:r w:rsidRPr="005540A1">
        <w:tab/>
        <w:t>s ohledem na nařízení Komise v přenesené pravomoci (EU) 2019/807 ze dne 13. března 2019, kterým se doplňuje směrnice Evropského parlamentu a Rady (EU) 2018/2001, pokud jde o stanovení surovin s vysokým rizikem nepřímé změny ve využívání půdy, u nichž je zjištěno značné rozšíření oblasti produkce na půdu s velkou zásobou uhlíku, a o certifikaci biopaliv, biokapalin a paliv z biomasy s nízkým rizikem nepřímé změny ve využívání půdy</w:t>
      </w:r>
      <w:r>
        <w:rPr>
          <w:rStyle w:val="FootnoteReference"/>
        </w:rPr>
        <w:footnoteReference w:id="3"/>
      </w:r>
      <w:r w:rsidRPr="005540A1">
        <w:t>,</w:t>
      </w:r>
    </w:p>
    <w:p w:rsidR="001C4C90" w:rsidP="001C4C90" w14:paraId="58F8D0E5" w14:textId="77777777">
      <w:pPr>
        <w:pStyle w:val="NormalHanging12a"/>
      </w:pPr>
      <w:r w:rsidRPr="005540A1">
        <w:t>–</w:t>
      </w:r>
      <w:r w:rsidRPr="005540A1">
        <w:tab/>
        <w:t>s ohledem na čl. 114 odst. 3 jednacího řádu,</w:t>
      </w:r>
    </w:p>
    <w:p w:rsidR="00032487" w:rsidRPr="005540A1" w:rsidP="001C4C90" w14:paraId="76D9C4E8" w14:textId="0027F2DB">
      <w:pPr>
        <w:pStyle w:val="NormalHanging12a"/>
      </w:pPr>
      <w:r w:rsidRPr="00032487">
        <w:t>–</w:t>
      </w:r>
      <w:r w:rsidRPr="00032487">
        <w:tab/>
        <w:t>s ohledem na návrh usnesení Výboru pro průmysl, výzkum a energetiku</w:t>
      </w:r>
      <w:r>
        <w:t>,</w:t>
      </w:r>
    </w:p>
    <w:p w:rsidR="001C4C90" w:rsidRPr="006607F5" w:rsidP="006607F5" w14:paraId="5C72C67E" w14:textId="1D9D60A6">
      <w:pPr>
        <w:pStyle w:val="NormalHanging12a"/>
      </w:pPr>
      <w:r w:rsidRPr="006607F5">
        <w:t>A.</w:t>
      </w:r>
      <w:r w:rsidRPr="006607F5">
        <w:tab/>
        <w:t xml:space="preserve">vzhledem k tomu, že směrnice (EU) 2018/2001 </w:t>
      </w:r>
      <w:r w:rsidRPr="006607F5" w:rsidR="006607F5">
        <w:t xml:space="preserve">zavádí rámec pro řešení rizika nepřímé </w:t>
      </w:r>
      <w:r w:rsidRPr="006607F5" w:rsidR="006607F5">
        <w:t>změny ve využívání půdy (</w:t>
      </w:r>
      <w:r w:rsidRPr="00786751" w:rsidR="006607F5">
        <w:rPr>
          <w:i/>
          <w:iCs/>
        </w:rPr>
        <w:t>indirect land-use change</w:t>
      </w:r>
      <w:r w:rsidRPr="006607F5" w:rsidR="006607F5">
        <w:t>, dále jen „ILUC“)</w:t>
      </w:r>
      <w:r w:rsidRPr="006607F5">
        <w:t xml:space="preserve">, </w:t>
      </w:r>
      <w:r w:rsidRPr="006607F5" w:rsidR="006607F5">
        <w:t xml:space="preserve">podle něhož mohou být vstupní suroviny klasifikovány jako suroviny s vysokým rizikem ILUC, </w:t>
      </w:r>
      <w:r w:rsidRPr="006607F5">
        <w:t xml:space="preserve">aby </w:t>
      </w:r>
      <w:r w:rsidRPr="00786751" w:rsidR="006607F5">
        <w:t xml:space="preserve">se </w:t>
      </w:r>
      <w:r w:rsidRPr="006607F5" w:rsidR="006607F5">
        <w:t>zajistil</w:t>
      </w:r>
      <w:r w:rsidRPr="00786751" w:rsidR="006607F5">
        <w:t>o, že biopaliva zahrnutá do plnění tohoto cíle, budou skutečně přínosná</w:t>
      </w:r>
      <w:r w:rsidRPr="006607F5">
        <w:t>;</w:t>
      </w:r>
    </w:p>
    <w:p w:rsidR="001C4C90" w:rsidRPr="005540A1" w:rsidP="001C4C90" w14:paraId="3A35BFCB" w14:textId="72235F3E">
      <w:pPr>
        <w:pStyle w:val="NormalHanging12a"/>
      </w:pPr>
      <w:r w:rsidRPr="005540A1">
        <w:t>B.</w:t>
      </w:r>
      <w:r w:rsidRPr="005540A1">
        <w:tab/>
        <w:t>vzhledem k tomu, že nařízení Komise v přenesené pravomoci (EU) 2019/807 stanovilo metodiku pro určení vstupních surovin s vysokým rizikem ILUC, přičemž v článku 3 výslovně vyžaduje, aby posuzování surovin vycházelo z údajů „od roku 2008“, a stanovilo také 10% prahovou hodnotu rozšíření na půdu s velkou zásobou uhlíku, při jejímž překročení je vstupní surovina kvalifikována jako surovina s vysokým rizikem ILUC; vzhledem k tomu, že podle této metodiky a na základě uvedeného výchozího roku pozorování došla zpráva Komise z roku 2019 k závěru, že podíl rozšíření sóji na půdu s velkou zásobou uhlíku činí 8 %, což je pod platnou prahovou hodnotou a sója tedy nebyla klasifikována jako vstupní surovina s vysokým rizikem ILUC;</w:t>
      </w:r>
    </w:p>
    <w:p w:rsidR="001C4C90" w:rsidRPr="005540A1" w:rsidP="001C4C90" w14:paraId="3B0B976D" w14:textId="77777777">
      <w:pPr>
        <w:pStyle w:val="NormalHanging12a"/>
      </w:pPr>
      <w:r w:rsidRPr="005540A1">
        <w:t>C.</w:t>
      </w:r>
      <w:r w:rsidRPr="005540A1">
        <w:tab/>
        <w:t>vzhledem k tomu, že Indonésie a Malajsie podaly v rámci Světové obchodní organizace (WTO) stížnosti (DS593 a DS600), v nichž zpochybnily rámec Unie pro ILUC, konkrétně klasifikaci palmového oleje jako vysoce rizikového z hlediska ILUC a postup certifikace nízkého rizika ILUC; vzhledem k tomu, že panel WTO pro řešení sporů rozhodl v lednu 2025 obecně ve prospěch Unie, avšak odhalil některá konkrétní porušení předpisů, totiž skutečnost, že vědecké údaje nejsou včas aktualizovány, postup certifikace nízkého rizika ILUC trpí nedostatky a neprobíhá řádné informování o opatřeních; vzhledem k tomu, že panel kritizoval chyby Unie týkající se procesů, nikoli jejích rozhodnutí o tom, které plodiny klasifikovat jako plodiny s vysokým rizikem ILUC;</w:t>
      </w:r>
    </w:p>
    <w:p w:rsidR="001C4C90" w:rsidRPr="005540A1" w:rsidP="001C4C90" w14:paraId="46BD11C8" w14:textId="77777777">
      <w:pPr>
        <w:pStyle w:val="NormalHanging12a"/>
      </w:pPr>
      <w:r w:rsidRPr="005540A1">
        <w:t>D.</w:t>
      </w:r>
      <w:r w:rsidRPr="005540A1">
        <w:tab/>
        <w:t>vzhledem k tomu, že akt v přenesené pravomoci připojuje sójové boby na základě aktualizovaných vědeckých údajů na seznam plodin s vysokým rizikem ILUC, na němž figuruje i palmový olej, což znamená, že bionafta na bázi sóji bude do roku 2030 postupně zcela vyřazena ze surovin započítávaných do plnění cílů EU v oblasti energie z obnovitelných zdrojů;</w:t>
      </w:r>
    </w:p>
    <w:p w:rsidR="001C4C90" w:rsidRPr="005540A1" w:rsidP="001C4C90" w14:paraId="5E5FEFAF" w14:textId="77777777">
      <w:pPr>
        <w:pStyle w:val="NormalHanging12a"/>
      </w:pPr>
      <w:r w:rsidRPr="005540A1">
        <w:t>E.</w:t>
      </w:r>
      <w:r w:rsidRPr="005540A1">
        <w:tab/>
        <w:t>vzhledem k tomu, že Parlament nemá námitky proti trajektorii postupného upouštění od palmového oleje, jehož klasifikace jako plodiny s vysokým rizikem ILUC je vědecky podložená a nesporná, ani proti nápravě nedostatků v postupu certifikace nízkého rizika ILUC, přičemž oba tyto kroky jsou vhodnou reakcí na rozhodnutí panelu WTO a měly by být zachovány v každém revidovaném aktu v přenesené pravomoci;</w:t>
      </w:r>
    </w:p>
    <w:p w:rsidR="001C4C90" w:rsidRPr="005540A1" w:rsidP="001C4C90" w14:paraId="217AF819" w14:textId="77777777">
      <w:pPr>
        <w:pStyle w:val="NormalHanging12a"/>
      </w:pPr>
      <w:r w:rsidRPr="005540A1">
        <w:t>F.</w:t>
      </w:r>
      <w:r w:rsidRPr="005540A1">
        <w:tab/>
        <w:t>vzhledem k tomu, že klasifikace sójových bobů jako suroviny s vysokým rizikem ILUC v aktu v přenesené pravomoci vychází z aktualizovaných vědeckých údajů, které se liší od výchozího scénáře pozorování z roku 2008 uvedeného v článku 3 nařízení Komise v přenesené pravomoci (EU) 2019/807, neboť přesouvají období pozorování na rok 2014; vzhledem k tomu, že tato změna výchozího roku pozorování nebyla nařízena rozhodnutím panelu WTO, které se týkalo včasnosti aktualizací údajů, a nikoli výběru výchozího roku pozorování; vzhledem k tomu, že pokud by byl uplatňován původní výchozí rok pozorování, tj. 2008, jak vyžaduje stávající právní rámec, podíl rozšíření sójových bobů na půdu s velkou zásobou uhlíku by byl s největší pravděpodobností i nadále pod prahovou hodnotou 10 %, a sójové boby by proto nebyly považovány za vstupní surovinu s vysokým rizikem ILUC;</w:t>
      </w:r>
    </w:p>
    <w:p w:rsidR="001C4C90" w:rsidRPr="005540A1" w:rsidP="001C4C90" w14:paraId="058CA3AA" w14:textId="77777777">
      <w:pPr>
        <w:pStyle w:val="NormalHanging12a"/>
      </w:pPr>
      <w:r w:rsidRPr="005540A1">
        <w:t>G.</w:t>
      </w:r>
      <w:r w:rsidRPr="005540A1">
        <w:tab/>
        <w:t xml:space="preserve">vzhledem k tomu, že aktualizované vědecké údaje, z nichž klasifikace sóji vychází, nezohledňují postupy dvojí sklizně při pěstování sóji, kdy se sója pěstuje jako druhá </w:t>
      </w:r>
      <w:r w:rsidRPr="005540A1">
        <w:t>plodina na půdě, která byla v témže kalendářním roce již využita pro primární plodinu; vzhledem k tomu, že tento nedostatek v použité metodice nadhodnocuje rozšíření oblasti produkce sójových bobů a následně tedy i nepřiměřeně zvyšuje počítaný podíl rozšíření sójových bobů na půdu s velkou zásobou uhlíku;</w:t>
      </w:r>
    </w:p>
    <w:p w:rsidR="001C4C90" w:rsidRPr="005540A1" w:rsidP="001C4C90" w14:paraId="6D4E7B85" w14:textId="4450B1C1">
      <w:pPr>
        <w:pStyle w:val="NormalHanging12a"/>
      </w:pPr>
      <w:r>
        <w:t>H</w:t>
      </w:r>
      <w:r w:rsidRPr="005540A1">
        <w:t>.</w:t>
      </w:r>
      <w:r w:rsidRPr="005540A1">
        <w:tab/>
        <w:t>vzhledem k tomu, že riziko ILUC spojené s pěstováním sójových bobů se z geografického hlediska týká zejména jihoamerické produkce; vzhledem k tomu, že pěstování sójových bobů v Unii nevede k odlesňování nebo přeměně půdy, tedy k problémům, které má řešit rámec pro ILUC; vzhledem k tomu, že Komise neposkytla žádné důkazy o tom, že pěstování sójových bobů v Unii způsobuje nepřímou změnu ve využívání půdy; vzhledem k neexistenci takových důkazů postrádá klasifikace sóji produkované v Unii jako plodiny s vysokým rizikem ILUC potřebný vědecký základ;</w:t>
      </w:r>
      <w:r w:rsidRPr="005540A1">
        <w:rPr>
          <w:b/>
        </w:rPr>
        <w:t xml:space="preserve"> </w:t>
      </w:r>
      <w:r w:rsidRPr="005540A1">
        <w:t>vzhledem k tomu, že uplatňování celosvětové a nerozlišující klasifikace vysokého rizika ILUC na sójové boby bez ohledu na jejich zeměpisný původ je nepřiměřené a producentům v Unii přináší taková klasifikace zátěž v důsledku emisí spojených se změnou ve využívání půdy, za které nenesou žádnou odpovědnost;</w:t>
      </w:r>
    </w:p>
    <w:p w:rsidR="001C4C90" w:rsidRPr="005540A1" w:rsidP="001C4C90" w14:paraId="76E59C51" w14:textId="7206FB0F">
      <w:pPr>
        <w:pStyle w:val="NormalHanging12a"/>
      </w:pPr>
      <w:r>
        <w:t>I</w:t>
      </w:r>
      <w:r w:rsidRPr="005540A1">
        <w:t>.</w:t>
      </w:r>
      <w:r w:rsidRPr="005540A1">
        <w:tab/>
      </w:r>
      <w:bookmarkStart w:id="12" w:name="_Hlk230337619"/>
      <w:r w:rsidRPr="005540A1">
        <w:t>vzhledem k tomu, že vize Komise pro zemědělství a produkci potravin zdůrazňuje potřebu vytvořit soběstačnější unijní systém produkce bílkovin; vzhledem k tomu, že Unie produkuje přibližně jen 6 % své spotřeby sójových bobů a je tedy silně závislá na dovozu; vzhledem k tomu, že účelem ohlášeného plánu EU v oblasti bílkovinných plodin a jeho deklarovaných cílů, jakož i cíle otevřené strategické autonomie je zejména zvýšení pěstování sójových bobů v Unii v zájmu snížení této závislosti; vzhledem k tomu, že trh s biopalivy je klíčovou ekonomickou hnací silou pěstování sójových bobů v Unii a sektoru drcení sóji v Unii; vzhledem k tomu, že pokud by byly sójové boby klasifikovány jako plodina s vysokým rizikem ILUC, pak by tato tržní pobídka zanikla a bylo by to rovněž v přímém rozporu jak s cíli plánu EU v oblasti bílkovinných plodin, tak s cíli strategické autonomie Unie;</w:t>
      </w:r>
      <w:bookmarkEnd w:id="12"/>
    </w:p>
    <w:p w:rsidR="001C4C90" w:rsidRPr="005540A1" w:rsidP="001C4C90" w14:paraId="61AACB21" w14:textId="10DA5FD2">
      <w:pPr>
        <w:pStyle w:val="NormalHanging12a"/>
      </w:pPr>
      <w:r>
        <w:t>J</w:t>
      </w:r>
      <w:r w:rsidRPr="005540A1">
        <w:t>.</w:t>
      </w:r>
      <w:r w:rsidRPr="005540A1">
        <w:tab/>
        <w:t>vzhledem k tomu, že při drcení sóji vzniká jednak sójový šrot, který je dominantním produktem a základním zdrojem bílkovin v krmivech, a jednak sójový olej, který vzniká přibližně jen z 20 % hmotnosti sójových semen a používá se mimo jiné jako vstupní surovina pro výrobu biopaliv; vzhledem k tomu, že hlavní ekonomickou motivací pro pěstování a zpracování sójových bobů je poptávka po sójovém šrotu pro krmiva, a nikoli použití sójového oleje v biopalivech; vzhledem k tomu, že zdůvodňování dynamické expanze pěstování sójových bobů především použitím sójového oleje v biopalivech tedy zkresluje hospodářskou realitu tohoto odvětví a zveličuje dopad ILUC spojený s bionaftou na bázi sóji; vzhledem k tomu, že devalvace sójového oleje v důsledku ztráty jeho odbytiště na trhu s biopalivy zhorší marže sektoru drcení sóji a sníží ekonomickou životaschopnost tohoto sektoru v Unii; vzhledem k tomu, že by to Unii přinutilo nahradit až 4,8 milionu tun sójového šrotu z domácí produkce dovozem ze třetích zemí, což by zvýšilo závislost na dovozu bílkovin, zdražilo náklady na krmiva a odsunulo průmyslovou činnost vytvářející určitou hodnotu mimo Unii; vzhledem k tomu, že hospodářské dopady na toto odvětví se odhadují na ztráty pro pěstitele sóji v Unii, které by činily přibližně 36 milionů EUR, ztráty pro unijní sektor drcení sóji ve výši 120 milionů EUR a ztráty pro odvětví výroby bionafty v Unii dosahující až 1,3 miliardy EUR;</w:t>
      </w:r>
    </w:p>
    <w:p w:rsidR="001C4C90" w:rsidRPr="005540A1" w:rsidP="001C4C90" w14:paraId="703FACFE" w14:textId="249AA806">
      <w:pPr>
        <w:pStyle w:val="NormalHanging12a"/>
      </w:pPr>
      <w:r>
        <w:t>K</w:t>
      </w:r>
      <w:r w:rsidRPr="005540A1">
        <w:t>.</w:t>
      </w:r>
      <w:r w:rsidRPr="005540A1">
        <w:tab/>
        <w:t xml:space="preserve">vzhledem k tomu, že sója je plodina, která váže dusík, snižuje závislost na chemických dusíkatých hnojivech a pozitivně ovlivňuje střídání plodin a zdraví půdy; vzhledem k tomu, že odrazováním zemědělců v EU od pěstování sójových bobů by se zvýšila </w:t>
      </w:r>
      <w:r w:rsidRPr="005540A1">
        <w:t>závislost Unie na dovážených chemických hnojivech, což je v rozporu s cíli Unie týkajících se odolnosti dodavatelského řetězce hnojiv, jejichž plnění nabylo v souvislosti s narušením dodávek po ruské invazi na Ukrajinu na naléhavosti;</w:t>
      </w:r>
    </w:p>
    <w:p w:rsidR="001C4C90" w:rsidRPr="005540A1" w:rsidP="001C4C90" w14:paraId="55DC7DB7" w14:textId="5C2CB283">
      <w:pPr>
        <w:pStyle w:val="NormalHanging12a"/>
      </w:pPr>
      <w:r>
        <w:t>L</w:t>
      </w:r>
      <w:r w:rsidRPr="005540A1">
        <w:t>.</w:t>
      </w:r>
      <w:r w:rsidRPr="005540A1">
        <w:tab/>
        <w:t>vzhledem k tomu, že Dohoda o čistém průmyslu vybízí ke konkurenceschopnému, dekarbonizovanému, průmyslovému hospodářství, které by se opíralo o širokou a diverzifikovanou škálu čistých paliv a vstupních surovin; vzhledem k tomu, že pokud se dostupná nabídka vstupních surovin pro biopaliva sníží tím, že z ní bude vyřazena sója, pak se zmenší dodavatelská základna Unie pro dekarbonizaci dopravy a zvýší kolísání cen a zranitelnost dodávek, tento krok navíc nebude v souladu s technologicky neutrálním přístupem založeným na bezpečnosti dodávek, který vyžadují cíle Unie v oblasti konkurenceschopnosti;</w:t>
      </w:r>
    </w:p>
    <w:p w:rsidR="001C4C90" w:rsidRPr="005540A1" w:rsidP="001C4C90" w14:paraId="06CFAF9F" w14:textId="39C93E9B">
      <w:pPr>
        <w:pStyle w:val="NormalHanging12a"/>
      </w:pPr>
      <w:r>
        <w:t>M</w:t>
      </w:r>
      <w:r w:rsidRPr="005540A1">
        <w:t>.</w:t>
      </w:r>
      <w:r w:rsidRPr="005540A1">
        <w:tab/>
        <w:t>vzhledem k tomu, že podle Kompasu konkurenceschopnosti patří snížení strategických závislostí a posílení průmyslové a zpracovatelské kapacity Unie k hlavním prioritám Unie; vzhledem k tomu, že klasifikace sójových bobů jako plodiny s vysokým rizikem ILUC nesnižuje, ale naopak zvyšuje strategickou závislost Unie jak v odvětví bílkovin, tak v odvětví biopaliv;</w:t>
      </w:r>
    </w:p>
    <w:p w:rsidR="001C4C90" w:rsidRPr="005540A1" w:rsidP="001C4C90" w14:paraId="68912DF1" w14:textId="77777777">
      <w:pPr>
        <w:pStyle w:val="NormalHanging12a"/>
      </w:pPr>
      <w:r w:rsidRPr="005540A1">
        <w:t>1.</w:t>
      </w:r>
      <w:r w:rsidRPr="005540A1">
        <w:tab/>
        <w:t>vyslovuje námitku vůči nařízení Komise v přenesené pravomoci;</w:t>
      </w:r>
    </w:p>
    <w:p w:rsidR="001C4C90" w:rsidRPr="005540A1" w:rsidP="001C4C90" w14:paraId="249C65D2" w14:textId="77777777">
      <w:pPr>
        <w:pStyle w:val="NormalHanging12a"/>
      </w:pPr>
      <w:r w:rsidRPr="005540A1">
        <w:t>2.</w:t>
      </w:r>
      <w:r w:rsidRPr="005540A1">
        <w:tab/>
        <w:t>pověřuje svou předsedkyni, aby toto usnesení předala Komisi a aby ji informovala, že nařízení v přenesené pravomoci nemůže vstoupit v platnost;</w:t>
      </w:r>
    </w:p>
    <w:p w:rsidR="001C4C90" w:rsidRPr="005540A1" w:rsidP="001C4C90" w14:paraId="1EFAF904" w14:textId="77777777">
      <w:pPr>
        <w:pStyle w:val="NormalHanging12a"/>
      </w:pPr>
      <w:r w:rsidRPr="005540A1">
        <w:t>3.</w:t>
      </w:r>
      <w:r w:rsidRPr="005540A1">
        <w:tab/>
        <w:t>vyzývá Komisi, aby bezodkladně předložila revidovaný akt v přenesené pravomoci, který zohlední následující doporučení:</w:t>
      </w:r>
    </w:p>
    <w:p w:rsidR="001C4C90" w:rsidRPr="005540A1" w:rsidP="00A53F01" w14:paraId="1D2FCC1F" w14:textId="77777777">
      <w:pPr>
        <w:pStyle w:val="NormalHanging12a"/>
        <w:ind w:left="1134"/>
      </w:pPr>
      <w:r w:rsidRPr="005540A1">
        <w:t>a)</w:t>
      </w:r>
      <w:r w:rsidRPr="005540A1">
        <w:tab/>
        <w:t>určení úrovně rizika ILUC spojeného se sójou by mělo vycházet z údajů pozorování „od roku 2008“, jak výslovně vyžaduje článek 3 nařízení Komise v přenesené pravomoci (EU) 2019/807, a klasifikace sóji jako plodiny s vysokým rizikem ILUC by měla být přezkoumána ve světle uvedené opravené metodiky; jestliže údaje z pozorování od roku 2008 prokážou, že podíl rozšíření sójových bobů na půdu s velkou zásobou uhlíku je nižší než prahová hodnota 10 %, kterou stanoví stávající rámec, sójové boby by v revidovaném aktu neměly být klasifikovány jako plodina s vysokým rizikem ILUC;</w:t>
      </w:r>
    </w:p>
    <w:p w:rsidR="001C4C90" w:rsidRPr="005540A1" w:rsidP="00A53F01" w14:paraId="4DB6878B" w14:textId="77777777">
      <w:pPr>
        <w:pStyle w:val="NormalHanging12a"/>
        <w:ind w:left="1134"/>
      </w:pPr>
      <w:r w:rsidRPr="005540A1">
        <w:t>b)</w:t>
      </w:r>
      <w:r w:rsidRPr="005540A1">
        <w:tab/>
        <w:t>metodika by měla být aktualizována tak, aby plně zohledňovala postupy dvojí sklizně uplatňované při pěstování sóji a aby rozšíření produkční plochy sójových bobů a počítaný podíl jejího rozšíření na půdu s velkou zásobou uhlíku přesně odrážely skutečnou dynamiku změn ve využívání půdy;</w:t>
      </w:r>
    </w:p>
    <w:p w:rsidR="001C4C90" w:rsidRPr="005540A1" w:rsidP="00A53F01" w14:paraId="775290D2" w14:textId="04E22182">
      <w:pPr>
        <w:pStyle w:val="NormalHanging12a"/>
        <w:ind w:left="1134"/>
      </w:pPr>
      <w:r>
        <w:t>c</w:t>
      </w:r>
      <w:r w:rsidRPr="005540A1">
        <w:t>)</w:t>
      </w:r>
      <w:r w:rsidRPr="005540A1">
        <w:tab/>
        <w:t>v případě sójových bobů produkovaných v Unii nebo ve třetích zemích s rovnocennými a ověřenými normami pro využívání půdy a monitorování odlesňování by mělo být stanoveno, že tyto sójové boby budou uznány jako plodina s nízkým rizikem ILUC a následně by měly být vyřazeny z trajektorie postupného snižování s odůvodněním, že produkce této plodiny nezpůsobuje změnu ve využívání půdy, kterou má rámec pro ILUC řešit;</w:t>
      </w:r>
    </w:p>
    <w:p w:rsidR="001C4C90" w:rsidRPr="005540A1" w:rsidP="00A53F01" w14:paraId="358ACE30" w14:textId="722C2AF3">
      <w:pPr>
        <w:pStyle w:val="NormalHanging12a"/>
        <w:ind w:left="1134"/>
      </w:pPr>
      <w:r>
        <w:t>d</w:t>
      </w:r>
      <w:r w:rsidRPr="005540A1">
        <w:t>)</w:t>
      </w:r>
      <w:r w:rsidRPr="005540A1">
        <w:tab/>
        <w:t xml:space="preserve">uvádí, že nemá námitky proti postupnému upouštění od biopaliv na bázi palmového oleje ani proti nápravě nedostatků v postupu certifikace nízkého rizika ILUC, což jsou vhodné a nezbytné reakce na rozhodnutí panelu WTO a měly by </w:t>
      </w:r>
      <w:r w:rsidRPr="005540A1">
        <w:t>být zachovány v každém dalším revidovaném aktu v přenesené pravomoci;</w:t>
      </w:r>
    </w:p>
    <w:p w:rsidR="005540A1" w:rsidRPr="005540A1" w:rsidP="005540A1" w14:paraId="2914D1B1" w14:textId="2B1B7679">
      <w:pPr>
        <w:pStyle w:val="NormalHanging12a"/>
      </w:pPr>
      <w:r w:rsidRPr="005540A1">
        <w:t>4.</w:t>
      </w:r>
      <w:r w:rsidRPr="005540A1">
        <w:tab/>
        <w:t>pověřuje svou předsedkyni, aby předala toto usnesení Radě, jakož i vládám a parlamentům členských států.</w:t>
      </w:r>
    </w:p>
    <w:p w:rsidR="00E365E1" w:rsidRPr="005540A1" w:rsidP="00EC1F6D" w14:paraId="483BFE30" w14:textId="68BCC616"/>
    <w:sectPr w:rsidSect="005540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40A1" w14:paraId="39830FC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40A1" w14:paraId="3FBC74B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40A1" w14:paraId="694F7F7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C1F6D" w:rsidRPr="005540A1" w14:paraId="00746296" w14:textId="77777777">
      <w:r w:rsidRPr="005540A1">
        <w:separator/>
      </w:r>
    </w:p>
  </w:footnote>
  <w:footnote w:type="continuationSeparator" w:id="1">
    <w:p w:rsidR="00EC1F6D" w:rsidRPr="005540A1" w14:paraId="151D49E0" w14:textId="77777777">
      <w:r w:rsidRPr="005540A1">
        <w:continuationSeparator/>
      </w:r>
    </w:p>
  </w:footnote>
  <w:footnote w:id="2">
    <w:p w:rsidR="001C4C90" w:rsidRPr="005540A1" w:rsidP="005540A1" w14:paraId="4718EFD0" w14:textId="6AA2A281">
      <w:pPr>
        <w:pStyle w:val="FootnoteText"/>
        <w:ind w:left="567" w:hanging="567"/>
        <w:rPr>
          <w:sz w:val="24"/>
          <w:lang w:val="cs-CZ"/>
        </w:rPr>
      </w:pPr>
      <w:r w:rsidRPr="005540A1">
        <w:rPr>
          <w:rStyle w:val="FootnoteReference"/>
          <w:sz w:val="24"/>
          <w:lang w:val="cs-CZ"/>
        </w:rPr>
        <w:footnoteRef/>
      </w:r>
      <w:r w:rsidRPr="005540A1" w:rsidR="005540A1">
        <w:rPr>
          <w:sz w:val="24"/>
          <w:lang w:val="cs-CZ"/>
        </w:rPr>
        <w:t xml:space="preserve"> </w:t>
      </w:r>
      <w:r w:rsidRPr="005540A1" w:rsidR="005540A1">
        <w:rPr>
          <w:sz w:val="24"/>
          <w:lang w:val="cs-CZ"/>
        </w:rPr>
        <w:tab/>
      </w:r>
      <w:r w:rsidR="00A53F01">
        <w:rPr>
          <w:sz w:val="24"/>
          <w:lang w:val="cs-CZ"/>
        </w:rPr>
        <w:t>Úř. věst.</w:t>
      </w:r>
      <w:r w:rsidRPr="005540A1">
        <w:rPr>
          <w:sz w:val="24"/>
          <w:lang w:val="cs-CZ"/>
        </w:rPr>
        <w:t xml:space="preserve"> L 328, 21.12.2018, </w:t>
      </w:r>
      <w:r w:rsidR="00A53F01">
        <w:rPr>
          <w:sz w:val="24"/>
          <w:lang w:val="cs-CZ"/>
        </w:rPr>
        <w:t>s</w:t>
      </w:r>
      <w:r w:rsidRPr="005540A1">
        <w:rPr>
          <w:sz w:val="24"/>
          <w:lang w:val="cs-CZ"/>
        </w:rPr>
        <w:t xml:space="preserve">. 82, ELI: </w:t>
      </w:r>
      <w:bookmarkStart w:id="10" w:name="_Hlk233195462"/>
      <w:hyperlink r:id="rId1" w:history="1">
        <w:r w:rsidRPr="005540A1">
          <w:rPr>
            <w:rStyle w:val="Hyperlink"/>
            <w:sz w:val="24"/>
            <w:lang w:val="cs-CZ"/>
          </w:rPr>
          <w:t>http://data.europa.eu/eli/dir/2018/2001/oj</w:t>
        </w:r>
        <w:bookmarkEnd w:id="10"/>
      </w:hyperlink>
      <w:r w:rsidRPr="005540A1">
        <w:rPr>
          <w:sz w:val="24"/>
          <w:lang w:val="cs-CZ"/>
        </w:rPr>
        <w:t>.</w:t>
      </w:r>
    </w:p>
  </w:footnote>
  <w:footnote w:id="3">
    <w:p w:rsidR="001C4C90" w:rsidRPr="005540A1" w:rsidP="005540A1" w14:paraId="22B4CDEA" w14:textId="6989C9EF">
      <w:pPr>
        <w:pStyle w:val="FootnoteText"/>
        <w:ind w:left="567" w:hanging="567"/>
        <w:rPr>
          <w:sz w:val="24"/>
          <w:lang w:val="cs-CZ"/>
        </w:rPr>
      </w:pPr>
      <w:r w:rsidRPr="005540A1">
        <w:rPr>
          <w:rStyle w:val="FootnoteReference"/>
          <w:sz w:val="24"/>
          <w:lang w:val="cs-CZ"/>
        </w:rPr>
        <w:footnoteRef/>
      </w:r>
      <w:r w:rsidRPr="005540A1" w:rsidR="005540A1">
        <w:rPr>
          <w:sz w:val="24"/>
          <w:lang w:val="cs-CZ"/>
        </w:rPr>
        <w:t xml:space="preserve"> </w:t>
      </w:r>
      <w:r w:rsidRPr="005540A1" w:rsidR="005540A1">
        <w:rPr>
          <w:sz w:val="24"/>
          <w:lang w:val="cs-CZ"/>
        </w:rPr>
        <w:tab/>
      </w:r>
      <w:r w:rsidRPr="005540A1">
        <w:rPr>
          <w:sz w:val="24"/>
          <w:lang w:val="cs-CZ"/>
        </w:rPr>
        <w:t xml:space="preserve">Úř. </w:t>
      </w:r>
      <w:r w:rsidR="00A53F01">
        <w:rPr>
          <w:sz w:val="24"/>
          <w:lang w:val="cs-CZ"/>
        </w:rPr>
        <w:t>v</w:t>
      </w:r>
      <w:r w:rsidRPr="005540A1">
        <w:rPr>
          <w:sz w:val="24"/>
          <w:lang w:val="cs-CZ"/>
        </w:rPr>
        <w:t xml:space="preserve">ěst. </w:t>
      </w:r>
      <w:bookmarkStart w:id="11" w:name="_Hlk233819155"/>
      <w:r w:rsidRPr="005540A1">
        <w:rPr>
          <w:sz w:val="24"/>
          <w:lang w:val="cs-CZ"/>
        </w:rPr>
        <w:t xml:space="preserve">L 133, 21.5.2019, s. 1, ELI: </w:t>
      </w:r>
      <w:hyperlink r:id="rId2" w:history="1">
        <w:r w:rsidRPr="005540A1">
          <w:rPr>
            <w:rStyle w:val="Hyperlink"/>
            <w:sz w:val="24"/>
            <w:lang w:val="cs-CZ"/>
          </w:rPr>
          <w:t>http://data.europa.eu/eli/reg_del/2019/807/oj</w:t>
        </w:r>
      </w:hyperlink>
      <w:r w:rsidRPr="005540A1">
        <w:rPr>
          <w:sz w:val="24"/>
          <w:lang w:val="cs-CZ"/>
        </w:rPr>
        <w:t>.</w:t>
      </w:r>
      <w:bookmarkEnd w:id="1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40A1" w14:paraId="142E0D2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40A1" w14:paraId="5C70AD1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40A1" w14:paraId="266CDA8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0353535">
    <w:abstractNumId w:val="9"/>
  </w:num>
  <w:num w:numId="2" w16cid:durableId="133958818">
    <w:abstractNumId w:val="9"/>
  </w:num>
  <w:num w:numId="3" w16cid:durableId="1290553610">
    <w:abstractNumId w:val="7"/>
  </w:num>
  <w:num w:numId="4" w16cid:durableId="1888567637">
    <w:abstractNumId w:val="7"/>
  </w:num>
  <w:num w:numId="5" w16cid:durableId="2139716167">
    <w:abstractNumId w:val="6"/>
  </w:num>
  <w:num w:numId="6" w16cid:durableId="853425235">
    <w:abstractNumId w:val="6"/>
  </w:num>
  <w:num w:numId="7" w16cid:durableId="230845449">
    <w:abstractNumId w:val="5"/>
  </w:num>
  <w:num w:numId="8" w16cid:durableId="364719085">
    <w:abstractNumId w:val="5"/>
  </w:num>
  <w:num w:numId="9" w16cid:durableId="2443392">
    <w:abstractNumId w:val="4"/>
  </w:num>
  <w:num w:numId="10" w16cid:durableId="1062797727">
    <w:abstractNumId w:val="4"/>
  </w:num>
  <w:num w:numId="11" w16cid:durableId="808673922">
    <w:abstractNumId w:val="8"/>
  </w:num>
  <w:num w:numId="12" w16cid:durableId="424689379">
    <w:abstractNumId w:val="8"/>
  </w:num>
  <w:num w:numId="13" w16cid:durableId="307325640">
    <w:abstractNumId w:val="3"/>
  </w:num>
  <w:num w:numId="14" w16cid:durableId="1450540511">
    <w:abstractNumId w:val="3"/>
  </w:num>
  <w:num w:numId="15" w16cid:durableId="1290434502">
    <w:abstractNumId w:val="2"/>
  </w:num>
  <w:num w:numId="16" w16cid:durableId="607742608">
    <w:abstractNumId w:val="2"/>
  </w:num>
  <w:num w:numId="17" w16cid:durableId="903567403">
    <w:abstractNumId w:val="1"/>
  </w:num>
  <w:num w:numId="18" w16cid:durableId="1231965615">
    <w:abstractNumId w:val="1"/>
  </w:num>
  <w:num w:numId="19" w16cid:durableId="1248222693">
    <w:abstractNumId w:val="0"/>
  </w:num>
  <w:num w:numId="20" w16cid:durableId="2066030004">
    <w:abstractNumId w:val="0"/>
  </w:num>
  <w:num w:numId="21" w16cid:durableId="195505721">
    <w:abstractNumId w:val="9"/>
  </w:num>
  <w:num w:numId="22" w16cid:durableId="1612467838">
    <w:abstractNumId w:val="7"/>
  </w:num>
  <w:num w:numId="23" w16cid:durableId="1421872650">
    <w:abstractNumId w:val="6"/>
  </w:num>
  <w:num w:numId="24" w16cid:durableId="1420373372">
    <w:abstractNumId w:val="5"/>
  </w:num>
  <w:num w:numId="25" w16cid:durableId="1761363706">
    <w:abstractNumId w:val="4"/>
  </w:num>
  <w:num w:numId="26" w16cid:durableId="1396397548">
    <w:abstractNumId w:val="8"/>
  </w:num>
  <w:num w:numId="27" w16cid:durableId="1999337818">
    <w:abstractNumId w:val="3"/>
  </w:num>
  <w:num w:numId="28" w16cid:durableId="1297686018">
    <w:abstractNumId w:val="2"/>
  </w:num>
  <w:num w:numId="29" w16cid:durableId="1137339000">
    <w:abstractNumId w:val="1"/>
  </w:num>
  <w:num w:numId="30" w16cid:durableId="1506284889">
    <w:abstractNumId w:val="0"/>
  </w:num>
  <w:num w:numId="31" w16cid:durableId="2139949633">
    <w:abstractNumId w:val="9"/>
  </w:num>
  <w:num w:numId="32" w16cid:durableId="1652831931">
    <w:abstractNumId w:val="7"/>
  </w:num>
  <w:num w:numId="33" w16cid:durableId="1277828018">
    <w:abstractNumId w:val="6"/>
  </w:num>
  <w:num w:numId="34" w16cid:durableId="294406528">
    <w:abstractNumId w:val="5"/>
  </w:num>
  <w:num w:numId="35" w16cid:durableId="907689041">
    <w:abstractNumId w:val="4"/>
  </w:num>
  <w:num w:numId="36" w16cid:durableId="2065332690">
    <w:abstractNumId w:val="8"/>
  </w:num>
  <w:num w:numId="37" w16cid:durableId="1346639359">
    <w:abstractNumId w:val="3"/>
  </w:num>
  <w:num w:numId="38" w16cid:durableId="921523752">
    <w:abstractNumId w:val="2"/>
  </w:num>
  <w:num w:numId="39" w16cid:durableId="2033526446">
    <w:abstractNumId w:val="1"/>
  </w:num>
  <w:num w:numId="40" w16cid:durableId="1699545375">
    <w:abstractNumId w:val="0"/>
  </w:num>
  <w:num w:numId="41" w16cid:durableId="1939174966">
    <w:abstractNumId w:val="10"/>
  </w:num>
  <w:num w:numId="42" w16cid:durableId="1099905665">
    <w:abstractNumId w:val="10"/>
  </w:num>
  <w:num w:numId="43" w16cid:durableId="1274946782">
    <w:abstractNumId w:val="10"/>
  </w:num>
  <w:num w:numId="44" w16cid:durableId="668217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6D"/>
    <w:rsid w:val="00002272"/>
    <w:rsid w:val="00032487"/>
    <w:rsid w:val="00064002"/>
    <w:rsid w:val="000677B9"/>
    <w:rsid w:val="000831BA"/>
    <w:rsid w:val="000A42CC"/>
    <w:rsid w:val="000E7DD9"/>
    <w:rsid w:val="0010095E"/>
    <w:rsid w:val="00125B37"/>
    <w:rsid w:val="00187494"/>
    <w:rsid w:val="001C4C9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2F6"/>
    <w:rsid w:val="004867E3"/>
    <w:rsid w:val="00494A28"/>
    <w:rsid w:val="004C0004"/>
    <w:rsid w:val="004C5D52"/>
    <w:rsid w:val="0050519A"/>
    <w:rsid w:val="005072A1"/>
    <w:rsid w:val="00514517"/>
    <w:rsid w:val="00545827"/>
    <w:rsid w:val="005540A1"/>
    <w:rsid w:val="00560270"/>
    <w:rsid w:val="005C2568"/>
    <w:rsid w:val="005F1B17"/>
    <w:rsid w:val="006037C0"/>
    <w:rsid w:val="006607F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75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486"/>
    <w:rsid w:val="009509D8"/>
    <w:rsid w:val="00950B64"/>
    <w:rsid w:val="0096784A"/>
    <w:rsid w:val="00981893"/>
    <w:rsid w:val="00A1687D"/>
    <w:rsid w:val="00A43E52"/>
    <w:rsid w:val="00A4678D"/>
    <w:rsid w:val="00A53F0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CEF"/>
    <w:rsid w:val="00C61C0C"/>
    <w:rsid w:val="00C941CB"/>
    <w:rsid w:val="00CC2357"/>
    <w:rsid w:val="00CF071A"/>
    <w:rsid w:val="00D058B8"/>
    <w:rsid w:val="00D56C11"/>
    <w:rsid w:val="00D81186"/>
    <w:rsid w:val="00D834A0"/>
    <w:rsid w:val="00D872DF"/>
    <w:rsid w:val="00D91E21"/>
    <w:rsid w:val="00DA7FCD"/>
    <w:rsid w:val="00DE42CE"/>
    <w:rsid w:val="00E365E1"/>
    <w:rsid w:val="00E820A4"/>
    <w:rsid w:val="00EB006A"/>
    <w:rsid w:val="00EB4772"/>
    <w:rsid w:val="00EC1F6D"/>
    <w:rsid w:val="00ED169E"/>
    <w:rsid w:val="00ED4235"/>
    <w:rsid w:val="00F04346"/>
    <w:rsid w:val="00F075DC"/>
    <w:rsid w:val="00F149E9"/>
    <w:rsid w:val="00F5134D"/>
    <w:rsid w:val="00F74202"/>
    <w:rsid w:val="00F87713"/>
    <w:rsid w:val="00F91625"/>
    <w:rsid w:val="00FB4360"/>
    <w:rsid w:val="00FD0C70"/>
  </w:rsids>
  <w:docVars>
    <w:docVar w:name="dvdocse" w:val="B10-0337/2026"/>
    <w:docVar w:name="dvlangue" w:val="CS"/>
    <w:docVar w:name="dvnumam" w:val="0"/>
    <w:docVar w:name="dvpe" w:val="789.919"/>
    <w:docVar w:name="dvtitre" w:val="Usnesení Evropského parlamentu ze dne.... 2026 o nařízení Komise v přenesené pravomoci ze dne 10. dubna 2026 , kterým se mění nařízení Komise v přenesené pravomoci (EU) 2019/807 za účelem zavedení trajektorie postupného snížení příspěvku biopaliv, biokapalin a paliv z biomasy s vysokým rizikem nepřímé změny ve využívání půdy k cílům v oblasti energie z obnovitelných zdrojů(C(2026)02306 – 2026/2680(DEA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D3216B"/>
  <w15:chartTrackingRefBased/>
  <w15:docId w15:val="{18A71E39-522C-47F9-9D3D-C5C9917C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4C90"/>
    <w:pPr>
      <w:spacing w:before="480" w:after="240"/>
    </w:pPr>
  </w:style>
  <w:style w:type="paragraph" w:customStyle="1" w:styleId="NormalHanging12a">
    <w:name w:val="NormalHanging12a"/>
    <w:basedOn w:val="Normal"/>
    <w:rsid w:val="001C4C90"/>
    <w:pPr>
      <w:spacing w:after="240"/>
      <w:ind w:left="567" w:hanging="567"/>
    </w:pPr>
  </w:style>
  <w:style w:type="character" w:styleId="Hyperlink">
    <w:name w:val="Hyperlink"/>
    <w:basedOn w:val="DefaultParagraphFont"/>
    <w:rsid w:val="001C4C9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3248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18/2001/oj" TargetMode="External" /><Relationship Id="rId2" Type="http://schemas.openxmlformats.org/officeDocument/2006/relationships/hyperlink" Target="http://data.europa.eu/eli/reg_del/2019/80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1870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2026-08-19T08:31:00Z</dcterms:created>
  <dcterms:modified xsi:type="dcterms:W3CDTF">2026-08-19T08:31:00Z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B10-0337/2026</vt:lpwstr>
  </property>
  <property fmtid="{D5CDD505-2E9C-101B-9397-08002B2CF9AE}" pid="4" name="&lt;Type&gt;">
    <vt:lpwstr>RR</vt:lpwstr>
  </property>
</Properties>
</file>