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2A4B0C4" w14:textId="77777777" w:rsidTr="0010095E">
        <w:tblPrEx>
          <w:tblW w:w="9072" w:type="dxa"/>
          <w:tblLook w:val="01E0"/>
        </w:tblPrEx>
        <w:trPr>
          <w:trHeight w:hRule="exact" w:val="1418"/>
        </w:trPr>
        <w:tc>
          <w:tcPr>
            <w:tcW w:w="6804" w:type="dxa"/>
            <w:shd w:val="clear" w:color="auto" w:fill="auto"/>
            <w:vAlign w:val="center"/>
          </w:tcPr>
          <w:p w:rsidR="00751A4A" w:rsidRPr="001625CF" w:rsidP="0010095E" w14:paraId="54EC8806" w14:textId="77777777">
            <w:pPr>
              <w:pStyle w:val="EPName"/>
            </w:pPr>
            <w:r w:rsidRPr="001625CF">
              <w:t>Europa-Parlamentet</w:t>
            </w:r>
          </w:p>
          <w:p w:rsidR="00751A4A" w:rsidRPr="001625CF" w:rsidP="005F1B17" w14:paraId="112B2B78" w14:textId="77777777">
            <w:pPr>
              <w:pStyle w:val="EPTerm"/>
              <w:rPr>
                <w:rStyle w:val="HideTWBExt"/>
                <w:noProof w:val="0"/>
                <w:vanish w:val="0"/>
                <w:color w:val="auto"/>
              </w:rPr>
            </w:pPr>
            <w:r w:rsidRPr="001625CF">
              <w:t>2024</w:t>
            </w:r>
            <w:r w:rsidRPr="001625CF" w:rsidR="00817416">
              <w:t>-202</w:t>
            </w:r>
            <w:r w:rsidRPr="001625CF">
              <w:t>9</w:t>
            </w:r>
          </w:p>
        </w:tc>
        <w:tc>
          <w:tcPr>
            <w:tcW w:w="2268" w:type="dxa"/>
            <w:shd w:val="clear" w:color="auto" w:fill="auto"/>
          </w:tcPr>
          <w:p w:rsidR="00751A4A" w:rsidRPr="001625CF" w:rsidP="0010095E" w14:paraId="402F538A" w14:textId="77777777">
            <w:pPr>
              <w:pStyle w:val="EPLogo"/>
            </w:pPr>
            <w:r w:rsidRPr="001625CF">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625CF" w:rsidP="004C5D52" w14:paraId="331E5507" w14:textId="77777777">
      <w:pPr>
        <w:pStyle w:val="LineTop"/>
      </w:pPr>
    </w:p>
    <w:p w:rsidR="00680577" w:rsidRPr="001625CF" w:rsidP="00680577" w14:paraId="2DB0B0E8" w14:textId="77777777">
      <w:pPr>
        <w:pStyle w:val="EPBodyTA1"/>
      </w:pPr>
      <w:r w:rsidRPr="001625CF">
        <w:t>VEDTAGNE TEKSTER</w:t>
      </w:r>
    </w:p>
    <w:p w:rsidR="00D058B8" w:rsidRPr="001625CF" w:rsidP="00D058B8" w14:paraId="6E7F7312" w14:textId="77777777">
      <w:pPr>
        <w:pStyle w:val="LineBottom"/>
      </w:pPr>
    </w:p>
    <w:p w:rsidR="00986B72" w:rsidRPr="001625CF" w:rsidP="00986B72" w14:paraId="2A6E5B9F" w14:textId="5E94A51D">
      <w:pPr>
        <w:pStyle w:val="ATHeading1"/>
      </w:pPr>
      <w:bookmarkStart w:id="0" w:name="TANumber"/>
      <w:r w:rsidRPr="001625CF">
        <w:t>P10_</w:t>
      </w:r>
      <w:r w:rsidRPr="001625CF">
        <w:t>TA(</w:t>
      </w:r>
      <w:r w:rsidRPr="001625CF">
        <w:t>2026)0</w:t>
      </w:r>
      <w:bookmarkEnd w:id="0"/>
      <w:r w:rsidR="00EB4F0F">
        <w:t>252</w:t>
      </w:r>
    </w:p>
    <w:p w:rsidR="00986B72" w:rsidRPr="001625CF" w:rsidP="00986B72" w14:paraId="66BDB3C2" w14:textId="6C19B246">
      <w:pPr>
        <w:pStyle w:val="ATHeading2"/>
      </w:pPr>
      <w:r w:rsidRPr="009F02E0">
        <w:t>Indsigelse mod en delegeret retsakt:</w:t>
      </w:r>
      <w:r>
        <w:t xml:space="preserve"> </w:t>
      </w:r>
      <w:r w:rsidRPr="001625CF">
        <w:t xml:space="preserve">udviklingsforløb </w:t>
      </w:r>
      <w:r>
        <w:t>for</w:t>
      </w:r>
      <w:r w:rsidRPr="001625CF">
        <w:t xml:space="preserve"> at mindske bidraget til målene for vedvarende energi fra biobrændstoffer, flydende biobrændsler og biomassebrændsler med høj risiko for indirekte ændringer i arealanvendelsen</w:t>
      </w:r>
    </w:p>
    <w:p w:rsidR="00986B72" w:rsidRPr="001625CF" w:rsidP="00986B72" w14:paraId="16A600E1" w14:textId="77777777">
      <w:pPr>
        <w:rPr>
          <w:i/>
          <w:vanish/>
        </w:rPr>
      </w:pPr>
      <w:r>
        <w:rPr>
          <w:i/>
        </w:rPr>
        <w:fldChar w:fldCharType="begin"/>
      </w:r>
      <w:r w:rsidRPr="001625CF">
        <w:rPr>
          <w:i/>
        </w:rPr>
        <w:instrText xml:space="preserve"> TC"(</w:instrText>
      </w:r>
      <w:bookmarkStart w:id="1" w:name="DocNumber"/>
      <w:r w:rsidRPr="001625CF">
        <w:rPr>
          <w:i/>
        </w:rPr>
        <w:instrText>B10-0337/2026</w:instrText>
      </w:r>
      <w:bookmarkEnd w:id="1"/>
      <w:r w:rsidRPr="001625CF">
        <w:rPr>
          <w:i/>
        </w:rPr>
        <w:instrText xml:space="preserve">)"\l3 \n&gt; \* MERGEFORMAT </w:instrText>
      </w:r>
      <w:r>
        <w:rPr>
          <w:i/>
        </w:rPr>
        <w:fldChar w:fldCharType="end"/>
      </w:r>
    </w:p>
    <w:p w:rsidR="00986B72" w:rsidRPr="001625CF" w:rsidP="00986B72" w14:paraId="797C84B0" w14:textId="77777777">
      <w:pPr>
        <w:rPr>
          <w:vanish/>
        </w:rPr>
      </w:pPr>
      <w:bookmarkStart w:id="2" w:name="PE"/>
      <w:r w:rsidRPr="001625CF">
        <w:rPr>
          <w:vanish/>
        </w:rPr>
        <w:t>PE789.919</w:t>
      </w:r>
      <w:bookmarkEnd w:id="2"/>
    </w:p>
    <w:p w:rsidR="00986B72" w:rsidRPr="001625CF" w:rsidP="00986B72" w14:paraId="38FB42AF" w14:textId="56F6BAAD">
      <w:pPr>
        <w:pStyle w:val="ATHeading3"/>
      </w:pPr>
      <w:bookmarkStart w:id="3" w:name="Sujet"/>
      <w:r w:rsidRPr="001625CF">
        <w:t xml:space="preserve">Europa-Parlamentets beslutning af </w:t>
      </w:r>
      <w:r w:rsidR="002E375C">
        <w:t>8. juli</w:t>
      </w:r>
      <w:r w:rsidRPr="001625CF">
        <w:t xml:space="preserve"> 2026 om Kommissionens delegerede forordning af 10. april 2026 om ændring af Kommissionens delegerede forordning (EU) 2019/807 for at indføre et udviklingsforløb med henblik på gradvis at mindske bidraget til målene for vedvarende energi fra biobrændstoffer, flydende biobrændsler og biomassebrændsler med høj risiko for indirekte ændringer i arealanvendelsen</w:t>
      </w:r>
      <w:bookmarkEnd w:id="3"/>
      <w:r w:rsidRPr="001625CF">
        <w:t xml:space="preserve"> </w:t>
      </w:r>
      <w:bookmarkStart w:id="4" w:name="References"/>
      <w:r w:rsidRPr="001625CF">
        <w:t>(</w:t>
      </w:r>
      <w:r w:rsidRPr="001625CF">
        <w:t>C(</w:t>
      </w:r>
      <w:r w:rsidRPr="001625CF">
        <w:t>2026)02306) – 2026/2680(DEA))</w:t>
      </w:r>
      <w:bookmarkEnd w:id="4"/>
    </w:p>
    <w:p w:rsidR="00DA623B" w:rsidRPr="001625CF" w:rsidP="00DA623B" w14:paraId="3F3B33CE" w14:textId="77777777">
      <w:pPr>
        <w:pStyle w:val="EPComma"/>
      </w:pPr>
      <w:bookmarkStart w:id="5" w:name="TextBodyBegin"/>
      <w:bookmarkEnd w:id="5"/>
      <w:r w:rsidRPr="001625CF">
        <w:rPr>
          <w:i/>
          <w:iCs/>
        </w:rPr>
        <w:t>Europa-Parlamentet</w:t>
      </w:r>
      <w:r w:rsidRPr="001625CF">
        <w:t>,</w:t>
      </w:r>
    </w:p>
    <w:p w:rsidR="00DA623B" w:rsidRPr="001625CF" w:rsidP="00DA623B" w14:paraId="5D3F2C7E" w14:textId="77777777">
      <w:pPr>
        <w:pStyle w:val="NormalHanging12a"/>
      </w:pPr>
      <w:r w:rsidRPr="001625CF">
        <w:t>–</w:t>
      </w:r>
      <w:r w:rsidRPr="001625CF">
        <w:tab/>
        <w:t>der henviser til Kommissionens delegerede forordning (</w:t>
      </w:r>
      <w:r w:rsidRPr="001625CF">
        <w:t>C(</w:t>
      </w:r>
      <w:r w:rsidRPr="001625CF">
        <w:t>2026)02306),</w:t>
      </w:r>
    </w:p>
    <w:p w:rsidR="00DA623B" w:rsidRPr="001625CF" w:rsidP="00DA623B" w14:paraId="5B9AC2A0" w14:textId="77777777">
      <w:pPr>
        <w:pStyle w:val="NormalHanging12a"/>
      </w:pPr>
      <w:r w:rsidRPr="001625CF">
        <w:t>–</w:t>
      </w:r>
      <w:r w:rsidRPr="001625CF">
        <w:tab/>
        <w:t>der henviser til artikel 290 i traktaten om Den Europæiske Unions funktionsmåde,</w:t>
      </w:r>
    </w:p>
    <w:p w:rsidR="00DA623B" w:rsidRPr="001625CF" w:rsidP="00DA623B" w14:paraId="5B2960B2" w14:textId="77777777">
      <w:pPr>
        <w:pStyle w:val="NormalHanging12a"/>
      </w:pPr>
      <w:r w:rsidRPr="001625CF">
        <w:t>–</w:t>
      </w:r>
      <w:r w:rsidRPr="001625CF">
        <w:tab/>
        <w:t>der henviser til Europa-Parlamentets og Rådets direktiv (EU) 2018/2001 af 11. december 2018 om fremme af anvendelsen af energi fra vedvarende energikilder</w:t>
      </w:r>
      <w:r>
        <w:rPr>
          <w:rStyle w:val="FootnoteReference"/>
        </w:rPr>
        <w:footnoteReference w:id="2"/>
      </w:r>
      <w:r w:rsidRPr="001625CF">
        <w:t>, særlig artikel 26, stk. 2, femte afsnit, og artikel 35, stk. 7,</w:t>
      </w:r>
    </w:p>
    <w:p w:rsidR="00DA623B" w:rsidRPr="001625CF" w:rsidP="00DA623B" w14:paraId="5D6F6E12" w14:textId="46174313">
      <w:pPr>
        <w:pStyle w:val="NormalHanging12a"/>
      </w:pPr>
      <w:r w:rsidRPr="001625CF">
        <w:t>–</w:t>
      </w:r>
      <w:r w:rsidRPr="001625CF">
        <w:tab/>
        <w:t xml:space="preserve">der henviser til Kommissionens delegerede forordning </w:t>
      </w:r>
      <w:r w:rsidR="002577DC">
        <w:rPr>
          <w:rFonts w:eastAsiaTheme="minorEastAsia"/>
        </w:rPr>
        <w:t xml:space="preserve">(EU) </w:t>
      </w:r>
      <w:r w:rsidRPr="001625CF">
        <w:t>2019/807 af 13. marts 2019 om supplerende regler til Europa-Parlamentets og Rådets direktiv (EU) 2018/2001 for så vidt angår fastsættelse af råprodukter med høj risiko for indirekte ændringer i arealanvendelsen, for hvilke der er konstateret en betydelig udvidelse af produktionsarealet ind på arealer med stort kulstoflager, og certificering af biobrændstoffer, flydende biobrændsler og biomassebrændsler med lav risiko for indirekte ændringer i arealanvendelsen</w:t>
      </w:r>
      <w:r>
        <w:rPr>
          <w:rStyle w:val="FootnoteReference"/>
        </w:rPr>
        <w:footnoteReference w:id="3"/>
      </w:r>
      <w:r w:rsidRPr="001625CF">
        <w:t>,</w:t>
      </w:r>
    </w:p>
    <w:p w:rsidR="00DA623B" w:rsidP="00DA623B" w14:paraId="16DE877A" w14:textId="77777777">
      <w:pPr>
        <w:pStyle w:val="NormalHanging12a"/>
      </w:pPr>
      <w:r w:rsidRPr="001625CF">
        <w:t>–</w:t>
      </w:r>
      <w:r w:rsidRPr="001625CF">
        <w:tab/>
        <w:t>der henviser til forretningsordenens artikel 114, stk. 3,</w:t>
      </w:r>
    </w:p>
    <w:p w:rsidR="0091543D" w:rsidRPr="001625CF" w:rsidP="00DA623B" w14:paraId="5D48086B" w14:textId="73EFFE90">
      <w:pPr>
        <w:pStyle w:val="NormalHanging12a"/>
      </w:pPr>
      <w:r w:rsidRPr="001625CF">
        <w:t>–</w:t>
      </w:r>
      <w:r w:rsidRPr="001625CF">
        <w:tab/>
      </w:r>
      <w:r w:rsidRPr="00EB3A44" w:rsidR="00EB3A44">
        <w:t xml:space="preserve">der henviser til forslag til beslutning fra </w:t>
      </w:r>
      <w:r w:rsidR="00B853E2">
        <w:t>U</w:t>
      </w:r>
      <w:r w:rsidRPr="00EB3A44" w:rsidR="00EB3A44">
        <w:t xml:space="preserve">dvalget om </w:t>
      </w:r>
      <w:r w:rsidR="00B853E2">
        <w:t>I</w:t>
      </w:r>
      <w:r w:rsidRPr="00EB3A44" w:rsidR="00EB3A44">
        <w:t xml:space="preserve">ndustri, </w:t>
      </w:r>
      <w:r w:rsidR="00B853E2">
        <w:t>F</w:t>
      </w:r>
      <w:r w:rsidRPr="00EB3A44" w:rsidR="00EB3A44">
        <w:t xml:space="preserve">orskning og </w:t>
      </w:r>
      <w:r w:rsidR="00B853E2">
        <w:t>E</w:t>
      </w:r>
      <w:r w:rsidRPr="00EB3A44" w:rsidR="00EB3A44">
        <w:t>nergi,</w:t>
      </w:r>
    </w:p>
    <w:p w:rsidR="00DA623B" w:rsidRPr="001625CF" w:rsidP="00DA623B" w14:paraId="72000C1D" w14:textId="06B23BDE">
      <w:pPr>
        <w:pStyle w:val="NormalHanging12a"/>
      </w:pPr>
      <w:r w:rsidRPr="001625CF">
        <w:t>A.</w:t>
      </w:r>
      <w:r w:rsidRPr="001625CF">
        <w:tab/>
        <w:t>der henviser til, at direktiv (EU) 2018/</w:t>
      </w:r>
      <w:r w:rsidRPr="001625CF">
        <w:t>2001  indfører</w:t>
      </w:r>
      <w:r w:rsidRPr="001625CF">
        <w:t xml:space="preserve"> en ramme for håndtering af risikoen for indirekte ændringer i arealanvendelsen for at sikre, at biobrændstoffer, der medregnes i opfyldelsen af dette mål, giver reelle fordele, i henhold til hvilken råmaterialer kan klassificeres som høj risiko for indirekte ændringer i arealanvendelsen;</w:t>
      </w:r>
    </w:p>
    <w:p w:rsidR="00DA623B" w:rsidRPr="001625CF" w:rsidP="00DA623B" w14:paraId="06DDA89A" w14:textId="77777777">
      <w:pPr>
        <w:pStyle w:val="NormalHanging12a"/>
      </w:pPr>
      <w:r w:rsidRPr="001625CF">
        <w:t>B.</w:t>
      </w:r>
      <w:r w:rsidRPr="001625CF">
        <w:tab/>
        <w:t>der henviser til, at Kommissionens delegerede forordning (EU) 2019/807 fastsatte metoden til fastsættelse af råprodukter med høj risiko for indirekte ændringer i arealanvendelsen, hvorved der jf. forordningens artikel 3 udtrykkeligt stilles krav om, at vurderingen skal baseres på data "siden 2008" og fastsættes en tærskel på 10 % udvidelse til arealer med stort kulstoflager, for at et råprodukt kan klassificeres som et råprodukt med høj risiko for indirekte ændringer i arealanvendelsen; der henviser til, at det i Kommissionens rapport fra 2019 under anvendelse af denne metode og dette referencescenarie blev konstateret, at sojabønnernes andel af udvidelsen til arealer med stort kulstoflager var på 8 %, hvilket er under den kvalificerende tærskel, hvilket betyder, at sojabønner ikke blev klassificeret som høj risiko for indirekte ændringer i arealanvendelsen;</w:t>
      </w:r>
    </w:p>
    <w:p w:rsidR="00DA623B" w:rsidRPr="001625CF" w:rsidP="00DA623B" w14:paraId="0099DD5D" w14:textId="77777777">
      <w:pPr>
        <w:pStyle w:val="NormalHanging12a"/>
      </w:pPr>
      <w:r w:rsidRPr="001625CF">
        <w:t>C.</w:t>
      </w:r>
      <w:r w:rsidRPr="001625CF">
        <w:tab/>
        <w:t>der henviser til, at Indonesien og Malaysia indgav WTO-tvister (DS593 og DS600), der anfægtede Unionens ramme for indirekte ændringer i arealanvendelsen, navnlig klassificeringen af palmeolie som høj risiko for indirekte ændringer i arealanvendelsen og certificeringsproceduren for lav risiko for indirekte ændringer i arealanvendelsen; der henviser til, at WTO-panelets afgørelse fra januar 2025 stort set var til Unionens fordel, men identificerede specifikke overtrædelser, nemlig manglende rettidig ajourføring af videnskabelige data, mangler i certificeringsproceduren for lav risiko for indirekte ændringer i arealanvendelsen og manglende korrekt meddelelse af foranstaltninger; der henviser til, at panelet fandt fejl i Unionens proceduremæssige svigt og ikke i Unionens valg af, hvilke afgrøder der skal klassificeres som høj risiko for indirekte ændringer i arealanvendelsen;</w:t>
      </w:r>
    </w:p>
    <w:p w:rsidR="00DA623B" w:rsidRPr="001625CF" w:rsidP="00DA623B" w14:paraId="29CDDBDA" w14:textId="77777777">
      <w:pPr>
        <w:pStyle w:val="NormalHanging12a"/>
      </w:pPr>
      <w:r w:rsidRPr="001625CF">
        <w:t>D.</w:t>
      </w:r>
      <w:r w:rsidRPr="001625CF">
        <w:tab/>
        <w:t>der henviser til, at den delegerede retsakt tilføjer sojabønner til listen over produkter med høj risiko for indirekte ændringer i arealanvendelsen sammen med palmeolie på grundlag af ajourførte videnskabelige data, hvilket betyder, at sojabønnebaseret biodiesel helt vil blive udfaset fra at blive medregnet i EU's mål for vedvarende energi senest i 2030;</w:t>
      </w:r>
    </w:p>
    <w:p w:rsidR="00DA623B" w:rsidRPr="001625CF" w:rsidP="00DA623B" w14:paraId="59781456" w14:textId="77777777">
      <w:pPr>
        <w:pStyle w:val="NormalHanging12a"/>
      </w:pPr>
      <w:r w:rsidRPr="001625CF">
        <w:t>E.</w:t>
      </w:r>
      <w:r w:rsidRPr="001625CF">
        <w:tab/>
        <w:t>der henviser til, at Parlamentet ikke gør indsigelse mod udfasningsforløbet for palmeolie, hvis klassificering som høj risiko for indirekte ændringer i arealanvendelsen er videnskabeligt robust og ubestridt, eller mod afhjælpningen af mangler i certificeringsproceduren for lav risiko for indirekte ændringer i arealanvendelsen, som begge udgør passende svar på WTO-panelets afgørelse og bør opretholdes i enhver revideret delegeret retsakt;</w:t>
      </w:r>
    </w:p>
    <w:p w:rsidR="00DA623B" w:rsidRPr="001625CF" w:rsidP="00DA623B" w14:paraId="6EB0F9EC" w14:textId="77777777">
      <w:pPr>
        <w:pStyle w:val="NormalHanging12a"/>
      </w:pPr>
      <w:r w:rsidRPr="001625CF">
        <w:t>F.</w:t>
      </w:r>
      <w:r w:rsidRPr="001625CF">
        <w:tab/>
        <w:t xml:space="preserve">der henviser til, at klassificeringen af sojabønner som høj risiko for indirekte ændringer i arealanvendelsen i den delegerede retsakt er baseret på ajourførte videnskabelige data, der afviger fra det 2008-observationsreferencescenario, der er fastsat i artikel 3 i Kommissionens delegerede forordning (EU) 2019/807, ved at flytte observationsperioden til 2014; der henviser til, at denne ændring i referenceåret ikke er fastsat i WTO-panelets afgørelse, som vedrørte aktualiteten af dataajourføringer snarere end valget af </w:t>
      </w:r>
      <w:r w:rsidRPr="001625CF">
        <w:t>referenceår</w:t>
      </w:r>
      <w:r w:rsidRPr="001625CF">
        <w:t xml:space="preserve">; der henviser til, at, såfremt det oprindelige referencescenario fra 2008 finder anvendelse som krævet i den eksisterende retlige ramme, sojabønnens andel af udvidelsen til arealer med stort kulstoflager sandsynligvis vil forblive under </w:t>
      </w:r>
      <w:r w:rsidRPr="001625CF">
        <w:t>den kvalificerende tærskel på 10 %, og at sojabønner derfor ikke vil kunne betragtes som råprodukter med høj risiko for indirekte ændringer i arealanvendelsen;</w:t>
      </w:r>
    </w:p>
    <w:p w:rsidR="00DA623B" w:rsidRPr="001625CF" w:rsidP="00DA623B" w14:paraId="1670D09E" w14:textId="77777777">
      <w:pPr>
        <w:pStyle w:val="NormalHanging12a"/>
      </w:pPr>
      <w:r w:rsidRPr="001625CF">
        <w:t>G.</w:t>
      </w:r>
      <w:r w:rsidRPr="001625CF">
        <w:tab/>
        <w:t>der henviser til, at de ajourførte videnskabelige data, der ligger til grund for sojaklassificeringen, ikke tager højde for dobbeltdyrkningsmetoder inden for sojabønnedyrkning, hvor soja dyrkes som efterafgrøde på arealer, der allerede anvendes til en primærafgrøde inden for samme kalenderår; der henviser til, at denne metodologiske mangel resulterer i en overvurdering af udvidelsen af sojabønneproduktionsområdet og dermed øger sojabønnens beregnede andel af udvidelsen til arealer med stort kulstoflager;</w:t>
      </w:r>
    </w:p>
    <w:p w:rsidR="00DA623B" w:rsidRPr="001625CF" w:rsidP="00DA623B" w14:paraId="76AE88B3" w14:textId="2A61A4CF">
      <w:pPr>
        <w:pStyle w:val="NormalHanging12a"/>
      </w:pPr>
      <w:r>
        <w:t>H</w:t>
      </w:r>
      <w:r w:rsidRPr="001625CF">
        <w:t>.</w:t>
      </w:r>
      <w:r w:rsidRPr="001625CF">
        <w:tab/>
        <w:t>der henviser til, at risikoen for indirekte ændringer i arealanvendelsen i forbindelse med dyrkning af sojabønner er geografisk koncentreret i den sydamerikanske produktion; der henviser til, at sojabønnedyrkning i Unionen ikke er drivkraften bag den skovrydning eller omlægning af arealer, som rammen for indirekte ændringer i arealanvendelsen er udformet til at håndtere; der henviser til, at Kommissionen ikke har fremlagt dokumentation for, at dyrkning af sojabønner i Unionen forårsager indirekte ændringer i arealanvendelsen; der henviser til, at klassificeringen af sojabønner produceret i Unionen som høj risiko for indirekte ændringer i arealanvendelsen i mangel af en sådan dokumentation mangler et tilstrækkeligt videnskabeligt grundlag;</w:t>
      </w:r>
      <w:r w:rsidRPr="001625CF">
        <w:rPr>
          <w:b/>
        </w:rPr>
        <w:t xml:space="preserve"> </w:t>
      </w:r>
      <w:r w:rsidRPr="001625CF">
        <w:t>der henviser til, at anvendelsen af en globalt udifferentieret klassificering af høj risiko for indirekte ændringer i arealanvendelsen for sojabønner, uanset deres geografiske oprindelse, er uforholdsmæssig og pålægger EU-producenterne en byrde for så vidt angår emissioner som følge af ændringer i arealanvendelsen, som de ikke har noget ansvar for;</w:t>
      </w:r>
    </w:p>
    <w:p w:rsidR="00DA623B" w:rsidRPr="001625CF" w:rsidP="00DA623B" w14:paraId="20BF2401" w14:textId="7EFC501E">
      <w:pPr>
        <w:pStyle w:val="NormalHanging12a"/>
      </w:pPr>
      <w:r>
        <w:t>I</w:t>
      </w:r>
      <w:r w:rsidRPr="001625CF">
        <w:t>.</w:t>
      </w:r>
      <w:r w:rsidRPr="001625CF">
        <w:tab/>
      </w:r>
      <w:bookmarkStart w:id="7" w:name="_Hlk230337619"/>
      <w:r w:rsidRPr="001625CF">
        <w:t>der henviser til, at Kommissionens vision for landbrug og fødevarer understreger behovet for at skabe et mere selvforsynende proteinsystem i Unionen; der henviser til, at Unionen kun producerer ca. 6 % af dens sojabønneforbrug, hvilket gør Unionen stærkt afhængig af import; der henviser til, at Kommissionens bebudede EU-proteinplan og de deri erklærede mål, i kombination med målene om åben strategisk autonomi, navnlig har til formål at udvide den indenlandske dyrkning af sojabønner med henblik på at mindske denne afhængighed; der henviser til, at markedet for biobrændstoffer udgør en vigtig økonomisk drivkraft for sojabønnedyrkning i Unionen og for Unionens sojaknusningssektor; der henviser til, at klassificeringen af sojabønner som høj risiko for indirekte ændringer i arealanvendelsen fjerner dette markedsincitament og er i direkte modstrid med målene i EU's proteinplan og Unionens mål om strategisk autonomi;</w:t>
      </w:r>
      <w:bookmarkEnd w:id="7"/>
    </w:p>
    <w:p w:rsidR="00DA623B" w:rsidRPr="001625CF" w:rsidP="00DA623B" w14:paraId="5FD50BCF" w14:textId="309A9492">
      <w:pPr>
        <w:pStyle w:val="NormalHanging12a"/>
      </w:pPr>
      <w:r>
        <w:t>J</w:t>
      </w:r>
      <w:r w:rsidRPr="001625CF">
        <w:t>.</w:t>
      </w:r>
      <w:r w:rsidRPr="001625CF">
        <w:tab/>
        <w:t xml:space="preserve">der henviser til, at der gennem knusning af soja både produceres sojamel, som udgør det dominerende produkt og er en væsentlig kilde til animalsk foderprotein, og sojabønneolie, som kun udgør ca. 20 % af sojabønnefrøene og bl.a. anvendes som råmateriale til biobrændstoffer; der henviser til, at den vigtigste økonomiske drivkraft bag dyrkning og forarbejdning af sojabønner er efterspørgslen efter sojabønnemel til dyrefoder snarere end anvendelsen af sojabønneolie i biobrændstoffer; der henviser til, at tilskrivningen af ekspansionsdynamikken i sojabønnedyrkning primært til sojabønneolie, der anvendes i biobrændstoffer, derfor giver et misvisende billede af den økonomiske virkelighed i sektoren og overvurderer den indvirkning af risiko for indirekte ændringer, der er forbundet med </w:t>
      </w:r>
      <w:r w:rsidRPr="001625CF">
        <w:t>sojabiodiesel</w:t>
      </w:r>
      <w:r w:rsidRPr="001625CF">
        <w:t xml:space="preserve">; der henviser til, at devalueringen af sojabønneolie som følge af tabet af afsætningsmuligheder på markedet for biobrændstoffer vil forringe knusningsmargenerne og reducere den økonomiske levedygtighed af den indenlandske sojaknusning; der henviser til, at dette vil tvinge </w:t>
      </w:r>
      <w:r w:rsidRPr="001625CF">
        <w:t>Unionen til at erstatte op til 4,8 mio. ton indenlandsk produceret sojamel med import fra tredjelande, øge afhængigheden af proteinimport, øge foderomkostningerne og flytte værdiskabende industrielle aktiviteter uden for Unionen; der henviser til, at de anslåede økonomiske konsekvenser for sektoren beløber sig til ca. 36 mio. EUR i tab for Unionens sojalandbrugere, 120 mio. EUR for Unionens knusere og op til 1,3 mia. EUR for Unionens biodieselindustri;</w:t>
      </w:r>
    </w:p>
    <w:p w:rsidR="00DA623B" w:rsidRPr="001625CF" w:rsidP="00DA623B" w14:paraId="0B32EF0D" w14:textId="354280AD">
      <w:pPr>
        <w:pStyle w:val="NormalHanging12a"/>
      </w:pPr>
      <w:r>
        <w:t>K</w:t>
      </w:r>
      <w:r w:rsidRPr="001625CF">
        <w:t>.</w:t>
      </w:r>
      <w:r w:rsidRPr="001625CF">
        <w:tab/>
        <w:t xml:space="preserve">der henviser til, at sojabønnen er en kvælstofbindende afgrøde, der mindsker afhængigheden af kemisk kvælstofgødning og bidrager positivt til vekseldrift og jordbundens sundhed; der henviser til, at </w:t>
      </w:r>
      <w:r w:rsidRPr="001625CF">
        <w:t>modvirkning</w:t>
      </w:r>
      <w:r w:rsidRPr="001625CF">
        <w:t xml:space="preserve"> af dyrkning af sojabønner i EU vil øge Unionens afhængighed af importeret kunstgødning, hvilket er i strid med Unionens mål for modstandsdygtighed i forsyningskæden for gødning, som er blevet mere presserende i forbindelse med forsyningsafbrydelserne efter Ruslands invasion af Ukraine;</w:t>
      </w:r>
    </w:p>
    <w:p w:rsidR="00DA623B" w:rsidRPr="001625CF" w:rsidP="00DA623B" w14:paraId="3C0979F3" w14:textId="534F4C4E">
      <w:pPr>
        <w:pStyle w:val="NormalHanging12a"/>
      </w:pPr>
      <w:r>
        <w:t>L</w:t>
      </w:r>
      <w:r w:rsidRPr="001625CF">
        <w:t>.</w:t>
      </w:r>
      <w:r w:rsidRPr="001625CF">
        <w:tab/>
        <w:t xml:space="preserve">der henviser til, at aftalen om ren industri opfordrer til en konkurrencedygtig, </w:t>
      </w:r>
      <w:r w:rsidRPr="001625CF">
        <w:t>dekarboniseret</w:t>
      </w:r>
      <w:r w:rsidRPr="001625CF">
        <w:t xml:space="preserve"> industriel økonomi, der understøttes af en bred og diversificeret vifte af rene brændstoffer og råmaterialer; der henviser til, at reducering af den tilgængelige kurv af råmaterialer til biobrændstoffer ved at fjerne sojabønner vil indsnævre Unionens forsyningsgrundlag for </w:t>
      </w:r>
      <w:r w:rsidRPr="001625CF">
        <w:t>dekarbonisering</w:t>
      </w:r>
      <w:r w:rsidRPr="001625CF">
        <w:t xml:space="preserve"> af transportsektoren, øge </w:t>
      </w:r>
      <w:r w:rsidRPr="001625CF">
        <w:t>prisvolatiliteten</w:t>
      </w:r>
      <w:r w:rsidRPr="001625CF">
        <w:t xml:space="preserve"> og forsyningssårbarheden og være uforenelig med den teknologineutrale og forsyningssikre tilgang, som Unionens mål for konkurrenceevne kræver;</w:t>
      </w:r>
    </w:p>
    <w:p w:rsidR="00DA623B" w:rsidRPr="001625CF" w:rsidP="00DA623B" w14:paraId="529829E8" w14:textId="242F35E9">
      <w:pPr>
        <w:pStyle w:val="NormalHanging12a"/>
      </w:pPr>
      <w:r>
        <w:t>M</w:t>
      </w:r>
      <w:r w:rsidRPr="001625CF">
        <w:t>.</w:t>
      </w:r>
      <w:r w:rsidRPr="001625CF">
        <w:tab/>
        <w:t>der henviser til, at konkurrenceevnekompasset udpeger reduktionen af strategisk afhængighed og styrkelsen af Unionens industri- og forarbejdningskapacitet som værende centrale EU-prioriteter; der henviser til, at klassificeringen af sojabønner som høj risiko for indirekte ændringer i arealanvendelsen øger snarere end reducerer Unionens strategiske afhængighed i både protein- og biobrændstofsektoren;</w:t>
      </w:r>
    </w:p>
    <w:p w:rsidR="00DA623B" w:rsidRPr="001625CF" w:rsidP="00DA623B" w14:paraId="328C7FD3" w14:textId="77777777">
      <w:pPr>
        <w:pStyle w:val="NormalHanging12a"/>
      </w:pPr>
      <w:r w:rsidRPr="001625CF">
        <w:t>1.</w:t>
      </w:r>
      <w:r w:rsidRPr="001625CF">
        <w:tab/>
        <w:t>gør indsigelse mod Kommissionens delegerede forordning;</w:t>
      </w:r>
    </w:p>
    <w:p w:rsidR="00DA623B" w:rsidRPr="001625CF" w:rsidP="00DA623B" w14:paraId="531093A0" w14:textId="77777777">
      <w:pPr>
        <w:pStyle w:val="NormalHanging12a"/>
      </w:pPr>
      <w:r w:rsidRPr="001625CF">
        <w:t>2.</w:t>
      </w:r>
      <w:r w:rsidRPr="001625CF">
        <w:tab/>
        <w:t>pålægger sin formand at sende denne beslutning til Kommissionen og underrette den om, at den delegerede forordning ikke kan træde i kraft;</w:t>
      </w:r>
    </w:p>
    <w:p w:rsidR="00DA623B" w:rsidRPr="001625CF" w:rsidP="00DA623B" w14:paraId="3DFC3006" w14:textId="77777777">
      <w:pPr>
        <w:pStyle w:val="NormalHanging12a"/>
      </w:pPr>
      <w:r w:rsidRPr="001625CF">
        <w:t>3.</w:t>
      </w:r>
      <w:r w:rsidRPr="001625CF">
        <w:tab/>
        <w:t>anmoder Kommissionen om straks at forelægge en revideret delegeret retsakt, som tager hensyn til følgende henstillinger:</w:t>
      </w:r>
    </w:p>
    <w:p w:rsidR="00DA623B" w:rsidRPr="001625CF" w:rsidP="00DA623B" w14:paraId="0ECB3A4A" w14:textId="77777777">
      <w:pPr>
        <w:pStyle w:val="NormalHanging12a"/>
        <w:ind w:left="1418"/>
      </w:pPr>
      <w:r w:rsidRPr="001625CF">
        <w:t>a)</w:t>
      </w:r>
      <w:r w:rsidRPr="001625CF">
        <w:tab/>
        <w:t>fastlæggelsen af sojabønners risikostatus for så vidt angår indirekte ændringer i arealanvendelsen bør baseres på data "siden 2008" som udtrykkeligt krævet i artikel 3 i Kommissionens delegerede forordning (EU) 2019/807, og klassificeringen af sojabønner med status som høj risiko for indirekte ændringer i arealanvendelsen bør revideres i lyset af denne korrigerede metode. Hvis sojabønnernes andel af udvidelsen til arealer med stort kulstoflager på grundlag af data siden 2008 falder til under den tærskel på 10 %, der er fastsat i den eksisterende ramme, bør sojabønner ikke klassificeres som høj risiko for indirekte ændringer i arealanvendelsen i den reviderede retsakt</w:t>
      </w:r>
    </w:p>
    <w:p w:rsidR="00DA623B" w:rsidRPr="001625CF" w:rsidP="00DA623B" w14:paraId="2587CFC6" w14:textId="77777777">
      <w:pPr>
        <w:pStyle w:val="NormalHanging12a"/>
        <w:ind w:left="1418"/>
      </w:pPr>
      <w:r w:rsidRPr="001625CF">
        <w:t>b)</w:t>
      </w:r>
      <w:r w:rsidRPr="001625CF">
        <w:tab/>
        <w:t xml:space="preserve">metoden bør ajourføres for fuldt ud at tage højde for dobbeltdyrkningsmetoder inden for sojabønnedyrkningen, </w:t>
      </w:r>
      <w:r w:rsidRPr="001625CF">
        <w:t>således at</w:t>
      </w:r>
      <w:r w:rsidRPr="001625CF">
        <w:t xml:space="preserve"> udvidelsen af sojabønneproduktionsområdet og den beregnede andel af udvidelsen til arealer med stort kulstoflager nøjagtigt afspejler dynamikken i de reelle ændringer i </w:t>
      </w:r>
      <w:r w:rsidRPr="001625CF">
        <w:t>arealanvendelsen</w:t>
      </w:r>
    </w:p>
    <w:p w:rsidR="00DA623B" w:rsidRPr="001625CF" w:rsidP="00DA623B" w14:paraId="719EFF79" w14:textId="605E9C3E">
      <w:pPr>
        <w:pStyle w:val="NormalHanging12a"/>
        <w:ind w:left="1418"/>
      </w:pPr>
      <w:r>
        <w:t>c</w:t>
      </w:r>
      <w:r w:rsidRPr="001625CF">
        <w:t>)</w:t>
      </w:r>
      <w:r w:rsidRPr="001625CF">
        <w:tab/>
        <w:t>for sojabønner, der er produceret i Unionen eller i tredjelande med tilsvarende og verificerede standarder for arealanvendelse og overvågning af skovrydning, bør det fastsættes, at de anerkendes som lav risiko for indirekte ændringer i arealanvendelsen med den deraf følgende udelukkelse fra udfasningsforløbet på grundlag af, at en sådan produktion ikke forårsager de ændringer i arealanvendelsen, som rammen for indirekte ændringer i arealanvendelsen har til formål at imødegå</w:t>
      </w:r>
    </w:p>
    <w:p w:rsidR="00DA623B" w:rsidRPr="001625CF" w:rsidP="00DA623B" w14:paraId="7BBBC754" w14:textId="289CED10">
      <w:pPr>
        <w:pStyle w:val="NormalHanging12a"/>
        <w:ind w:left="1418"/>
      </w:pPr>
      <w:r>
        <w:t>d</w:t>
      </w:r>
      <w:r w:rsidRPr="001625CF">
        <w:t>)</w:t>
      </w:r>
      <w:r w:rsidRPr="001625CF">
        <w:tab/>
        <w:t>bekræfter, at det ikke gør indsigelse mod udfasningsforløbet for biobrændstoffer baseret på palmeolie eller mod afhjælpningen af mangler i klassificeringen som lav risiko for indirekte ændringer i arealanvendelsen, som udgør passende og nødvendige svar på WTO-panelets afgørelse og bør opretholdes i enhver revideret delegeret retsakt;</w:t>
      </w:r>
    </w:p>
    <w:p w:rsidR="001625CF" w:rsidRPr="001625CF" w:rsidP="001625CF" w14:paraId="6DDAE3D0" w14:textId="1C12D476">
      <w:pPr>
        <w:pStyle w:val="NormalHanging12a"/>
      </w:pPr>
      <w:r w:rsidRPr="001625CF">
        <w:t>4.</w:t>
      </w:r>
      <w:r w:rsidRPr="001625CF">
        <w:tab/>
        <w:t>pålægger sin formand at sende denne beslutning til Rådet samt til medlemsstaternes regeringer og parlamenter.</w:t>
      </w:r>
    </w:p>
    <w:p w:rsidR="00E365E1" w:rsidRPr="001625CF" w:rsidP="00986B72" w14:paraId="3295D4D7" w14:textId="4F1CF9C8"/>
    <w:sectPr w:rsidSect="001625CF">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473BA2A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49EA99B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00101FDC"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86B72" w:rsidRPr="001625CF" w14:paraId="6D7C468F" w14:textId="77777777">
      <w:r w:rsidRPr="001625CF">
        <w:separator/>
      </w:r>
    </w:p>
  </w:footnote>
  <w:footnote w:type="continuationSeparator" w:id="1">
    <w:p w:rsidR="00986B72" w:rsidRPr="001625CF" w14:paraId="01B106C9" w14:textId="77777777">
      <w:r w:rsidRPr="001625CF">
        <w:continuationSeparator/>
      </w:r>
    </w:p>
  </w:footnote>
  <w:footnote w:id="2">
    <w:p w:rsidR="00DA623B" w:rsidRPr="001625CF" w:rsidP="001625CF" w14:paraId="3F53133A" w14:textId="4C0DC094">
      <w:pPr>
        <w:pStyle w:val="FootnoteText"/>
        <w:ind w:left="567" w:hanging="567"/>
        <w:rPr>
          <w:sz w:val="24"/>
          <w:lang w:val="da-DK"/>
        </w:rPr>
      </w:pPr>
      <w:r w:rsidRPr="001625CF">
        <w:rPr>
          <w:rStyle w:val="FootnoteReference"/>
          <w:sz w:val="24"/>
          <w:lang w:val="da-DK"/>
        </w:rPr>
        <w:footnoteRef/>
      </w:r>
      <w:r w:rsidRPr="001625CF" w:rsidR="001625CF">
        <w:rPr>
          <w:sz w:val="24"/>
          <w:lang w:val="da-DK"/>
        </w:rPr>
        <w:t xml:space="preserve"> </w:t>
      </w:r>
      <w:r w:rsidRPr="001625CF" w:rsidR="001625CF">
        <w:rPr>
          <w:sz w:val="24"/>
          <w:lang w:val="da-DK"/>
        </w:rPr>
        <w:tab/>
      </w:r>
      <w:r w:rsidRPr="001625CF">
        <w:rPr>
          <w:sz w:val="24"/>
          <w:lang w:val="da-DK"/>
        </w:rPr>
        <w:t xml:space="preserve">EUT L 328 af 21.12.2018, s. 82, ELI: </w:t>
      </w:r>
      <w:bookmarkStart w:id="6" w:name="_Hlk233195462"/>
      <w:hyperlink r:id="rId1" w:history="1">
        <w:r w:rsidRPr="001625CF">
          <w:rPr>
            <w:rStyle w:val="Hyperlink"/>
            <w:sz w:val="24"/>
            <w:lang w:val="da-DK"/>
          </w:rPr>
          <w:t>http://data.europa.eu/eli/dir/2018/2001/oj</w:t>
        </w:r>
        <w:bookmarkEnd w:id="6"/>
      </w:hyperlink>
      <w:r w:rsidRPr="001625CF">
        <w:rPr>
          <w:sz w:val="24"/>
          <w:lang w:val="da-DK"/>
        </w:rPr>
        <w:t>.</w:t>
      </w:r>
    </w:p>
  </w:footnote>
  <w:footnote w:id="3">
    <w:p w:rsidR="00DA623B" w:rsidRPr="001625CF" w:rsidP="001625CF" w14:paraId="711573A2" w14:textId="47B29423">
      <w:pPr>
        <w:pStyle w:val="FootnoteText"/>
        <w:ind w:left="567" w:hanging="567"/>
        <w:rPr>
          <w:sz w:val="24"/>
          <w:lang w:val="da-DK"/>
        </w:rPr>
      </w:pPr>
      <w:r w:rsidRPr="001625CF">
        <w:rPr>
          <w:rStyle w:val="FootnoteReference"/>
          <w:sz w:val="24"/>
          <w:lang w:val="da-DK"/>
        </w:rPr>
        <w:footnoteRef/>
      </w:r>
      <w:r w:rsidRPr="001625CF" w:rsidR="001625CF">
        <w:rPr>
          <w:sz w:val="24"/>
          <w:lang w:val="da-DK"/>
        </w:rPr>
        <w:t xml:space="preserve"> </w:t>
      </w:r>
      <w:r w:rsidRPr="001625CF" w:rsidR="001625CF">
        <w:rPr>
          <w:sz w:val="24"/>
          <w:lang w:val="da-DK"/>
        </w:rPr>
        <w:tab/>
      </w:r>
      <w:r w:rsidRPr="001625CF">
        <w:rPr>
          <w:sz w:val="24"/>
          <w:lang w:val="da-DK"/>
        </w:rPr>
        <w:t xml:space="preserve">EUT L 133 af 21.5.2019, s. 1, ELI: </w:t>
      </w:r>
      <w:hyperlink r:id="rId2" w:history="1">
        <w:r w:rsidRPr="001625CF">
          <w:rPr>
            <w:rStyle w:val="Hyperlink"/>
            <w:sz w:val="24"/>
            <w:lang w:val="da-DK"/>
          </w:rPr>
          <w:t>http://data.europa.eu/eli/reg_del/2019/807/oj</w:t>
        </w:r>
      </w:hyperlink>
      <w:r w:rsidRPr="001625CF">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1DFDB6A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556E36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625CF" w14:paraId="6517FFC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7248789">
    <w:abstractNumId w:val="9"/>
  </w:num>
  <w:num w:numId="2" w16cid:durableId="922185069">
    <w:abstractNumId w:val="9"/>
  </w:num>
  <w:num w:numId="3" w16cid:durableId="1963266662">
    <w:abstractNumId w:val="7"/>
  </w:num>
  <w:num w:numId="4" w16cid:durableId="1205144552">
    <w:abstractNumId w:val="7"/>
  </w:num>
  <w:num w:numId="5" w16cid:durableId="1060137115">
    <w:abstractNumId w:val="6"/>
  </w:num>
  <w:num w:numId="6" w16cid:durableId="1879198179">
    <w:abstractNumId w:val="6"/>
  </w:num>
  <w:num w:numId="7" w16cid:durableId="725835329">
    <w:abstractNumId w:val="5"/>
  </w:num>
  <w:num w:numId="8" w16cid:durableId="881870021">
    <w:abstractNumId w:val="5"/>
  </w:num>
  <w:num w:numId="9" w16cid:durableId="1445149701">
    <w:abstractNumId w:val="4"/>
  </w:num>
  <w:num w:numId="10" w16cid:durableId="1907446987">
    <w:abstractNumId w:val="4"/>
  </w:num>
  <w:num w:numId="11" w16cid:durableId="1508985177">
    <w:abstractNumId w:val="8"/>
  </w:num>
  <w:num w:numId="12" w16cid:durableId="1243443037">
    <w:abstractNumId w:val="8"/>
  </w:num>
  <w:num w:numId="13" w16cid:durableId="707218165">
    <w:abstractNumId w:val="3"/>
  </w:num>
  <w:num w:numId="14" w16cid:durableId="1748263833">
    <w:abstractNumId w:val="3"/>
  </w:num>
  <w:num w:numId="15" w16cid:durableId="1815029728">
    <w:abstractNumId w:val="2"/>
  </w:num>
  <w:num w:numId="16" w16cid:durableId="890071894">
    <w:abstractNumId w:val="2"/>
  </w:num>
  <w:num w:numId="17" w16cid:durableId="684090408">
    <w:abstractNumId w:val="1"/>
  </w:num>
  <w:num w:numId="18" w16cid:durableId="105856515">
    <w:abstractNumId w:val="1"/>
  </w:num>
  <w:num w:numId="19" w16cid:durableId="200216026">
    <w:abstractNumId w:val="0"/>
  </w:num>
  <w:num w:numId="20" w16cid:durableId="1245989422">
    <w:abstractNumId w:val="0"/>
  </w:num>
  <w:num w:numId="21" w16cid:durableId="1290474912">
    <w:abstractNumId w:val="9"/>
  </w:num>
  <w:num w:numId="22" w16cid:durableId="1722243133">
    <w:abstractNumId w:val="7"/>
  </w:num>
  <w:num w:numId="23" w16cid:durableId="1484079212">
    <w:abstractNumId w:val="6"/>
  </w:num>
  <w:num w:numId="24" w16cid:durableId="1866868476">
    <w:abstractNumId w:val="5"/>
  </w:num>
  <w:num w:numId="25" w16cid:durableId="1090008445">
    <w:abstractNumId w:val="4"/>
  </w:num>
  <w:num w:numId="26" w16cid:durableId="446511307">
    <w:abstractNumId w:val="8"/>
  </w:num>
  <w:num w:numId="27" w16cid:durableId="1394237045">
    <w:abstractNumId w:val="3"/>
  </w:num>
  <w:num w:numId="28" w16cid:durableId="1123302488">
    <w:abstractNumId w:val="2"/>
  </w:num>
  <w:num w:numId="29" w16cid:durableId="1920367561">
    <w:abstractNumId w:val="1"/>
  </w:num>
  <w:num w:numId="30" w16cid:durableId="1185510733">
    <w:abstractNumId w:val="0"/>
  </w:num>
  <w:num w:numId="31" w16cid:durableId="1606156581">
    <w:abstractNumId w:val="9"/>
  </w:num>
  <w:num w:numId="32" w16cid:durableId="1562446301">
    <w:abstractNumId w:val="7"/>
  </w:num>
  <w:num w:numId="33" w16cid:durableId="1530147333">
    <w:abstractNumId w:val="6"/>
  </w:num>
  <w:num w:numId="34" w16cid:durableId="1902867640">
    <w:abstractNumId w:val="5"/>
  </w:num>
  <w:num w:numId="35" w16cid:durableId="1892883441">
    <w:abstractNumId w:val="4"/>
  </w:num>
  <w:num w:numId="36" w16cid:durableId="640813595">
    <w:abstractNumId w:val="8"/>
  </w:num>
  <w:num w:numId="37" w16cid:durableId="1034579589">
    <w:abstractNumId w:val="3"/>
  </w:num>
  <w:num w:numId="38" w16cid:durableId="2057465689">
    <w:abstractNumId w:val="2"/>
  </w:num>
  <w:num w:numId="39" w16cid:durableId="1462848286">
    <w:abstractNumId w:val="1"/>
  </w:num>
  <w:num w:numId="40" w16cid:durableId="398753711">
    <w:abstractNumId w:val="0"/>
  </w:num>
  <w:num w:numId="41" w16cid:durableId="1245602782">
    <w:abstractNumId w:val="10"/>
  </w:num>
  <w:num w:numId="42" w16cid:durableId="391124106">
    <w:abstractNumId w:val="10"/>
  </w:num>
  <w:num w:numId="43" w16cid:durableId="1373845052">
    <w:abstractNumId w:val="10"/>
  </w:num>
  <w:num w:numId="44" w16cid:durableId="752530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7"/>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B72"/>
    <w:rsid w:val="00002272"/>
    <w:rsid w:val="00064002"/>
    <w:rsid w:val="000677B9"/>
    <w:rsid w:val="000831BA"/>
    <w:rsid w:val="000A42CC"/>
    <w:rsid w:val="000E7DD9"/>
    <w:rsid w:val="0010095E"/>
    <w:rsid w:val="00125B37"/>
    <w:rsid w:val="001625CF"/>
    <w:rsid w:val="00187494"/>
    <w:rsid w:val="001F32AE"/>
    <w:rsid w:val="00221CD3"/>
    <w:rsid w:val="002577DC"/>
    <w:rsid w:val="002767FF"/>
    <w:rsid w:val="002B18FE"/>
    <w:rsid w:val="002B5493"/>
    <w:rsid w:val="002E375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B1602"/>
    <w:rsid w:val="007D1690"/>
    <w:rsid w:val="007E22AD"/>
    <w:rsid w:val="00817416"/>
    <w:rsid w:val="00842779"/>
    <w:rsid w:val="00865F67"/>
    <w:rsid w:val="00881A7B"/>
    <w:rsid w:val="008840E5"/>
    <w:rsid w:val="00887B3E"/>
    <w:rsid w:val="008C2AC6"/>
    <w:rsid w:val="0091543D"/>
    <w:rsid w:val="00930C23"/>
    <w:rsid w:val="0093193B"/>
    <w:rsid w:val="009509D8"/>
    <w:rsid w:val="00950B64"/>
    <w:rsid w:val="00981893"/>
    <w:rsid w:val="00986B72"/>
    <w:rsid w:val="009F02E0"/>
    <w:rsid w:val="00A1687D"/>
    <w:rsid w:val="00A43E52"/>
    <w:rsid w:val="00A4678D"/>
    <w:rsid w:val="00A778C7"/>
    <w:rsid w:val="00AB441E"/>
    <w:rsid w:val="00AB6293"/>
    <w:rsid w:val="00AE0928"/>
    <w:rsid w:val="00AF3B82"/>
    <w:rsid w:val="00B12E95"/>
    <w:rsid w:val="00B22876"/>
    <w:rsid w:val="00B558F0"/>
    <w:rsid w:val="00B853E2"/>
    <w:rsid w:val="00BD48FE"/>
    <w:rsid w:val="00BD7B40"/>
    <w:rsid w:val="00BD7BD8"/>
    <w:rsid w:val="00BE6ADC"/>
    <w:rsid w:val="00C05BFE"/>
    <w:rsid w:val="00C23CD4"/>
    <w:rsid w:val="00C61C0C"/>
    <w:rsid w:val="00C941CB"/>
    <w:rsid w:val="00CC2357"/>
    <w:rsid w:val="00CF071A"/>
    <w:rsid w:val="00D058B8"/>
    <w:rsid w:val="00D078CF"/>
    <w:rsid w:val="00D56C11"/>
    <w:rsid w:val="00D834A0"/>
    <w:rsid w:val="00D872DF"/>
    <w:rsid w:val="00D91E21"/>
    <w:rsid w:val="00DA623B"/>
    <w:rsid w:val="00DA7FCD"/>
    <w:rsid w:val="00E365E1"/>
    <w:rsid w:val="00E820A4"/>
    <w:rsid w:val="00EA0B5B"/>
    <w:rsid w:val="00EB006A"/>
    <w:rsid w:val="00EB3A44"/>
    <w:rsid w:val="00EB4772"/>
    <w:rsid w:val="00EB4F0F"/>
    <w:rsid w:val="00ED169E"/>
    <w:rsid w:val="00ED4235"/>
    <w:rsid w:val="00F04346"/>
    <w:rsid w:val="00F075DC"/>
    <w:rsid w:val="00F149E9"/>
    <w:rsid w:val="00F5134D"/>
    <w:rsid w:val="00F735A2"/>
    <w:rsid w:val="00F74202"/>
    <w:rsid w:val="00F87713"/>
    <w:rsid w:val="00FB4360"/>
    <w:rsid w:val="00FD0C70"/>
  </w:rsids>
  <w:docVars>
    <w:docVar w:name="dvdocse" w:val="B10-0337/2026"/>
    <w:docVar w:name="dvlangue" w:val="DA"/>
    <w:docVar w:name="dvnumam" w:val="0"/>
    <w:docVar w:name="dvpe" w:val="789.919"/>
    <w:docVar w:name="dvtitre" w:val="Europa-Parlamentets beslutning af xx.xx 2026 om Kommissionens delegerede forordning af 10. april 2026 om ændring af Kommissionens delegerede forordning (EU) 2019/807 for at indføre et udviklingsforløb med henblik på gradvis at mindske bidraget til målene for vedvarende energi fra biobrændstoffer, flydende biobrændsler og biomassebrændsler med høj risiko for indirekte ændringer i arealanvendelsen((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43BF2BC"/>
  <w15:chartTrackingRefBased/>
  <w15:docId w15:val="{F531F9B5-FA9F-43F1-88A9-EB95CC834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A623B"/>
    <w:pPr>
      <w:spacing w:before="480" w:after="240"/>
    </w:pPr>
  </w:style>
  <w:style w:type="paragraph" w:customStyle="1" w:styleId="NormalHanging12a">
    <w:name w:val="NormalHanging12a"/>
    <w:basedOn w:val="Normal"/>
    <w:rsid w:val="00DA623B"/>
    <w:pPr>
      <w:spacing w:after="240"/>
      <w:ind w:left="567" w:hanging="567"/>
    </w:pPr>
  </w:style>
  <w:style w:type="character" w:styleId="Hyperlink">
    <w:name w:val="Hyperlink"/>
    <w:basedOn w:val="DefaultParagraphFont"/>
    <w:rsid w:val="00DA623B"/>
    <w:rPr>
      <w:color w:val="0563C1" w:themeColor="hyperlink"/>
      <w:u w:val="single"/>
    </w:rPr>
  </w:style>
  <w:style w:type="paragraph" w:styleId="Revision">
    <w:name w:val="Revision"/>
    <w:hidden/>
    <w:uiPriority w:val="99"/>
    <w:semiHidden/>
    <w:rsid w:val="009F02E0"/>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1846</Words>
  <Characters>11679</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2026-08-03T15:32:00Z</dcterms:created>
  <dcterms:modified xsi:type="dcterms:W3CDTF">2026-08-03T15:32:00Z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B10-0337/2026</vt:lpwstr>
  </property>
  <property fmtid="{D5CDD505-2E9C-101B-9397-08002B2CF9AE}" pid="4" name="&lt;Type&gt;">
    <vt:lpwstr>RR</vt:lpwstr>
  </property>
</Properties>
</file>