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FCD34F" w14:textId="77777777" w:rsidTr="0010095E">
        <w:tblPrEx>
          <w:tblW w:w="9072" w:type="dxa"/>
          <w:tblLook w:val="01E0"/>
        </w:tblPrEx>
        <w:trPr>
          <w:trHeight w:hRule="exact" w:val="1418"/>
        </w:trPr>
        <w:tc>
          <w:tcPr>
            <w:tcW w:w="6804" w:type="dxa"/>
            <w:shd w:val="clear" w:color="auto" w:fill="auto"/>
            <w:vAlign w:val="center"/>
          </w:tcPr>
          <w:p w:rsidR="00751A4A" w:rsidRPr="00F87AAF" w:rsidP="00997264" w14:paraId="50CE696D" w14:textId="77777777">
            <w:pPr>
              <w:pStyle w:val="EPName"/>
              <w:widowControl/>
            </w:pPr>
            <w:r w:rsidRPr="00F87AAF">
              <w:t>Euroopan parlamentti</w:t>
            </w:r>
          </w:p>
          <w:p w:rsidR="00751A4A" w:rsidRPr="00F87AAF" w:rsidP="00997264" w14:paraId="19AF4D3F" w14:textId="77777777">
            <w:pPr>
              <w:pStyle w:val="EPTerm"/>
              <w:widowControl/>
              <w:rPr>
                <w:rStyle w:val="HideTWBExt"/>
                <w:noProof w:val="0"/>
                <w:vanish w:val="0"/>
                <w:color w:val="auto"/>
              </w:rPr>
            </w:pPr>
            <w:r w:rsidRPr="00F87AAF">
              <w:t>2024</w:t>
            </w:r>
            <w:r w:rsidRPr="00F87AAF" w:rsidR="00817416">
              <w:t>-202</w:t>
            </w:r>
            <w:r w:rsidRPr="00F87AAF">
              <w:t>9</w:t>
            </w:r>
          </w:p>
        </w:tc>
        <w:tc>
          <w:tcPr>
            <w:tcW w:w="2268" w:type="dxa"/>
            <w:shd w:val="clear" w:color="auto" w:fill="auto"/>
          </w:tcPr>
          <w:p w:rsidR="00751A4A" w:rsidRPr="00F87AAF" w:rsidP="00997264" w14:paraId="75332AC6" w14:textId="77777777">
            <w:pPr>
              <w:pStyle w:val="EPLogo"/>
              <w:widowControl/>
            </w:pPr>
            <w:r w:rsidRPr="00F87AA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87AAF" w:rsidP="00997264" w14:paraId="6C434E65" w14:textId="77777777">
      <w:pPr>
        <w:pStyle w:val="LineTop"/>
        <w:widowControl/>
      </w:pPr>
    </w:p>
    <w:p w:rsidR="00680577" w:rsidRPr="00F87AAF" w:rsidP="00997264" w14:paraId="6D236A94" w14:textId="77777777">
      <w:pPr>
        <w:pStyle w:val="EPBodyTA1"/>
        <w:widowControl/>
      </w:pPr>
      <w:r w:rsidRPr="00F87AAF">
        <w:t>HYVÄKSYTYT TEKSTIT</w:t>
      </w:r>
    </w:p>
    <w:p w:rsidR="00D058B8" w:rsidRPr="00F87AAF" w:rsidP="00997264" w14:paraId="02BCB392" w14:textId="77777777">
      <w:pPr>
        <w:pStyle w:val="LineBottom"/>
        <w:widowControl/>
      </w:pPr>
    </w:p>
    <w:p w:rsidR="003049F1" w:rsidRPr="00F87AAF" w:rsidP="00997264" w14:paraId="1C4188A3" w14:textId="1204837F">
      <w:pPr>
        <w:pStyle w:val="ATHeading1"/>
      </w:pPr>
      <w:bookmarkStart w:id="0" w:name="TANumber"/>
      <w:r w:rsidRPr="00F87AAF">
        <w:t>P10_TA(2026)0</w:t>
      </w:r>
      <w:r w:rsidRPr="00F87AAF" w:rsidR="00694980">
        <w:t>252</w:t>
      </w:r>
      <w:bookmarkEnd w:id="0"/>
    </w:p>
    <w:p w:rsidR="003049F1" w:rsidRPr="00F87AAF" w:rsidP="00944516" w14:paraId="19238938" w14:textId="1942F498">
      <w:pPr>
        <w:pStyle w:val="ATHeading2"/>
      </w:pPr>
      <w:bookmarkStart w:id="1" w:name="title"/>
      <w:r w:rsidRPr="00F87AAF">
        <w:t xml:space="preserve">Delegoidun säädöksen vastustaminen: </w:t>
      </w:r>
      <w:bookmarkEnd w:id="1"/>
      <w:r w:rsidRPr="00F87AAF" w:rsidR="00944516">
        <w:rPr>
          <w:bCs/>
        </w:rPr>
        <w:t>kehityspolku, jolla vähennetään suurta epäsuoran maankäytön muutoksen riskiä aiheuttavien biopolttoaineiden, bionesteiden ja biomassapolttoaineiden panosta uusiutuvan energian t</w:t>
      </w:r>
      <w:r w:rsidRPr="00F87AAF" w:rsidR="00DF2B7A">
        <w:t>avoitteiden saavuttamiseen</w:t>
      </w:r>
    </w:p>
    <w:p w:rsidR="003049F1" w:rsidRPr="00F87AAF" w:rsidP="00997264" w14:paraId="0353F613" w14:textId="77777777">
      <w:pPr>
        <w:widowControl/>
        <w:rPr>
          <w:i/>
          <w:vanish/>
        </w:rPr>
      </w:pPr>
      <w:r>
        <w:rPr>
          <w:i/>
        </w:rPr>
        <w:fldChar w:fldCharType="begin"/>
      </w:r>
      <w:r w:rsidRPr="00F87AAF">
        <w:rPr>
          <w:i/>
        </w:rPr>
        <w:instrText xml:space="preserve"> TC"(</w:instrText>
      </w:r>
      <w:bookmarkStart w:id="2" w:name="DocNumber"/>
      <w:r w:rsidRPr="00F87AAF">
        <w:rPr>
          <w:i/>
        </w:rPr>
        <w:instrText>B10-0337/2026</w:instrText>
      </w:r>
      <w:bookmarkEnd w:id="2"/>
      <w:r w:rsidRPr="00F87AAF">
        <w:rPr>
          <w:i/>
        </w:rPr>
        <w:instrText xml:space="preserve">)"\l3 \n&gt; \* MERGEFORMAT </w:instrText>
      </w:r>
      <w:r>
        <w:rPr>
          <w:i/>
        </w:rPr>
        <w:fldChar w:fldCharType="end"/>
      </w:r>
    </w:p>
    <w:p w:rsidR="003049F1" w:rsidRPr="00F87AAF" w:rsidP="00997264" w14:paraId="4713EA61" w14:textId="77777777">
      <w:pPr>
        <w:widowControl/>
        <w:rPr>
          <w:vanish/>
        </w:rPr>
      </w:pPr>
      <w:bookmarkStart w:id="3" w:name="PE"/>
      <w:r w:rsidRPr="00F87AAF">
        <w:rPr>
          <w:vanish/>
        </w:rPr>
        <w:t>PE789.919</w:t>
      </w:r>
      <w:bookmarkEnd w:id="3"/>
    </w:p>
    <w:p w:rsidR="003049F1" w:rsidRPr="00F87AAF" w:rsidP="00997264" w14:paraId="62135CE9" w14:textId="67937BD0">
      <w:pPr>
        <w:pStyle w:val="ATHeading3"/>
      </w:pPr>
      <w:bookmarkStart w:id="4" w:name="Sujet"/>
      <w:r w:rsidRPr="00F87AAF">
        <w:t>Euroopan parlamentin päätöslauselma 8. heinäkuuta 2026 komission delegoidun asetuksen (EU) 2019/807 muuttamisesta sellaisen kehityspolun käyttöön ottamiseksi, jolla vähennetään asteittain suurta epäsuoran maankäytön muutoksen riskiä aiheuttavien biopolttoaineiden, bionesteiden ja biomassapolttoaineiden panosta uusiutuvan energian tavoitteiden saavuttamiseen</w:t>
      </w:r>
      <w:bookmarkEnd w:id="4"/>
      <w:r w:rsidRPr="00F87AAF" w:rsidR="00F16D20">
        <w:t>, 10. huhtikuuta 2026 annetusta komission delegoidusta asetuksesta</w:t>
      </w:r>
      <w:r w:rsidRPr="00F87AAF">
        <w:t xml:space="preserve"> </w:t>
      </w:r>
      <w:bookmarkStart w:id="5" w:name="References"/>
      <w:r w:rsidRPr="00F87AAF">
        <w:t>(C(2026)02306) – 2026/2680(DEA))</w:t>
      </w:r>
      <w:bookmarkEnd w:id="5"/>
    </w:p>
    <w:p w:rsidR="00AE2929" w:rsidRPr="00F87AAF" w:rsidP="00997264" w14:paraId="12D4BDC2" w14:textId="77777777">
      <w:pPr>
        <w:pStyle w:val="EPComma"/>
        <w:widowControl/>
      </w:pPr>
      <w:bookmarkStart w:id="6" w:name="TextBodyBegin"/>
      <w:bookmarkEnd w:id="6"/>
      <w:r w:rsidRPr="00F87AAF">
        <w:rPr>
          <w:i/>
        </w:rPr>
        <w:t>Euroopan parlamentti</w:t>
      </w:r>
      <w:r w:rsidRPr="00F87AAF">
        <w:t>, joka</w:t>
      </w:r>
    </w:p>
    <w:p w:rsidR="00AE2929" w:rsidRPr="00F87AAF" w:rsidP="00997264" w14:paraId="06808463" w14:textId="77777777">
      <w:pPr>
        <w:pStyle w:val="NormalHanging12a"/>
        <w:widowControl/>
      </w:pPr>
      <w:r w:rsidRPr="00F87AAF">
        <w:t>–</w:t>
      </w:r>
      <w:r w:rsidRPr="00F87AAF">
        <w:tab/>
        <w:t>ottaa huomioon komission delegoidun asetuksen (C(2026)02306),</w:t>
      </w:r>
    </w:p>
    <w:p w:rsidR="00AE2929" w:rsidRPr="00F87AAF" w:rsidP="00997264" w14:paraId="0B637354" w14:textId="77777777">
      <w:pPr>
        <w:pStyle w:val="NormalHanging12a"/>
        <w:widowControl/>
      </w:pPr>
      <w:r w:rsidRPr="00F87AAF">
        <w:t>–</w:t>
      </w:r>
      <w:r w:rsidRPr="00F87AAF">
        <w:tab/>
        <w:t>ottaa huomioon Euroopan unionin toiminnasta tehdyn sopimuksen 290 artiklan,</w:t>
      </w:r>
    </w:p>
    <w:p w:rsidR="00AE2929" w:rsidRPr="00F87AAF" w:rsidP="00997264" w14:paraId="014C1B30" w14:textId="77777777">
      <w:pPr>
        <w:pStyle w:val="NormalHanging12a"/>
        <w:widowControl/>
      </w:pPr>
      <w:r w:rsidRPr="00F87AAF">
        <w:t>–</w:t>
      </w:r>
      <w:r w:rsidRPr="00F87AAF">
        <w:tab/>
        <w:t>ottaa huomioon uusiutuvista lähteistä peräisin olevan energian käytön edistämisestä 11. joulukuuta 2018 annetun Euroopan parlamentin ja neuvoston direktiivin (EU) 2018/2001</w:t>
      </w:r>
      <w:r>
        <w:rPr>
          <w:rStyle w:val="FootnoteReference"/>
        </w:rPr>
        <w:footnoteReference w:id="2"/>
      </w:r>
      <w:r w:rsidRPr="00F87AAF">
        <w:t xml:space="preserve"> ja erityisesti sen 26 artiklan 2 kohdan viidennen alakohdan ja 35 artiklan 7 kohdan,</w:t>
      </w:r>
    </w:p>
    <w:p w:rsidR="00AE2929" w:rsidRPr="00F87AAF" w:rsidP="00997264" w14:paraId="5FBBA05B" w14:textId="77777777">
      <w:pPr>
        <w:pStyle w:val="NormalHanging12a"/>
        <w:widowControl/>
      </w:pPr>
      <w:r w:rsidRPr="00F87AAF">
        <w:t>–</w:t>
      </w:r>
      <w:r w:rsidRPr="00F87AAF">
        <w:tab/>
        <w:t>ottaa huomioon Euroopan parlamentin ja neuvoston direktiivin (EU) 2018/2001 täydentämisestä siltä osin kuin on kyse suurta epäsuoran maankäytön muutoksen riskiä aiheuttavien raaka-aineiden, joiden tuotantoalue on laajentunut merkittävästi paljon hiiltä sitovalle maalle, määrittelemisestä sekä vähäistä epäsuoran maankäytön muutoksen riskiä aiheuttavien biopolttoaineiden, bionesteiden ja biomassapolttoaineiden sertifioinnista 13. maaliskuuta 2019 annetun komission delegoidun asetuksen (EU) 2019/807</w:t>
      </w:r>
      <w:r>
        <w:rPr>
          <w:rStyle w:val="FootnoteReference"/>
        </w:rPr>
        <w:footnoteReference w:id="3"/>
      </w:r>
      <w:r w:rsidRPr="00F87AAF">
        <w:t>,</w:t>
      </w:r>
    </w:p>
    <w:p w:rsidR="00AE2929" w:rsidRPr="00F87AAF" w:rsidP="00997264" w14:paraId="3C03AB6F" w14:textId="77777777">
      <w:pPr>
        <w:pStyle w:val="NormalHanging12a"/>
        <w:widowControl/>
      </w:pPr>
      <w:r w:rsidRPr="00F87AAF">
        <w:t>–</w:t>
      </w:r>
      <w:r w:rsidRPr="00F87AAF">
        <w:tab/>
        <w:t>ottaa huomioon työjärjestyksen 114 artiklan 3 kohdan,</w:t>
      </w:r>
    </w:p>
    <w:p w:rsidR="00DF2B7A" w:rsidRPr="00F87AAF" w:rsidP="00997264" w14:paraId="6F380D47" w14:textId="10F809A6">
      <w:pPr>
        <w:pStyle w:val="NormalHanging12a"/>
        <w:widowControl/>
      </w:pPr>
      <w:r w:rsidRPr="00F87AAF">
        <w:t>–</w:t>
      </w:r>
      <w:r w:rsidRPr="00F87AAF">
        <w:tab/>
        <w:t>ottaa huomioon teollisuus-, tutkimus- ja energiavaliokunnan päätöslauselmaesityksen,</w:t>
      </w:r>
    </w:p>
    <w:p w:rsidR="00532A98" w:rsidRPr="00F87AAF" w:rsidP="00532A98" w14:paraId="064C1C21" w14:textId="4359EDB4">
      <w:pPr>
        <w:pStyle w:val="NormalHanging12a"/>
        <w:widowControl/>
      </w:pPr>
      <w:r w:rsidRPr="00F87AAF">
        <w:t>A.</w:t>
      </w:r>
      <w:r w:rsidRPr="00F87AAF">
        <w:tab/>
        <w:t>ottaa huomioon, että direktiivissä (EU) 2018/2001 sen varmistamiseksi, että tämän tavoitteen saavuttamisessa huomioon otettavat biopolttoaineet tuottavat todellisia hyötyjä, otetaan käyttöön epäsuoran maankäytön muutoksen (ILUC) riskiin puuttumista koskeva kehys, jonka mukaisesti raaka-aineet voidaan luokitella suurta ILUC-riskiä aiheuttaviksi raaka-aineiksi ja niihin voidaan soveltaa ylärajaa;</w:t>
      </w:r>
    </w:p>
    <w:p w:rsidR="00AE2929" w:rsidRPr="00F87AAF" w:rsidP="00997264" w14:paraId="402E9676" w14:textId="77777777">
      <w:pPr>
        <w:pStyle w:val="NormalHanging12a"/>
        <w:widowControl/>
      </w:pPr>
      <w:r w:rsidRPr="00F87AAF">
        <w:t>B.</w:t>
      </w:r>
      <w:r w:rsidRPr="00F87AAF">
        <w:tab/>
        <w:t>ottaa huomioon, että komission delegoidussa asetuksessa (EU) 2019/807 vahvistettiin menetelmä suurta ILUC-riskiä aiheuttavien raaka-aineiden määrittämiseksi ja sen 3 artiklassa edellytettiin nimenomaisesti, että arviointi perustuu ”vuodesta 2008” saatuihin tietoihin, ja asetettiin 10 prosentin laajenemiskynnys paljon hiiltä sitovalle maalle, jonka ylittyessä raaka-aine luokitellaan suurta ILUC-riskiä aiheuttavaksi raaka-aineeksi; ottaa huomioon, että tätä menetelmää ja kyseistä perustasoa soveltaen komission vuoden 2019 kertomuksessa todettiin, että soijapapujen osuus laajenemisesta paljon hiiltä sitovalle maalle, oli 8 prosenttia, joka on alle kynnysarvon, mikä tarkoittaa, että soijapapuja ei luokiteltu suurta ILUC-riskiä aiheuttaviksi;</w:t>
      </w:r>
    </w:p>
    <w:p w:rsidR="00AE2929" w:rsidRPr="00F87AAF" w:rsidP="00997264" w14:paraId="564F0CB3" w14:textId="77777777">
      <w:pPr>
        <w:pStyle w:val="NormalHanging12a"/>
        <w:widowControl/>
      </w:pPr>
      <w:r w:rsidRPr="00F87AAF">
        <w:t>C.</w:t>
      </w:r>
      <w:r w:rsidRPr="00F87AAF">
        <w:tab/>
        <w:t>ottaa huomioon, että Indonesia ja Malesia riitauttivat WTO:ssa (DS593 ja DS600) unionin ILUC-kehyksen, erityisesti palmuöljyn luokittelun suurta ILUC-riskiä aiheuttavaksi ja vähäisen ILUC-riskin sertifiointimenettelyn; ottaa huomioon, että WTO:n paneelin tammikuussa 2025 antamassa päätöksessä asia ratkaistiin yleisesti unionin hyväksi mutta yksilöitiin tiettyjä rikkomuksia, kuten se, että tieteellisiä tietoja ei ole päivitetty oikea-aikaisesti, vähäisen ILUC-riskin sertifiointimenettelyssä on puutteita ja toimenpiteistä ei ole ilmoitettu asianmukaisesti; ottaa huomioon, että paneeli arvosteli unionin menettelyvirheitä eikä unionin valintaa siitä, mitkä viljelykasvit luokitellaan suurta ILUC-riskiä aiheuttaviksi;</w:t>
      </w:r>
    </w:p>
    <w:p w:rsidR="00AE2929" w:rsidRPr="00F87AAF" w:rsidP="00997264" w14:paraId="31A71515" w14:textId="77777777">
      <w:pPr>
        <w:pStyle w:val="NormalHanging12a"/>
        <w:widowControl/>
      </w:pPr>
      <w:r w:rsidRPr="00F87AAF">
        <w:t>D.</w:t>
      </w:r>
      <w:r w:rsidRPr="00F87AAF">
        <w:tab/>
        <w:t>ottaa huomioon, että delegoidulla säädöksellä soijapavut lisätään palmuöljyn ohella suurta ILUC-riskiä aiheuttavien raaka-aineiden luetteloon päivitettyjen tieteellisten tietojen perusteella, mikä tarkoittaa, että soijapohjaisen biodieselin sisällyttäminen EU:n uusiutuvaa energiaa koskeviin tavoitteisiin vuoteen 2030 mennessä vähenisi asteittain kokonaan;</w:t>
      </w:r>
    </w:p>
    <w:p w:rsidR="00AE2929" w:rsidRPr="00F87AAF" w:rsidP="00997264" w14:paraId="71E0893D" w14:textId="77777777">
      <w:pPr>
        <w:pStyle w:val="NormalHanging12a"/>
        <w:widowControl/>
      </w:pPr>
      <w:r w:rsidRPr="00F87AAF">
        <w:t>E.</w:t>
      </w:r>
      <w:r w:rsidRPr="00F87AAF">
        <w:tab/>
        <w:t>ottaa huomioon, että parlamentti ei vastusta palmuöljyn asteittaisen vähentämisen kehityspolkua, koska palmuöljyn luokittelu suurta ILUC-riskiä aiheuttavaksi on tieteellisesti vankka ja kiistaton, eikä se vastusta myöskään vähäisen ILUC-riskin sertifiointimenettelyn puutteiden korjaamista, jotka molemmat ovat asianmukaisia reaktioita WTO:n paneelin päätökseen ja jotka olisi säilytettävä mahdollisissa tarkistetuissa delegoiduissa säädöksissä;</w:t>
      </w:r>
    </w:p>
    <w:p w:rsidR="00AE2929" w:rsidRPr="00F87AAF" w:rsidP="00997264" w14:paraId="4DFDD55B" w14:textId="77777777">
      <w:pPr>
        <w:pStyle w:val="NormalHanging12a"/>
        <w:widowControl/>
      </w:pPr>
      <w:r w:rsidRPr="00F87AAF">
        <w:t>F.</w:t>
      </w:r>
      <w:r w:rsidRPr="00F87AAF">
        <w:tab/>
        <w:t>ottaa huomioon, että soijapapujen luokittelu suurta ILUC-riskiä aiheuttaviksi delegoidussa säädöksessä perustuu päivitettyyn tieteelliseen tietoon, joka poikkeaa komission delegoidun asetuksen (EU) 2019/807 3 artiklassa vahvistetusta vuoden 2008 havainnoinnin perustasosta siirtämällä havainnointijakso vuoteen 2014; ottaa huomioon, että tätä perustasovuoden muutosta ei edellytetä WTO:n paneelin päätöksessä, joka koski tietojen päivitysten oikea-aikaisuutta eikä perustasovuoden valintaa; ottaa huomioon, että jos sovelletaan nykyisessä oikeudellisessa kehyksessä edellytettyä vuoden 2008 alkuperäistä perustasoa, soijapapujen osuus laajenemisesta paljon hiiltä sitovalle maalle jäisi mitä todennäköisimmin alle 10 prosentin kynnysarvon, minkä johdosta soijapapuja ei pidettäisi suurta ILUC-riskiä aiheuttavana raaka-aineena;</w:t>
      </w:r>
    </w:p>
    <w:p w:rsidR="00AE2929" w:rsidRPr="00F87AAF" w:rsidP="00532A98" w14:paraId="716CFF15" w14:textId="08A6AD86">
      <w:pPr>
        <w:pStyle w:val="NormalHanging12a"/>
        <w:widowControl/>
      </w:pPr>
      <w:r w:rsidRPr="00F87AAF">
        <w:t>G.</w:t>
      </w:r>
      <w:r w:rsidRPr="00F87AAF">
        <w:tab/>
        <w:t xml:space="preserve">ottaa huomioon, että soijan luokittelun perustana olevissa päivitetyissä tieteellisissä tiedoissa ei oteta huomioon soijapapujen viljelyyn liittyviä, kahta satoa vuodessa </w:t>
      </w:r>
      <w:r w:rsidRPr="00F87AAF">
        <w:t>koskevia käytäntöjä, joissa soijaa viljellään toisena viljelykasvina maalla, jota jo käytetään ensisijaisiin viljelykasveihin saman kalenterivuoden aikana; ottaa huomioon, että tämä metodologinen puute johtaa soijapapujen tuotantoalueen laajenemisen yliarviointiin ja paisuttaa siten soijapapujen laskettua osuutta laajenemisesta paljon hiiltä sitovalle maalle;</w:t>
      </w:r>
    </w:p>
    <w:p w:rsidR="00AE2929" w:rsidRPr="00F87AAF" w:rsidP="00997264" w14:paraId="7D82CC46" w14:textId="6F93F485">
      <w:pPr>
        <w:pStyle w:val="NormalHanging12a"/>
        <w:widowControl/>
      </w:pPr>
      <w:r w:rsidRPr="00F87AAF">
        <w:t>H</w:t>
      </w:r>
      <w:r w:rsidRPr="00F87AAF">
        <w:t>.</w:t>
      </w:r>
      <w:r w:rsidRPr="00F87AAF">
        <w:tab/>
        <w:t xml:space="preserve">ottaa huomioon, että soijapapujen viljelyyn liittyvä ILUC-riski keskittyy maantieteellisesti Etelä-Amerikassa tapahtuvaan tuotantoon; ottaa huomioon, että soijapapujen viljely unionissa ei aiheuta metsäkatoa tai maan käyttötarkoituksen muuttamista, joihin ILUC-kehyksellä on tarkoitus puuttua; ottaa huomioon, että komissio ei ole esittänyt näyttöä siitä, että soijapapujen viljely unionissa aiheutuisi </w:t>
      </w:r>
      <w:r w:rsidRPr="00F87AAF">
        <w:t>ILUCia</w:t>
      </w:r>
      <w:r w:rsidRPr="00F87AAF">
        <w:t>; ottaa huomioon, että tällaisen näytön puuttuessa unionissa tuotettujen soijapapujen luokittelemiselle suurta ILUC-riskiä aiheuttaviksi ei ole riittävää tieteellistä perustaa;</w:t>
      </w:r>
      <w:r w:rsidRPr="00F87AAF" w:rsidR="00997264">
        <w:t xml:space="preserve"> </w:t>
      </w:r>
      <w:r w:rsidRPr="00F87AAF">
        <w:t>katsoo, että maailmanlaajuisesti eriyttämättömän suurta ILUC</w:t>
      </w:r>
      <w:r w:rsidRPr="00F87AAF">
        <w:noBreakHyphen/>
        <w:t>riskiä aiheuttavan raaka-aineen luokituksen soveltaminen soijapapuihin niiden maantieteellisestä alkuperästä riippumatta on suhteetonta ja rasittaa unionin tuottajia maankäytön muutoksista aiheutuvilla päästöillä, joista ne eivät ole vastuussa;</w:t>
      </w:r>
    </w:p>
    <w:p w:rsidR="00AE2929" w:rsidRPr="00F87AAF" w:rsidP="00997264" w14:paraId="1DE39F2E" w14:textId="0FE0F725">
      <w:pPr>
        <w:pStyle w:val="NormalHanging12a"/>
        <w:widowControl/>
      </w:pPr>
      <w:r w:rsidRPr="00F87AAF">
        <w:t>I</w:t>
      </w:r>
      <w:r w:rsidRPr="00F87AAF">
        <w:t>.</w:t>
      </w:r>
      <w:r w:rsidRPr="00F87AAF">
        <w:tab/>
      </w:r>
      <w:bookmarkStart w:id="8" w:name="_Hlk230337619"/>
      <w:r w:rsidRPr="00F87AAF">
        <w:t>ottaa huomioon, että komission maataloutta ja elintarvikkeita koskevassa visiossa korostetaan tarvetta luoda omavaraisempi unionin proteiinijärjestelmä; ottaa huomioon, että unioni tuottaa vain noin 6 prosenttia kuluttamistaan soijapavuista, mikä tekee unionista vahvasti riippuvaisen tuonnista; ottaa huomioon, että komission ilmoittamalla EU:n proteiinisuunnitelmalla ja sen tavoitteilla sekä avointa strategista riippumattomuutta koskevilla tavoitteilla pyritään erityisesti laajentamaan soijapapujen kotimaista viljelyä tämän riippuvuuden vähentämiseksi; ottaa huomioon, että biopolttoainemarkkinat ovat keskeinen kasvutekijä soijapapujen viljelyssä unionissa ja soijan murskauksessa unionissa; ottaa huomioon, että soijapapujen luokittelu suurta ILUC-riskiä aiheuttavaksi poistaa tämän markkinakannustimen ja on suoraan ristiriidassa EU:n proteiinisuunnitelman tavoitteiden ja unionin strategisen riippumattomuuden tavoitteiden kanssa;</w:t>
      </w:r>
      <w:bookmarkEnd w:id="8"/>
    </w:p>
    <w:p w:rsidR="00AE2929" w:rsidRPr="00F87AAF" w:rsidP="00997264" w14:paraId="405E6407" w14:textId="78B0D916">
      <w:pPr>
        <w:pStyle w:val="NormalHanging12a"/>
        <w:widowControl/>
      </w:pPr>
      <w:r w:rsidRPr="00F87AAF">
        <w:t>J</w:t>
      </w:r>
      <w:r w:rsidRPr="00F87AAF">
        <w:t>.</w:t>
      </w:r>
      <w:r w:rsidRPr="00F87AAF">
        <w:tab/>
        <w:t>ottaa huomioon, että soijapapujen murskaaminen tuottaa sekä soijarouhetta, joka on lippulaivatuote ja olennainen rehuproteiinin lähde, että soijaöljyä, jonka osuus soijapapujen siemenistä on vain noin 20 prosenttia ja jota käytetään muun muassa biopolttoaineiden raaka-aineena; ottaa huomioon, että soijapapujen viljelyn ja jalostuksen tärkein kasvutekijä on soijajauhon kysyntä eläinten rehuksi eikä soijaöljyn käyttö biopolttoaineissa; ottaa huomioon, että soijapapujen viljelyn laajentumisdynamiikan liittäminen ensisijaisesti biopolttoaineissa käytettävään soijaöljyyn antaa näin ollen väärän kuvan alan taloudellisesta todellisuudesta ja yliarvioi soijabiodieseliin liittyvän ILUC-vaikutuksen; ottaa huomioon, että soijaöljyn arvon aleneminen sen biopolttoainemarkkina-alueen menettämisen vuoksi heikentää murskausmarginaaleja ja heikentää soijan kotimaisen murskauksen taloudellista kannattavuutta; ottaa huomioon, että tämä pakottaisi unionin korvaamaan jopa 4,8 miljoonaa tonnia kotimaassa tuotettua soijajauhoa kolmansista maista tulevalla tuonnilla, mikä lisäisi riippuvuutta proteiinin tuonnista, nostaisi rehukustannuksia ja siirtäisi lisäarvoa luovaa teollista toimintaa unionin ulkopuolelle; ottaa huomioon, että alalle aiheutuvat taloudelliset seuraukset ovat arviolta noin 36 miljoonaa euroa tappioina unionin soijanviljelijöille, 120 miljoonaa euroa unionin murskaustoiminnalle ja jopa 1,3 miljardia euroa unionin biodieselteollisuudelle;</w:t>
      </w:r>
    </w:p>
    <w:p w:rsidR="00AE2929" w:rsidRPr="00F87AAF" w:rsidP="00997264" w14:paraId="003042DA" w14:textId="4F679F69">
      <w:pPr>
        <w:pStyle w:val="NormalHanging12a"/>
        <w:widowControl/>
      </w:pPr>
      <w:r w:rsidRPr="00F87AAF">
        <w:t>K</w:t>
      </w:r>
      <w:r w:rsidRPr="00F87AAF">
        <w:t>.</w:t>
      </w:r>
      <w:r w:rsidRPr="00F87AAF">
        <w:tab/>
        <w:t xml:space="preserve">ottaa huomioon, että soijapapu on typpeä sitova viljelykasvi, joka vähentää riippuvuutta kemiallisista typpilannoitteista ja edistää viljelykiertoa ja maaperän terveyttä; ottaa </w:t>
      </w:r>
      <w:r w:rsidRPr="00F87AAF">
        <w:t>huomioon, että soijapapujen viljelyn rajoittaminen EU:ssa lisäisi unionin riippuvuutta tuoduista kemiallisista lannoitteista, mikä on vastoin lannoitteiden toimitusketjun häiriönsietokykyä koskevia unionin tavoitteita, joista on tullut entistä kiireellisempiä Venäjän Ukrainaan kohdistaman hyökkäyksen aiheuttamien toimitushäiriöiden vuoksi;</w:t>
      </w:r>
    </w:p>
    <w:p w:rsidR="00AE2929" w:rsidRPr="00F87AAF" w:rsidP="00997264" w14:paraId="568164A9" w14:textId="3CAA791B">
      <w:pPr>
        <w:pStyle w:val="NormalHanging12a"/>
        <w:widowControl/>
      </w:pPr>
      <w:r w:rsidRPr="00F87AAF">
        <w:t>L</w:t>
      </w:r>
      <w:r w:rsidRPr="00F87AAF">
        <w:t>.</w:t>
      </w:r>
      <w:r w:rsidRPr="00F87AAF">
        <w:tab/>
        <w:t>ottaa huomioon, että puhtaan teollisen kehityksen ohjelmassa peräänkuulutetaan kilpailukykyistä ja vähähiilistä teollista taloutta, jota tuetaan laajalla ja monipuolisella puhtaiden polttoaineiden ja raaka-aineiden valikoimalla; ottaa huomioon, että saatavilla olevan biopolttoaineiden raaka-ainekorin supistaminen poistamalla siitä soijapavut kaventaa unionin tarjontapohjaa liikennealan hiilestä irtautumiseksi, lisää hintojen epävakautta ja tarjonnan haavoittuvuutta ja on ristiriidassa unionin kilpailukykytavoitteiden edellyttämän teknologianeutraalin ja toimitusvarman lähestymistavan kanssa;</w:t>
      </w:r>
    </w:p>
    <w:p w:rsidR="00AE2929" w:rsidRPr="00F87AAF" w:rsidP="00997264" w14:paraId="3CFF7B77" w14:textId="327F3ABC">
      <w:pPr>
        <w:pStyle w:val="NormalHanging12a"/>
        <w:widowControl/>
      </w:pPr>
      <w:r w:rsidRPr="00F87AAF">
        <w:t>M</w:t>
      </w:r>
      <w:r w:rsidRPr="00F87AAF">
        <w:t>.</w:t>
      </w:r>
      <w:r w:rsidRPr="00F87AAF">
        <w:tab/>
        <w:t>ottaa huomioon, että kilpailukykykompassissa määritetään unionin keskeisiksi painopisteiksi strategisten riippuvuuksien vähentäminen ja unionin teollisuus- ja jalostuskapasiteetin vahvistaminen; ottaa huomioon, että soijapapujen luokittelu suurta ILUC-riskiä aiheuttaviksi pikemminkin lisää kuin vähentää unionin strategisia riippuvuuksia sekä proteiini- että biopolttoainealalla;</w:t>
      </w:r>
    </w:p>
    <w:p w:rsidR="00AE2929" w:rsidRPr="00F87AAF" w:rsidP="00997264" w14:paraId="303064D0" w14:textId="77777777">
      <w:pPr>
        <w:pStyle w:val="NormalHanging12a"/>
        <w:widowControl/>
      </w:pPr>
      <w:r w:rsidRPr="00F87AAF">
        <w:t>1.</w:t>
      </w:r>
      <w:r w:rsidRPr="00F87AAF">
        <w:tab/>
        <w:t>vastustaa komission delegoitua asetusta;</w:t>
      </w:r>
    </w:p>
    <w:p w:rsidR="00AE2929" w:rsidRPr="00F87AAF" w:rsidP="00997264" w14:paraId="4B985E92" w14:textId="77777777">
      <w:pPr>
        <w:pStyle w:val="NormalHanging12a"/>
        <w:widowControl/>
      </w:pPr>
      <w:r w:rsidRPr="00F87AAF">
        <w:t>2.</w:t>
      </w:r>
      <w:r w:rsidRPr="00F87AAF">
        <w:tab/>
        <w:t>kehottaa puhemiestä välittämään tämän päätöslauselman komissiolle ja ilmoittamaan sille, että delegoitu asetus ei voi tulla voimaan;</w:t>
      </w:r>
    </w:p>
    <w:p w:rsidR="00AE2929" w:rsidRPr="00F87AAF" w:rsidP="00997264" w14:paraId="2F70ED2B" w14:textId="77777777">
      <w:pPr>
        <w:pStyle w:val="NormalHanging12a"/>
        <w:widowControl/>
      </w:pPr>
      <w:r w:rsidRPr="00F87AAF">
        <w:t>3.</w:t>
      </w:r>
      <w:r w:rsidRPr="00F87AAF">
        <w:tab/>
        <w:t>pyytää komissiota esittämään tarkistetun delegoidun säädöksen, jossa otetaan huomioon seuraavat suositukset:</w:t>
      </w:r>
    </w:p>
    <w:p w:rsidR="00AE2929" w:rsidRPr="00F87AAF" w:rsidP="00997264" w14:paraId="1A475434" w14:textId="77777777">
      <w:pPr>
        <w:pStyle w:val="NormalHanging12a"/>
        <w:widowControl/>
        <w:ind w:left="1134"/>
      </w:pPr>
      <w:r w:rsidRPr="00F87AAF">
        <w:t>a)</w:t>
      </w:r>
      <w:r w:rsidRPr="00F87AAF">
        <w:tab/>
        <w:t>soijapapujen ILUC-riskin määrittämisen olisi perustuttava tietoihin ”vuodesta 2008”, kuten komission delegoidun asetuksen (EU) 2019/807 3 artiklassa nimenomaisesti edellytetään, ja soijapapujen luokittelua suurta ILUC-riskiä aiheuttavaksi olisi tarkasteltava uudelleen kyseisen korjatun menetelmän perusteella; jos soijapapujen osuus laajenemisesta paljon hiiltä sitovalle maalle laskee vuodesta 2008 lähtien saatujen tietojen perusteella alle nykyisessä kehyksessä vahvistetun 10 prosentin kynnysarvon, soijapapuja ei pitäisi luokitella tarkistetussa säädöksessä suurta ILUC-riskiä aiheuttaviksi;</w:t>
      </w:r>
    </w:p>
    <w:p w:rsidR="00AE2929" w:rsidRPr="00F87AAF" w:rsidP="00694980" w14:paraId="7567C93F" w14:textId="76366A57">
      <w:pPr>
        <w:pStyle w:val="NormalHanging12a"/>
        <w:widowControl/>
        <w:ind w:left="1134"/>
      </w:pPr>
      <w:r w:rsidRPr="00F87AAF">
        <w:t>b)</w:t>
      </w:r>
      <w:r w:rsidRPr="00F87AAF">
        <w:tab/>
        <w:t>menetelmä olisi saatettava ajan tasalle, jotta voidaan ottaa täysin huomioon soijapapujen viljelyyn liittyvät kahta satoa vuodessa koskevat käytännöt, jotta soijapapujen tuotantoalueen laajentaminen ja laskettu osuus laajentumisesta paljon hiiltä sitovalle maalle kuvastavat tarkasti todellista maankäytön muutoksen dynamiikkaa;</w:t>
      </w:r>
    </w:p>
    <w:p w:rsidR="00AE2929" w:rsidRPr="00F87AAF" w:rsidP="00997264" w14:paraId="29A065E8" w14:textId="57EE8A57">
      <w:pPr>
        <w:pStyle w:val="NormalHanging12a"/>
        <w:widowControl/>
        <w:ind w:left="1134"/>
      </w:pPr>
      <w:r w:rsidRPr="00F87AAF">
        <w:t>c</w:t>
      </w:r>
      <w:r w:rsidRPr="00F87AAF">
        <w:t>)</w:t>
      </w:r>
      <w:r w:rsidRPr="00F87AAF">
        <w:tab/>
        <w:t>unionissa tai sellaisissa kolmansissa maissa, joissa on vastaavat ja todennetut maankäytön ja metsäkadon seurantaa koskevat standardit, tuotettujen soijapapujen osalta olisi säädettävä sen tunnustamisesta vähäiseksi ILUC</w:t>
      </w:r>
      <w:r w:rsidRPr="00F87AAF">
        <w:noBreakHyphen/>
        <w:t>riskiksi, jolloin se jätettäisiin asteittaisen vähentämisen kehityspolun ulkopuolelle sillä perusteella, että tällainen tuotanto ei saa aikaan maankäytön muutosta, johon ILUC-kehyksellä on tarkoitus puuttua;</w:t>
      </w:r>
    </w:p>
    <w:p w:rsidR="00AE2929" w:rsidRPr="00F87AAF" w:rsidP="00997264" w14:paraId="09723E0A" w14:textId="3B3D5C62">
      <w:pPr>
        <w:pStyle w:val="NormalHanging12a"/>
        <w:widowControl/>
        <w:ind w:left="1134"/>
      </w:pPr>
      <w:r w:rsidRPr="00F87AAF">
        <w:t>d</w:t>
      </w:r>
      <w:r w:rsidRPr="00F87AAF">
        <w:t>)</w:t>
      </w:r>
      <w:r w:rsidRPr="00F87AAF">
        <w:tab/>
        <w:t xml:space="preserve">vahvistaa, että se ei vastusta palmuöljypohjaisten biopolttoaineiden käytön asteittaista vähentämistä tai vähäisen ILUC-riskin sertifiointimenettelyn </w:t>
      </w:r>
      <w:r w:rsidRPr="00F87AAF">
        <w:t>puutteiden korjaamista, jotka ovat asianmukaisia ja tarpeellisia reaktioita WTO:n paneelin päätökseen ja jotka olisi säilytettävä mahdollisissa tarkistetuissa delegoiduissa säädöksissä;</w:t>
      </w:r>
    </w:p>
    <w:p w:rsidR="00E365E1" w:rsidRPr="00F87AAF" w:rsidP="00997264" w14:paraId="7DF4AB52" w14:textId="57B4BCB2">
      <w:pPr>
        <w:pStyle w:val="NormalHanging12a"/>
        <w:widowControl/>
      </w:pPr>
      <w:r w:rsidRPr="00F87AAF">
        <w:t>4.</w:t>
      </w:r>
      <w:r w:rsidRPr="00F87AAF">
        <w:tab/>
        <w:t>kehottaa puhemiestä välittämään tämän päätöslauselman neuvostolle sekä jäsenvaltioiden hallituksille ja parlamenteille.</w:t>
      </w:r>
    </w:p>
    <w:sectPr w:rsidSect="00493F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049F1" w:rsidRPr="00493FA7" w14:paraId="4EDA9920" w14:textId="77777777">
      <w:r w:rsidRPr="00493FA7">
        <w:separator/>
      </w:r>
    </w:p>
  </w:footnote>
  <w:footnote w:type="continuationSeparator" w:id="1">
    <w:p w:rsidR="003049F1" w:rsidRPr="00493FA7" w14:paraId="059F163F" w14:textId="77777777">
      <w:r w:rsidRPr="00493FA7">
        <w:continuationSeparator/>
      </w:r>
    </w:p>
  </w:footnote>
  <w:footnote w:id="2">
    <w:p w:rsidR="00AE2929" w:rsidRPr="00493FA7" w:rsidP="00493FA7" w14:paraId="11694025" w14:textId="6D4DC0BE">
      <w:pPr>
        <w:pStyle w:val="FootnoteText"/>
        <w:ind w:left="567" w:hanging="567"/>
        <w:rPr>
          <w:sz w:val="24"/>
          <w:lang w:val="fi-FI"/>
        </w:rPr>
      </w:pPr>
      <w:r w:rsidRPr="00493FA7">
        <w:rPr>
          <w:rStyle w:val="FootnoteReference"/>
          <w:sz w:val="24"/>
          <w:lang w:val="fi-FI"/>
        </w:rPr>
        <w:footnoteRef/>
      </w:r>
      <w:r w:rsidRPr="00493FA7" w:rsidR="00493FA7">
        <w:rPr>
          <w:sz w:val="24"/>
          <w:lang w:val="fi-FI"/>
        </w:rPr>
        <w:t xml:space="preserve"> </w:t>
      </w:r>
      <w:r w:rsidRPr="00493FA7" w:rsidR="00493FA7">
        <w:rPr>
          <w:sz w:val="24"/>
          <w:lang w:val="fi-FI"/>
        </w:rPr>
        <w:tab/>
      </w:r>
      <w:r w:rsidRPr="00493FA7">
        <w:rPr>
          <w:sz w:val="24"/>
          <w:lang w:val="fi-FI"/>
        </w:rPr>
        <w:t xml:space="preserve">EUVL L 328, 21.12.2018, s. 82, ELI: </w:t>
      </w:r>
      <w:bookmarkStart w:id="7" w:name="_Hlk233195462"/>
      <w:hyperlink r:id="rId1" w:history="1">
        <w:r w:rsidRPr="00493FA7">
          <w:rPr>
            <w:rStyle w:val="Hyperlink"/>
            <w:sz w:val="24"/>
            <w:lang w:val="fi-FI"/>
          </w:rPr>
          <w:t>http://data.europa.eu/eli/dir/2018/2001/oj</w:t>
        </w:r>
        <w:bookmarkEnd w:id="7"/>
      </w:hyperlink>
      <w:r w:rsidRPr="00493FA7">
        <w:rPr>
          <w:sz w:val="24"/>
          <w:lang w:val="fi-FI"/>
        </w:rPr>
        <w:t>.</w:t>
      </w:r>
    </w:p>
  </w:footnote>
  <w:footnote w:id="3">
    <w:p w:rsidR="00AE2929" w:rsidRPr="00493FA7" w:rsidP="00493FA7" w14:paraId="0DCE910E" w14:textId="3C3B2FAE">
      <w:pPr>
        <w:pStyle w:val="FootnoteText"/>
        <w:ind w:left="567" w:hanging="567"/>
        <w:rPr>
          <w:sz w:val="24"/>
          <w:lang w:val="fi-FI"/>
        </w:rPr>
      </w:pPr>
      <w:r w:rsidRPr="00493FA7">
        <w:rPr>
          <w:rStyle w:val="FootnoteReference"/>
          <w:sz w:val="24"/>
          <w:lang w:val="fi-FI"/>
        </w:rPr>
        <w:footnoteRef/>
      </w:r>
      <w:r w:rsidRPr="00493FA7" w:rsidR="00493FA7">
        <w:rPr>
          <w:sz w:val="24"/>
          <w:lang w:val="fi-FI"/>
        </w:rPr>
        <w:t xml:space="preserve"> </w:t>
      </w:r>
      <w:r w:rsidRPr="00493FA7" w:rsidR="00493FA7">
        <w:rPr>
          <w:sz w:val="24"/>
          <w:lang w:val="fi-FI"/>
        </w:rPr>
        <w:tab/>
      </w:r>
      <w:r w:rsidRPr="00493FA7">
        <w:rPr>
          <w:sz w:val="24"/>
          <w:lang w:val="fi-FI"/>
        </w:rPr>
        <w:t xml:space="preserve">EUVL L 133, 21.5.2019, s. 1, ELI: </w:t>
      </w:r>
      <w:hyperlink r:id="rId2" w:history="1">
        <w:r w:rsidRPr="00493FA7">
          <w:rPr>
            <w:rStyle w:val="Hyperlink"/>
            <w:sz w:val="24"/>
            <w:lang w:val="fi-FI"/>
          </w:rPr>
          <w:t>http://data.europa.eu/eli/reg_del/2019/807/oj</w:t>
        </w:r>
      </w:hyperlink>
      <w:r w:rsidRPr="00493FA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5295261">
    <w:abstractNumId w:val="9"/>
  </w:num>
  <w:num w:numId="2" w16cid:durableId="1439518378">
    <w:abstractNumId w:val="9"/>
  </w:num>
  <w:num w:numId="3" w16cid:durableId="818763669">
    <w:abstractNumId w:val="7"/>
  </w:num>
  <w:num w:numId="4" w16cid:durableId="595752131">
    <w:abstractNumId w:val="7"/>
  </w:num>
  <w:num w:numId="5" w16cid:durableId="1295647153">
    <w:abstractNumId w:val="6"/>
  </w:num>
  <w:num w:numId="6" w16cid:durableId="1191915130">
    <w:abstractNumId w:val="6"/>
  </w:num>
  <w:num w:numId="7" w16cid:durableId="1521235077">
    <w:abstractNumId w:val="5"/>
  </w:num>
  <w:num w:numId="8" w16cid:durableId="1800687865">
    <w:abstractNumId w:val="5"/>
  </w:num>
  <w:num w:numId="9" w16cid:durableId="540216788">
    <w:abstractNumId w:val="4"/>
  </w:num>
  <w:num w:numId="10" w16cid:durableId="966860676">
    <w:abstractNumId w:val="4"/>
  </w:num>
  <w:num w:numId="11" w16cid:durableId="1117263343">
    <w:abstractNumId w:val="8"/>
  </w:num>
  <w:num w:numId="12" w16cid:durableId="351498173">
    <w:abstractNumId w:val="8"/>
  </w:num>
  <w:num w:numId="13" w16cid:durableId="1158426938">
    <w:abstractNumId w:val="3"/>
  </w:num>
  <w:num w:numId="14" w16cid:durableId="1898081455">
    <w:abstractNumId w:val="3"/>
  </w:num>
  <w:num w:numId="15" w16cid:durableId="611982375">
    <w:abstractNumId w:val="2"/>
  </w:num>
  <w:num w:numId="16" w16cid:durableId="1109087207">
    <w:abstractNumId w:val="2"/>
  </w:num>
  <w:num w:numId="17" w16cid:durableId="1201556663">
    <w:abstractNumId w:val="1"/>
  </w:num>
  <w:num w:numId="18" w16cid:durableId="1344479899">
    <w:abstractNumId w:val="1"/>
  </w:num>
  <w:num w:numId="19" w16cid:durableId="1741824208">
    <w:abstractNumId w:val="0"/>
  </w:num>
  <w:num w:numId="20" w16cid:durableId="1362047372">
    <w:abstractNumId w:val="0"/>
  </w:num>
  <w:num w:numId="21" w16cid:durableId="1959331026">
    <w:abstractNumId w:val="9"/>
  </w:num>
  <w:num w:numId="22" w16cid:durableId="1592741811">
    <w:abstractNumId w:val="7"/>
  </w:num>
  <w:num w:numId="23" w16cid:durableId="823350849">
    <w:abstractNumId w:val="6"/>
  </w:num>
  <w:num w:numId="24" w16cid:durableId="2042707702">
    <w:abstractNumId w:val="5"/>
  </w:num>
  <w:num w:numId="25" w16cid:durableId="2133132276">
    <w:abstractNumId w:val="4"/>
  </w:num>
  <w:num w:numId="26" w16cid:durableId="1368329960">
    <w:abstractNumId w:val="8"/>
  </w:num>
  <w:num w:numId="27" w16cid:durableId="1361470017">
    <w:abstractNumId w:val="3"/>
  </w:num>
  <w:num w:numId="28" w16cid:durableId="1550192340">
    <w:abstractNumId w:val="2"/>
  </w:num>
  <w:num w:numId="29" w16cid:durableId="103573274">
    <w:abstractNumId w:val="1"/>
  </w:num>
  <w:num w:numId="30" w16cid:durableId="238489259">
    <w:abstractNumId w:val="0"/>
  </w:num>
  <w:num w:numId="31" w16cid:durableId="1472598438">
    <w:abstractNumId w:val="9"/>
  </w:num>
  <w:num w:numId="32" w16cid:durableId="1989699865">
    <w:abstractNumId w:val="7"/>
  </w:num>
  <w:num w:numId="33" w16cid:durableId="2109344268">
    <w:abstractNumId w:val="6"/>
  </w:num>
  <w:num w:numId="34" w16cid:durableId="440492149">
    <w:abstractNumId w:val="5"/>
  </w:num>
  <w:num w:numId="35" w16cid:durableId="1622032106">
    <w:abstractNumId w:val="4"/>
  </w:num>
  <w:num w:numId="36" w16cid:durableId="1588608398">
    <w:abstractNumId w:val="8"/>
  </w:num>
  <w:num w:numId="37" w16cid:durableId="944072998">
    <w:abstractNumId w:val="3"/>
  </w:num>
  <w:num w:numId="38" w16cid:durableId="2047565070">
    <w:abstractNumId w:val="2"/>
  </w:num>
  <w:num w:numId="39" w16cid:durableId="723211027">
    <w:abstractNumId w:val="1"/>
  </w:num>
  <w:num w:numId="40" w16cid:durableId="1087993265">
    <w:abstractNumId w:val="0"/>
  </w:num>
  <w:num w:numId="41" w16cid:durableId="920717537">
    <w:abstractNumId w:val="10"/>
  </w:num>
  <w:num w:numId="42" w16cid:durableId="322779598">
    <w:abstractNumId w:val="10"/>
  </w:num>
  <w:num w:numId="43" w16cid:durableId="840704670">
    <w:abstractNumId w:val="10"/>
  </w:num>
  <w:num w:numId="44" w16cid:durableId="1943998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28" w:allStyles="0" w:alternateStyleNames="0" w:clearFormatting="1" w:customStyles="0" w:directFormattingOnNumbering="1" w:directFormattingOnParagraphs="1" w:directFormattingOnRuns="1" w:directFormattingOnTables="1" w:headingStyles="1"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9F1"/>
    <w:rsid w:val="00002272"/>
    <w:rsid w:val="00064002"/>
    <w:rsid w:val="000677B9"/>
    <w:rsid w:val="00080FA4"/>
    <w:rsid w:val="000831BA"/>
    <w:rsid w:val="000A42CC"/>
    <w:rsid w:val="000E7DD9"/>
    <w:rsid w:val="0010095E"/>
    <w:rsid w:val="00125B37"/>
    <w:rsid w:val="00187494"/>
    <w:rsid w:val="001A7608"/>
    <w:rsid w:val="001F32AE"/>
    <w:rsid w:val="002767FF"/>
    <w:rsid w:val="002B18FE"/>
    <w:rsid w:val="002B5493"/>
    <w:rsid w:val="003049F1"/>
    <w:rsid w:val="00343214"/>
    <w:rsid w:val="00361C00"/>
    <w:rsid w:val="00395FA1"/>
    <w:rsid w:val="003E15D4"/>
    <w:rsid w:val="00411CCE"/>
    <w:rsid w:val="0041666E"/>
    <w:rsid w:val="00421060"/>
    <w:rsid w:val="00471C19"/>
    <w:rsid w:val="004867E3"/>
    <w:rsid w:val="00493FA7"/>
    <w:rsid w:val="00494A28"/>
    <w:rsid w:val="004C0004"/>
    <w:rsid w:val="004C5D52"/>
    <w:rsid w:val="0050519A"/>
    <w:rsid w:val="005072A1"/>
    <w:rsid w:val="00514517"/>
    <w:rsid w:val="00532A98"/>
    <w:rsid w:val="00545827"/>
    <w:rsid w:val="00560270"/>
    <w:rsid w:val="005C2568"/>
    <w:rsid w:val="005F1B17"/>
    <w:rsid w:val="006037C0"/>
    <w:rsid w:val="00656F5B"/>
    <w:rsid w:val="006631B6"/>
    <w:rsid w:val="00680577"/>
    <w:rsid w:val="00694980"/>
    <w:rsid w:val="006D0044"/>
    <w:rsid w:val="006F74FA"/>
    <w:rsid w:val="00731ADD"/>
    <w:rsid w:val="00734777"/>
    <w:rsid w:val="00747932"/>
    <w:rsid w:val="00751A4A"/>
    <w:rsid w:val="00756632"/>
    <w:rsid w:val="00762C74"/>
    <w:rsid w:val="00786EC0"/>
    <w:rsid w:val="007D1690"/>
    <w:rsid w:val="007E22AD"/>
    <w:rsid w:val="00817416"/>
    <w:rsid w:val="0082566C"/>
    <w:rsid w:val="00842779"/>
    <w:rsid w:val="00865F67"/>
    <w:rsid w:val="00881A7B"/>
    <w:rsid w:val="008840E5"/>
    <w:rsid w:val="00887B3E"/>
    <w:rsid w:val="008C2AC6"/>
    <w:rsid w:val="00930C23"/>
    <w:rsid w:val="0093193B"/>
    <w:rsid w:val="00944516"/>
    <w:rsid w:val="009509D8"/>
    <w:rsid w:val="00950B64"/>
    <w:rsid w:val="00981893"/>
    <w:rsid w:val="00997264"/>
    <w:rsid w:val="00A1687D"/>
    <w:rsid w:val="00A43E52"/>
    <w:rsid w:val="00A4678D"/>
    <w:rsid w:val="00A778C7"/>
    <w:rsid w:val="00AB441E"/>
    <w:rsid w:val="00AB6293"/>
    <w:rsid w:val="00AD2DFA"/>
    <w:rsid w:val="00AE0928"/>
    <w:rsid w:val="00AE2929"/>
    <w:rsid w:val="00AF3B82"/>
    <w:rsid w:val="00B12E95"/>
    <w:rsid w:val="00B22876"/>
    <w:rsid w:val="00B558F0"/>
    <w:rsid w:val="00BD48FE"/>
    <w:rsid w:val="00BD7BD8"/>
    <w:rsid w:val="00BE6ADC"/>
    <w:rsid w:val="00C05BFE"/>
    <w:rsid w:val="00C23CD4"/>
    <w:rsid w:val="00C61C0C"/>
    <w:rsid w:val="00C941CB"/>
    <w:rsid w:val="00CA2379"/>
    <w:rsid w:val="00CC2357"/>
    <w:rsid w:val="00CF071A"/>
    <w:rsid w:val="00D058B8"/>
    <w:rsid w:val="00D56C11"/>
    <w:rsid w:val="00D834A0"/>
    <w:rsid w:val="00D872DF"/>
    <w:rsid w:val="00D91E21"/>
    <w:rsid w:val="00DA7FCD"/>
    <w:rsid w:val="00DF2B7A"/>
    <w:rsid w:val="00E365E1"/>
    <w:rsid w:val="00E820A4"/>
    <w:rsid w:val="00EB006A"/>
    <w:rsid w:val="00EB4772"/>
    <w:rsid w:val="00ED169E"/>
    <w:rsid w:val="00ED4235"/>
    <w:rsid w:val="00F04346"/>
    <w:rsid w:val="00F075DC"/>
    <w:rsid w:val="00F149E9"/>
    <w:rsid w:val="00F16D20"/>
    <w:rsid w:val="00F5134D"/>
    <w:rsid w:val="00F74202"/>
    <w:rsid w:val="00F87713"/>
    <w:rsid w:val="00F87AAF"/>
    <w:rsid w:val="00FB4360"/>
    <w:rsid w:val="00FD0C70"/>
  </w:rsids>
  <w:docVars>
    <w:docVar w:name="dvdocse" w:val="B10-0337/2026"/>
    <w:docVar w:name="dvlangue" w:val="FI"/>
    <w:docVar w:name="dvnumam" w:val="0"/>
    <w:docVar w:name="dvpe" w:val="789.919"/>
    <w:docVar w:name="dvtitre" w:val="Euroopan parlamentin päätöslauselma 8. heinäkuuta 2026 10. huhtikuuta 2026 annetusta komission delegoidusta asetuksesta komission delegoidun asetuksen (EU) 2019/807 muuttamisesta sellaisen kehityspolun käyttöön ottamiseksi, jolla vähennetään asteittain suurta epäsuoran maankäytön muutoksen riskiä aiheuttavien biopolttoaineiden, bionesteiden ja biomassapolttoaineiden panosta uusiutuvan energian tavoitteiden saavuttamiseen((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DBCFE1C"/>
  <w15:chartTrackingRefBased/>
  <w15:docId w15:val="{CACAA5E4-5973-4EB5-A438-7123FD7B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9726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2929"/>
    <w:pPr>
      <w:spacing w:before="480" w:after="240"/>
    </w:pPr>
  </w:style>
  <w:style w:type="paragraph" w:customStyle="1" w:styleId="NormalHanging12a">
    <w:name w:val="NormalHanging12a"/>
    <w:basedOn w:val="Normal"/>
    <w:rsid w:val="00AE2929"/>
    <w:pPr>
      <w:spacing w:after="240"/>
      <w:ind w:left="567" w:hanging="567"/>
    </w:pPr>
  </w:style>
  <w:style w:type="character" w:styleId="Hyperlink">
    <w:name w:val="Hyperlink"/>
    <w:basedOn w:val="DefaultParagraphFont"/>
    <w:rsid w:val="00AE2929"/>
    <w:rPr>
      <w:color w:val="0563C1" w:themeColor="hyperlink"/>
      <w:u w:val="single"/>
    </w:rPr>
  </w:style>
  <w:style w:type="paragraph" w:styleId="Footer">
    <w:name w:val="footer"/>
    <w:basedOn w:val="Normal"/>
    <w:link w:val="FooterChar"/>
    <w:rsid w:val="00997264"/>
    <w:pPr>
      <w:tabs>
        <w:tab w:val="center" w:pos="4513"/>
        <w:tab w:val="right" w:pos="9026"/>
      </w:tabs>
    </w:pPr>
  </w:style>
  <w:style w:type="character" w:customStyle="1" w:styleId="FooterChar">
    <w:name w:val="Footer Char"/>
    <w:basedOn w:val="DefaultParagraphFont"/>
    <w:link w:val="Footer"/>
    <w:rsid w:val="00997264"/>
    <w:rPr>
      <w:sz w:val="24"/>
      <w:lang w:val="fi-FI"/>
    </w:rPr>
  </w:style>
  <w:style w:type="paragraph" w:styleId="Revision">
    <w:name w:val="Revision"/>
    <w:hidden/>
    <w:uiPriority w:val="99"/>
    <w:semiHidden/>
    <w:rsid w:val="00DF2B7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1348</Words>
  <Characters>11537</Characters>
  <Application>Microsoft Office Word</Application>
  <DocSecurity>0</DocSecurity>
  <Lines>172</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2026-07-08T14:29:00Z</dcterms:created>
  <dcterms:modified xsi:type="dcterms:W3CDTF">2026-07-08T14:29:00Z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B10-0337/2026</vt:lpwstr>
  </property>
  <property fmtid="{D5CDD505-2E9C-101B-9397-08002B2CF9AE}" pid="4" name="&lt;Type&gt;">
    <vt:lpwstr>RR</vt:lpwstr>
  </property>
</Properties>
</file>